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49E4C" w14:textId="2FB97B81" w:rsidR="002A1070" w:rsidRDefault="005C25D4" w:rsidP="006F4081">
      <w:pPr>
        <w:spacing w:after="0" w:line="240" w:lineRule="auto"/>
        <w:jc w:val="right"/>
        <w:rPr>
          <w:rFonts w:ascii="Verdana" w:eastAsia="Calibri" w:hAnsi="Verdana" w:cs="Times New Roman"/>
          <w:b/>
          <w:sz w:val="40"/>
          <w:szCs w:val="20"/>
          <w:lang w:val="en-GB" w:eastAsia="en-US" w:bidi="en-US"/>
        </w:rPr>
      </w:pPr>
      <w:bookmarkStart w:id="0" w:name="_GoBack"/>
      <w:r>
        <w:rPr>
          <w:rFonts w:ascii="Verdana" w:eastAsia="Calibri" w:hAnsi="Verdana" w:cs="Times New Roman"/>
          <w:b/>
          <w:sz w:val="40"/>
          <w:szCs w:val="20"/>
          <w:lang w:val="en-GB" w:eastAsia="en-US" w:bidi="en-US"/>
        </w:rPr>
        <w:t>Accessible public buildings</w:t>
      </w:r>
      <w:bookmarkEnd w:id="0"/>
    </w:p>
    <w:p w14:paraId="0CD1DB67" w14:textId="1669CF49"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3C663082" w:rsidR="006F4081" w:rsidRPr="003B1872" w:rsidRDefault="00871DEC" w:rsidP="006F4081">
      <w:pPr>
        <w:pStyle w:val="FRAHeading1"/>
        <w:rPr>
          <w:rFonts w:ascii="Verdana" w:hAnsi="Verdana"/>
          <w:b/>
          <w:sz w:val="28"/>
          <w:szCs w:val="20"/>
          <w:lang w:val="en-IE"/>
        </w:rPr>
      </w:pPr>
      <w:r w:rsidRPr="00871DEC">
        <w:rPr>
          <w:rFonts w:ascii="Verdana" w:hAnsi="Verdana"/>
          <w:b/>
          <w:sz w:val="28"/>
          <w:szCs w:val="20"/>
          <w:lang w:val="en"/>
        </w:rPr>
        <w:lastRenderedPageBreak/>
        <w:t xml:space="preserve">Are </w:t>
      </w:r>
      <w:r w:rsidR="005C25D4">
        <w:rPr>
          <w:rFonts w:ascii="Verdana" w:hAnsi="Verdana"/>
          <w:b/>
          <w:sz w:val="28"/>
          <w:szCs w:val="20"/>
          <w:lang w:val="en"/>
        </w:rPr>
        <w:t>national and local authority buildings accessible for persons with disabilities</w:t>
      </w:r>
      <w:r w:rsidR="0015196A">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ED2BB6" w:rsidRPr="003B1872" w14:paraId="41E0422B" w14:textId="2C4EF8C8" w:rsidTr="00ED2BB6">
        <w:trPr>
          <w:trHeight w:val="510"/>
        </w:trPr>
        <w:tc>
          <w:tcPr>
            <w:tcW w:w="501" w:type="pct"/>
            <w:shd w:val="clear" w:color="auto" w:fill="C6D9F1" w:themeFill="text2" w:themeFillTint="33"/>
            <w:vAlign w:val="center"/>
          </w:tcPr>
          <w:p w14:paraId="558F3AA6" w14:textId="77777777" w:rsidR="00ED2BB6" w:rsidRPr="003B1872" w:rsidRDefault="00ED2BB6"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6CAAE5B3" w14:textId="75001C55" w:rsidR="00ED2BB6" w:rsidRPr="003B1872" w:rsidRDefault="00ED2BB6" w:rsidP="00ED2BB6">
            <w:pPr>
              <w:rPr>
                <w:rFonts w:ascii="Verdana" w:eastAsia="Calibri" w:hAnsi="Verdana" w:cs="Times New Roman"/>
                <w:b/>
                <w:lang w:val="en-IE" w:eastAsia="en-US" w:bidi="en-US"/>
              </w:rPr>
            </w:pPr>
            <w:r>
              <w:rPr>
                <w:rFonts w:ascii="Verdana" w:eastAsia="Calibri" w:hAnsi="Verdana" w:cs="Times New Roman"/>
                <w:b/>
                <w:lang w:val="en-IE" w:eastAsia="en-US" w:bidi="en-US"/>
              </w:rPr>
              <w:t>Source and supporting information</w:t>
            </w:r>
          </w:p>
        </w:tc>
      </w:tr>
      <w:tr w:rsidR="00ED2BB6" w:rsidRPr="003B1872" w14:paraId="475BF813" w14:textId="733AE415" w:rsidTr="00ED2BB6">
        <w:trPr>
          <w:trHeight w:val="510"/>
        </w:trPr>
        <w:tc>
          <w:tcPr>
            <w:tcW w:w="501" w:type="pct"/>
            <w:vAlign w:val="center"/>
          </w:tcPr>
          <w:p w14:paraId="53573294"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52792496" w14:textId="77777777" w:rsidR="00F80038" w:rsidRPr="00EA6830" w:rsidRDefault="00F80038" w:rsidP="00F80038">
            <w:pPr>
              <w:spacing w:before="240"/>
              <w:contextualSpacing/>
              <w:rPr>
                <w:rFonts w:ascii="Verdana" w:eastAsia="Calibri" w:hAnsi="Verdana" w:cstheme="minorHAnsi"/>
                <w:sz w:val="20"/>
                <w:szCs w:val="20"/>
                <w:lang w:val="en-GB"/>
              </w:rPr>
            </w:pPr>
            <w:r w:rsidRPr="00EA6830">
              <w:rPr>
                <w:rFonts w:ascii="Verdana" w:eastAsia="Calibri" w:hAnsi="Verdana" w:cstheme="minorHAnsi"/>
                <w:sz w:val="20"/>
                <w:szCs w:val="20"/>
                <w:lang w:val="en-GB"/>
              </w:rPr>
              <w:t>The Federal Disability Equality Act regulates that public services must be accessible for persons with disabilities. However, the Federal Act does not provide standards on how to implement an accessible environment</w:t>
            </w:r>
            <w:r w:rsidRPr="00EA6830">
              <w:rPr>
                <w:rStyle w:val="FootnoteReference"/>
                <w:rFonts w:ascii="Verdana" w:eastAsia="Calibri" w:hAnsi="Verdana" w:cstheme="minorHAnsi"/>
                <w:sz w:val="20"/>
                <w:szCs w:val="20"/>
                <w:lang w:val="en-GB"/>
              </w:rPr>
              <w:footnoteReference w:id="1"/>
            </w:r>
            <w:r w:rsidRPr="00EA6830">
              <w:rPr>
                <w:rFonts w:ascii="Verdana" w:eastAsia="Calibri" w:hAnsi="Verdana" w:cstheme="minorHAnsi"/>
                <w:sz w:val="20"/>
                <w:szCs w:val="20"/>
                <w:lang w:val="en-GB"/>
              </w:rPr>
              <w:t>.</w:t>
            </w:r>
          </w:p>
          <w:p w14:paraId="0C7D6EA1" w14:textId="77777777" w:rsidR="00F80038" w:rsidRPr="00EA6830" w:rsidRDefault="00F80038" w:rsidP="00F80038">
            <w:pPr>
              <w:spacing w:before="240"/>
              <w:contextualSpacing/>
              <w:rPr>
                <w:rFonts w:ascii="Verdana" w:eastAsia="Calibri" w:hAnsi="Verdana" w:cstheme="minorHAnsi"/>
                <w:sz w:val="20"/>
                <w:szCs w:val="20"/>
                <w:lang w:val="en-GB"/>
              </w:rPr>
            </w:pPr>
          </w:p>
          <w:p w14:paraId="4309CBB0" w14:textId="749709CF" w:rsidR="00F80038" w:rsidRPr="00EA6830" w:rsidRDefault="00F80038" w:rsidP="00F80038">
            <w:pPr>
              <w:spacing w:before="240"/>
              <w:contextualSpacing/>
              <w:rPr>
                <w:rFonts w:ascii="Verdana" w:eastAsia="Calibri" w:hAnsi="Verdana" w:cstheme="minorHAnsi"/>
                <w:sz w:val="20"/>
                <w:szCs w:val="20"/>
                <w:lang w:val="en-GB"/>
              </w:rPr>
            </w:pPr>
            <w:r w:rsidRPr="00EA6830">
              <w:rPr>
                <w:rFonts w:ascii="Verdana" w:eastAsia="Calibri" w:hAnsi="Verdana" w:cstheme="minorHAnsi"/>
                <w:sz w:val="20"/>
                <w:szCs w:val="20"/>
                <w:lang w:val="en-GB"/>
              </w:rPr>
              <w:t>The ÖNORM B 1600 on barrier free building is the main guide line. Based on it a new ÖNORM B 1610on accessibility criteria for existent buildings is being drawn up. Further ÖNORM provisions on accessibility are e.g. ÖNORM A 3011 on graphic symbols for information of the public (</w:t>
            </w:r>
            <w:r w:rsidRPr="00EA6830">
              <w:rPr>
                <w:rFonts w:ascii="Verdana" w:eastAsia="Calibri" w:hAnsi="Verdana" w:cstheme="minorHAnsi"/>
                <w:i/>
                <w:sz w:val="20"/>
                <w:szCs w:val="20"/>
                <w:lang w:val="en-GB"/>
              </w:rPr>
              <w:t>Grafische Symbole für die Öffentlichkeitsinformation</w:t>
            </w:r>
            <w:r w:rsidRPr="00EA6830">
              <w:rPr>
                <w:rFonts w:ascii="Verdana" w:eastAsia="Calibri" w:hAnsi="Verdana" w:cstheme="minorHAnsi"/>
                <w:sz w:val="20"/>
                <w:szCs w:val="20"/>
                <w:lang w:val="en-GB"/>
              </w:rPr>
              <w:t>)</w:t>
            </w:r>
            <w:r w:rsidRPr="00EA6830">
              <w:rPr>
                <w:rFonts w:ascii="Verdana" w:hAnsi="Verdana" w:cstheme="minorHAnsi"/>
                <w:color w:val="000000"/>
                <w:sz w:val="20"/>
                <w:szCs w:val="20"/>
                <w:shd w:val="clear" w:color="auto" w:fill="FFFFFF"/>
              </w:rPr>
              <w:t xml:space="preserve"> </w:t>
            </w:r>
            <w:r w:rsidRPr="00EA6830">
              <w:rPr>
                <w:rFonts w:ascii="Verdana" w:eastAsia="Calibri" w:hAnsi="Verdana" w:cstheme="minorHAnsi"/>
                <w:sz w:val="20"/>
                <w:szCs w:val="20"/>
                <w:lang w:val="en-GB"/>
              </w:rPr>
              <w:t>or ÖNORM A 3012 on visual guidance systems for information of the public (</w:t>
            </w:r>
            <w:r w:rsidRPr="00EA6830">
              <w:rPr>
                <w:rFonts w:ascii="Verdana" w:eastAsia="Calibri" w:hAnsi="Verdana" w:cstheme="minorHAnsi"/>
                <w:i/>
                <w:sz w:val="20"/>
                <w:szCs w:val="20"/>
              </w:rPr>
              <w:t>Visuelle Leitsysteme für die Öffentlichkeitsinformation</w:t>
            </w:r>
            <w:r w:rsidRPr="00EA6830">
              <w:rPr>
                <w:rFonts w:ascii="Verdana" w:eastAsia="Calibri" w:hAnsi="Verdana" w:cstheme="minorHAnsi"/>
                <w:sz w:val="20"/>
                <w:szCs w:val="20"/>
              </w:rPr>
              <w:t>)</w:t>
            </w:r>
            <w:r w:rsidRPr="00EA6830">
              <w:rPr>
                <w:rFonts w:ascii="Verdana" w:eastAsia="Calibri" w:hAnsi="Verdana" w:cstheme="minorHAnsi"/>
                <w:sz w:val="20"/>
                <w:szCs w:val="20"/>
                <w:lang w:val="en-GB"/>
              </w:rPr>
              <w:t>.</w:t>
            </w:r>
            <w:r w:rsidRPr="00EA6830">
              <w:rPr>
                <w:rStyle w:val="FootnoteReference"/>
                <w:rFonts w:ascii="Verdana" w:eastAsia="Calibri" w:hAnsi="Verdana" w:cstheme="minorHAnsi"/>
                <w:sz w:val="20"/>
                <w:szCs w:val="20"/>
                <w:lang w:val="en-GB"/>
              </w:rPr>
              <w:footnoteReference w:id="2"/>
            </w:r>
            <w:r w:rsidRPr="00EA6830">
              <w:rPr>
                <w:rFonts w:ascii="Verdana" w:eastAsia="Calibri" w:hAnsi="Verdana" w:cstheme="minorHAnsi"/>
                <w:sz w:val="20"/>
                <w:szCs w:val="20"/>
                <w:lang w:val="en-GB"/>
              </w:rPr>
              <w:t xml:space="preserve"> </w:t>
            </w:r>
          </w:p>
          <w:p w14:paraId="69D7F76D" w14:textId="77777777" w:rsidR="00F80038" w:rsidRPr="00EA6830" w:rsidRDefault="00F80038" w:rsidP="00F80038">
            <w:pPr>
              <w:spacing w:before="240"/>
              <w:contextualSpacing/>
              <w:rPr>
                <w:rFonts w:ascii="Verdana" w:eastAsia="Calibri" w:hAnsi="Verdana" w:cstheme="minorHAnsi"/>
                <w:sz w:val="20"/>
                <w:szCs w:val="20"/>
                <w:lang w:val="en-GB"/>
              </w:rPr>
            </w:pPr>
          </w:p>
          <w:p w14:paraId="1D3BFE4C" w14:textId="77777777" w:rsidR="00F80038" w:rsidRPr="00EA6830" w:rsidRDefault="00F80038" w:rsidP="00F80038">
            <w:pPr>
              <w:spacing w:before="240"/>
              <w:contextualSpacing/>
              <w:rPr>
                <w:rFonts w:ascii="Verdana" w:eastAsia="Calibri" w:hAnsi="Verdana" w:cstheme="minorHAnsi"/>
                <w:sz w:val="20"/>
                <w:szCs w:val="20"/>
                <w:lang w:val="en-GB"/>
              </w:rPr>
            </w:pPr>
            <w:r w:rsidRPr="00EA6830">
              <w:rPr>
                <w:rFonts w:ascii="Verdana" w:eastAsia="Calibri" w:hAnsi="Verdana" w:cstheme="minorHAnsi"/>
                <w:sz w:val="20"/>
                <w:szCs w:val="20"/>
                <w:lang w:val="en-GB"/>
              </w:rPr>
              <w:t>There is a staged plan for buildings of the federal government which foresees accessibility of public buildings by the end of 2015, at the latest by the end of 2019 (§ 8 (2) BGStG).</w:t>
            </w:r>
            <w:r w:rsidRPr="00EA6830">
              <w:rPr>
                <w:rFonts w:ascii="Verdana" w:hAnsi="Verdana"/>
                <w:sz w:val="20"/>
                <w:szCs w:val="20"/>
              </w:rPr>
              <w:t xml:space="preserve"> </w:t>
            </w:r>
            <w:r w:rsidRPr="00EA6830">
              <w:rPr>
                <w:rFonts w:ascii="Verdana" w:eastAsia="Calibri" w:hAnsi="Verdana" w:cstheme="minorHAnsi"/>
                <w:sz w:val="20"/>
                <w:szCs w:val="20"/>
                <w:lang w:val="en-GB"/>
              </w:rPr>
              <w:t>Staged plans that concern the accessibility of buildings of the Laender governments were also adopted in Tyrol and Vienna, where the transition period ends in 2042.</w:t>
            </w:r>
          </w:p>
          <w:p w14:paraId="21975A17" w14:textId="77777777" w:rsidR="00F80038" w:rsidRPr="00EA6830" w:rsidRDefault="00F80038" w:rsidP="00F80038">
            <w:pPr>
              <w:spacing w:before="240"/>
              <w:contextualSpacing/>
              <w:rPr>
                <w:rFonts w:ascii="Verdana" w:eastAsia="Calibri" w:hAnsi="Verdana" w:cstheme="minorHAnsi"/>
                <w:sz w:val="20"/>
                <w:szCs w:val="20"/>
                <w:lang w:val="en-GB"/>
              </w:rPr>
            </w:pPr>
          </w:p>
          <w:p w14:paraId="4667EBD6" w14:textId="616036B2" w:rsidR="00F80038" w:rsidRPr="00EA6830" w:rsidRDefault="00F80038" w:rsidP="00F80038">
            <w:pPr>
              <w:spacing w:before="240"/>
              <w:contextualSpacing/>
              <w:rPr>
                <w:rFonts w:ascii="Verdana" w:eastAsia="Calibri" w:hAnsi="Verdana" w:cstheme="minorHAnsi"/>
                <w:sz w:val="20"/>
                <w:szCs w:val="20"/>
                <w:lang w:val="en-GB"/>
              </w:rPr>
            </w:pPr>
            <w:r w:rsidRPr="00EA6830">
              <w:rPr>
                <w:rFonts w:ascii="Verdana" w:eastAsia="Calibri" w:hAnsi="Verdana" w:cstheme="minorHAnsi"/>
                <w:sz w:val="20"/>
                <w:szCs w:val="20"/>
                <w:lang w:val="en-GB"/>
              </w:rPr>
              <w:t>Measure 110 of the National Action Plan on Disability 2012 – 2020 foresees that accessibility will be taken into account in the Board for Building Culture and in the Austrian Standards Institute. Measure  113 foresees that representatives of disabled persons’ organisations will be consulted in all major building projects subsidised by the Federation.</w:t>
            </w:r>
            <w:r w:rsidRPr="00EA6830">
              <w:rPr>
                <w:rStyle w:val="FootnoteReference"/>
                <w:rFonts w:ascii="Verdana" w:eastAsia="Calibri" w:hAnsi="Verdana" w:cstheme="minorHAnsi"/>
                <w:sz w:val="20"/>
                <w:szCs w:val="20"/>
                <w:lang w:val="en-GB"/>
              </w:rPr>
              <w:footnoteReference w:id="3"/>
            </w:r>
          </w:p>
          <w:p w14:paraId="1BCF5586" w14:textId="77777777" w:rsidR="00F80038" w:rsidRPr="00EA6830" w:rsidRDefault="00F80038" w:rsidP="00F80038">
            <w:pPr>
              <w:spacing w:before="240"/>
              <w:contextualSpacing/>
              <w:rPr>
                <w:rFonts w:ascii="Verdana" w:eastAsia="Calibri" w:hAnsi="Verdana" w:cstheme="minorHAnsi"/>
                <w:sz w:val="20"/>
                <w:szCs w:val="20"/>
                <w:lang w:val="en-GB"/>
              </w:rPr>
            </w:pPr>
          </w:p>
          <w:p w14:paraId="354CF4BD" w14:textId="7C10B4EA" w:rsidR="00ED2BB6" w:rsidRDefault="00F80038" w:rsidP="00F80038">
            <w:pPr>
              <w:rPr>
                <w:rFonts w:ascii="Verdana" w:eastAsia="Calibri" w:hAnsi="Verdana" w:cs="Times New Roman"/>
                <w:lang w:val="en-IE" w:eastAsia="en-US" w:bidi="en-US"/>
              </w:rPr>
            </w:pPr>
            <w:r w:rsidRPr="00EA6830">
              <w:rPr>
                <w:rFonts w:ascii="Verdana" w:eastAsia="Calibri" w:hAnsi="Verdana" w:cstheme="minorHAnsi"/>
                <w:sz w:val="20"/>
                <w:szCs w:val="20"/>
                <w:lang w:val="en-GB"/>
              </w:rPr>
              <w:t>There was no data provided by the Austrian Association of Municipalities on the proportion of public authority and municipal buildings which are accessible to persons with disabilities.</w:t>
            </w:r>
            <w:r w:rsidRPr="00EA6830">
              <w:rPr>
                <w:rStyle w:val="FootnoteReference"/>
                <w:rFonts w:ascii="Verdana" w:eastAsia="Calibri" w:hAnsi="Verdana" w:cstheme="minorHAnsi"/>
                <w:sz w:val="20"/>
                <w:szCs w:val="20"/>
                <w:lang w:val="en-GB"/>
              </w:rPr>
              <w:footnoteReference w:id="4"/>
            </w:r>
          </w:p>
        </w:tc>
      </w:tr>
      <w:tr w:rsidR="00ED2BB6" w:rsidRPr="003B1872" w14:paraId="03B40ED4" w14:textId="6455BAEB" w:rsidTr="00ED2BB6">
        <w:trPr>
          <w:trHeight w:val="510"/>
        </w:trPr>
        <w:tc>
          <w:tcPr>
            <w:tcW w:w="501" w:type="pct"/>
            <w:vAlign w:val="center"/>
          </w:tcPr>
          <w:p w14:paraId="2E48D3CF"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BE</w:t>
            </w:r>
          </w:p>
        </w:tc>
        <w:tc>
          <w:tcPr>
            <w:tcW w:w="4499" w:type="pct"/>
            <w:vAlign w:val="center"/>
          </w:tcPr>
          <w:p w14:paraId="23E7580C" w14:textId="77777777" w:rsidR="00F80038" w:rsidRPr="00327292" w:rsidRDefault="00F80038" w:rsidP="00F80038">
            <w:pPr>
              <w:spacing w:before="240" w:after="200"/>
              <w:contextualSpacing/>
              <w:jc w:val="both"/>
              <w:rPr>
                <w:rFonts w:ascii="Verdana" w:eastAsia="Calibri" w:hAnsi="Verdana" w:cs="Times New Roman"/>
                <w:sz w:val="20"/>
                <w:szCs w:val="20"/>
              </w:rPr>
            </w:pPr>
            <w:r w:rsidRPr="00327292">
              <w:rPr>
                <w:rFonts w:ascii="Verdana" w:eastAsia="Calibri" w:hAnsi="Verdana" w:cs="Times New Roman"/>
                <w:sz w:val="20"/>
                <w:szCs w:val="20"/>
                <w:lang w:val="en-GB"/>
              </w:rPr>
              <w:t>The legislation provides a requirement of reasonable accommodation for persons with disabilities</w:t>
            </w:r>
            <w:r w:rsidRPr="00327292">
              <w:rPr>
                <w:rStyle w:val="FootnoteReference"/>
                <w:rFonts w:ascii="Verdana" w:eastAsia="Calibri" w:hAnsi="Verdana" w:cs="Times New Roman"/>
                <w:sz w:val="20"/>
                <w:szCs w:val="20"/>
                <w:lang w:val="en-GB"/>
              </w:rPr>
              <w:footnoteReference w:id="5"/>
            </w:r>
            <w:r w:rsidRPr="00327292">
              <w:rPr>
                <w:rFonts w:ascii="Verdana" w:eastAsia="Calibri" w:hAnsi="Verdana" w:cs="Times New Roman"/>
                <w:sz w:val="20"/>
                <w:szCs w:val="20"/>
                <w:lang w:val="en-GB"/>
              </w:rPr>
              <w:t xml:space="preserve"> and new public buildings must be accessible to persons with disabilities.</w:t>
            </w:r>
            <w:r w:rsidRPr="00327292">
              <w:rPr>
                <w:rStyle w:val="FootnoteReference"/>
                <w:rFonts w:ascii="Verdana" w:eastAsia="Calibri" w:hAnsi="Verdana" w:cs="Times New Roman"/>
                <w:sz w:val="20"/>
                <w:szCs w:val="20"/>
                <w:lang w:val="en-GB"/>
              </w:rPr>
              <w:footnoteReference w:id="6"/>
            </w:r>
            <w:r w:rsidRPr="00327292">
              <w:rPr>
                <w:rFonts w:ascii="Verdana" w:eastAsia="Calibri" w:hAnsi="Verdana" w:cs="Times New Roman"/>
                <w:sz w:val="20"/>
                <w:szCs w:val="20"/>
                <w:lang w:val="en-GB"/>
              </w:rPr>
              <w:t xml:space="preserve"> </w:t>
            </w:r>
            <w:r w:rsidRPr="00327292">
              <w:rPr>
                <w:rFonts w:ascii="Verdana" w:eastAsia="Calibri" w:hAnsi="Verdana" w:cs="Times New Roman"/>
                <w:sz w:val="20"/>
                <w:szCs w:val="20"/>
              </w:rPr>
              <w:t xml:space="preserve">There are criteria to ensure the accessibility of the building. Those vary from Region to Region. For example, to be accessible the buildings must ensure the accessibility of the entrance, parking space reserved for persons with disabilities, provide an adapted toilet, etc. </w:t>
            </w:r>
          </w:p>
          <w:p w14:paraId="7D297C2D" w14:textId="77777777" w:rsidR="00F80038" w:rsidRPr="00327292" w:rsidRDefault="00F80038" w:rsidP="00F80038">
            <w:pPr>
              <w:spacing w:before="240"/>
              <w:contextualSpacing/>
              <w:jc w:val="both"/>
              <w:rPr>
                <w:rFonts w:ascii="Verdana" w:eastAsia="Calibri" w:hAnsi="Verdana" w:cs="Times New Roman"/>
                <w:sz w:val="20"/>
                <w:szCs w:val="20"/>
                <w:lang w:val="en-GB"/>
              </w:rPr>
            </w:pPr>
          </w:p>
          <w:p w14:paraId="3B8DD6EA" w14:textId="77777777" w:rsidR="00F80038" w:rsidRDefault="00F80038" w:rsidP="00F80038">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However, there is no data available on the proportion of public national and municipal buildings accessible to persons with disabilities.</w:t>
            </w:r>
          </w:p>
          <w:p w14:paraId="47F0B56B" w14:textId="77777777" w:rsidR="00ED2BB6" w:rsidRPr="00F80038" w:rsidRDefault="00ED2BB6" w:rsidP="00ED2BB6">
            <w:pPr>
              <w:rPr>
                <w:rFonts w:ascii="Verdana" w:eastAsia="Calibri" w:hAnsi="Verdana" w:cs="Times New Roman"/>
                <w:lang w:val="en-GB" w:eastAsia="en-US" w:bidi="en-US"/>
              </w:rPr>
            </w:pPr>
          </w:p>
        </w:tc>
      </w:tr>
      <w:tr w:rsidR="00ED2BB6" w:rsidRPr="003B1872" w14:paraId="6F1CCE94" w14:textId="786CA0DC" w:rsidTr="00ED2BB6">
        <w:trPr>
          <w:trHeight w:val="510"/>
        </w:trPr>
        <w:tc>
          <w:tcPr>
            <w:tcW w:w="501" w:type="pct"/>
            <w:vAlign w:val="center"/>
          </w:tcPr>
          <w:p w14:paraId="2DA989D9"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7A6413B3" w14:textId="32A8B964" w:rsidR="00ED2BB6" w:rsidRPr="00F80038" w:rsidRDefault="00F80038" w:rsidP="00F80038">
            <w:pPr>
              <w:spacing w:before="240"/>
              <w:contextualSpacing/>
              <w:jc w:val="both"/>
              <w:rPr>
                <w:rFonts w:ascii="Verdana" w:eastAsia="Calibri" w:hAnsi="Verdana" w:cs="Times New Roman"/>
                <w:sz w:val="20"/>
                <w:szCs w:val="20"/>
                <w:lang w:val="en-GB" w:bidi="en-US"/>
              </w:rPr>
            </w:pPr>
            <w:r w:rsidRPr="009B417D">
              <w:rPr>
                <w:rFonts w:ascii="Verdana" w:eastAsia="Calibri" w:hAnsi="Verdana" w:cs="Times New Roman"/>
                <w:sz w:val="20"/>
                <w:szCs w:val="20"/>
                <w:lang w:val="en-GB"/>
              </w:rPr>
              <w:t xml:space="preserve">There is no such statistical data. The Sofia municipal administration and the state institutions were consulted. </w:t>
            </w:r>
          </w:p>
        </w:tc>
      </w:tr>
      <w:tr w:rsidR="00ED2BB6" w:rsidRPr="003B1872" w14:paraId="76DEF331" w14:textId="6C54BCED" w:rsidTr="00ED2BB6">
        <w:trPr>
          <w:trHeight w:val="510"/>
        </w:trPr>
        <w:tc>
          <w:tcPr>
            <w:tcW w:w="501" w:type="pct"/>
            <w:vAlign w:val="center"/>
          </w:tcPr>
          <w:p w14:paraId="3F2E077D"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09E0B687" w14:textId="2D65EF02" w:rsidR="00ED2BB6" w:rsidRDefault="00F80038" w:rsidP="00ED2BB6">
            <w:pPr>
              <w:rPr>
                <w:rFonts w:ascii="Verdana" w:eastAsia="Calibri" w:hAnsi="Verdana" w:cs="Times New Roman"/>
                <w:lang w:val="en-IE" w:eastAsia="en-US" w:bidi="en-US"/>
              </w:rPr>
            </w:pPr>
            <w:r w:rsidRPr="00410205">
              <w:rPr>
                <w:rFonts w:ascii="Verdana" w:eastAsia="Calibri" w:hAnsi="Verdana" w:cs="Times New Roman"/>
                <w:sz w:val="20"/>
                <w:szCs w:val="20"/>
                <w:lang w:val="en-IE"/>
              </w:rPr>
              <w:t xml:space="preserve">No data available at the moment. A research regarding the accessibility of public authority buildings to persons with disabilities is being implemented by the Department for Social Inclusion of persons with disabilities. This research is implemented in the framework of the implementation of the CRPD and is still at the stage of the data collection. </w:t>
            </w:r>
            <w:r w:rsidRPr="00410205">
              <w:rPr>
                <w:rStyle w:val="FootnoteReference"/>
                <w:rFonts w:ascii="Verdana" w:eastAsia="Calibri" w:hAnsi="Verdana" w:cs="Times New Roman"/>
                <w:sz w:val="20"/>
                <w:szCs w:val="20"/>
                <w:lang w:val="en-IE"/>
              </w:rPr>
              <w:footnoteReference w:id="7"/>
            </w:r>
            <w:r w:rsidRPr="00410205">
              <w:rPr>
                <w:rFonts w:ascii="Verdana" w:eastAsia="Calibri" w:hAnsi="Verdana" w:cs="Times New Roman"/>
                <w:sz w:val="20"/>
                <w:szCs w:val="20"/>
                <w:lang w:val="en-IE"/>
              </w:rPr>
              <w:t xml:space="preserve"> The criteria used to determine the accessibility of public authority buildings are defined in the Regulation 61H “Use of buildings by disabled persons” under the “Streets and Buildings Law” of 1999.</w:t>
            </w:r>
            <w:r w:rsidRPr="00410205">
              <w:rPr>
                <w:rStyle w:val="FootnoteReference"/>
                <w:rFonts w:ascii="Verdana" w:eastAsia="Calibri" w:hAnsi="Verdana" w:cs="Times New Roman"/>
                <w:sz w:val="20"/>
                <w:szCs w:val="20"/>
                <w:lang w:val="en-IE"/>
              </w:rPr>
              <w:footnoteReference w:id="8"/>
            </w:r>
          </w:p>
        </w:tc>
      </w:tr>
      <w:tr w:rsidR="00ED2BB6" w:rsidRPr="003B1872" w14:paraId="287A98D0" w14:textId="0CC71836" w:rsidTr="00ED2BB6">
        <w:trPr>
          <w:trHeight w:val="510"/>
        </w:trPr>
        <w:tc>
          <w:tcPr>
            <w:tcW w:w="501" w:type="pct"/>
            <w:vAlign w:val="center"/>
          </w:tcPr>
          <w:p w14:paraId="62249CC1"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2CCE37A6" w14:textId="77777777" w:rsidR="00F80038" w:rsidRPr="00A73F5B" w:rsidRDefault="00F80038" w:rsidP="00F80038">
            <w:pPr>
              <w:pStyle w:val="CommentText"/>
              <w:jc w:val="both"/>
              <w:rPr>
                <w:rFonts w:ascii="Verdana" w:hAnsi="Verdana"/>
              </w:rPr>
            </w:pPr>
            <w:r w:rsidRPr="00A73F5B">
              <w:rPr>
                <w:rFonts w:ascii="Verdana" w:eastAsia="Calibri" w:hAnsi="Verdana" w:cs="Times New Roman"/>
                <w:lang w:val="en-US"/>
              </w:rPr>
              <w:t>No data of this type is available at a state-wide level</w:t>
            </w:r>
            <w:r w:rsidRPr="00A73F5B">
              <w:rPr>
                <w:rStyle w:val="FootnoteReference"/>
                <w:rFonts w:ascii="Verdana" w:eastAsia="Calibri" w:hAnsi="Verdana" w:cs="Times New Roman"/>
                <w:lang w:val="en-US"/>
              </w:rPr>
              <w:footnoteReference w:id="9"/>
            </w:r>
            <w:r w:rsidRPr="00A73F5B">
              <w:rPr>
                <w:rFonts w:ascii="Verdana" w:eastAsia="Calibri" w:hAnsi="Verdana" w:cs="Times New Roman"/>
                <w:lang w:val="en-US"/>
              </w:rPr>
              <w:t xml:space="preserve">. </w:t>
            </w:r>
          </w:p>
          <w:p w14:paraId="4CF887D0" w14:textId="7E39A5B4" w:rsidR="00ED2BB6" w:rsidRDefault="00F80038" w:rsidP="00F80038">
            <w:pPr>
              <w:rPr>
                <w:rFonts w:ascii="Verdana" w:eastAsia="Calibri" w:hAnsi="Verdana" w:cs="Times New Roman"/>
                <w:lang w:val="en-IE" w:eastAsia="en-US" w:bidi="en-US"/>
              </w:rPr>
            </w:pPr>
            <w:r w:rsidRPr="00A73F5B">
              <w:rPr>
                <w:rFonts w:ascii="Verdana" w:eastAsia="Calibri" w:hAnsi="Verdana" w:cs="Times New Roman"/>
                <w:sz w:val="20"/>
                <w:szCs w:val="20"/>
              </w:rPr>
              <w:t>Some regional authorities (e.g. The Regional Authority of Moravskoslezký Region)</w:t>
            </w:r>
            <w:r w:rsidRPr="00A73F5B">
              <w:rPr>
                <w:rStyle w:val="FootnoteReference"/>
                <w:rFonts w:ascii="Verdana" w:eastAsia="Calibri" w:hAnsi="Verdana" w:cs="Times New Roman"/>
                <w:sz w:val="20"/>
                <w:szCs w:val="20"/>
              </w:rPr>
              <w:footnoteReference w:id="10"/>
            </w:r>
            <w:r w:rsidRPr="00A73F5B">
              <w:rPr>
                <w:rFonts w:ascii="Verdana" w:eastAsia="Calibri" w:hAnsi="Verdana" w:cs="Times New Roman"/>
                <w:sz w:val="20"/>
                <w:szCs w:val="20"/>
              </w:rPr>
              <w:t xml:space="preserve"> have particular data on accessibility of public buildings in their regions.</w:t>
            </w:r>
          </w:p>
        </w:tc>
      </w:tr>
      <w:tr w:rsidR="00ED2BB6" w:rsidRPr="003B1872" w14:paraId="7C5AE51B" w14:textId="757F193D" w:rsidTr="00ED2BB6">
        <w:trPr>
          <w:trHeight w:val="510"/>
        </w:trPr>
        <w:tc>
          <w:tcPr>
            <w:tcW w:w="501" w:type="pct"/>
            <w:vAlign w:val="center"/>
          </w:tcPr>
          <w:p w14:paraId="0245226E"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6AF08204" w14:textId="77777777" w:rsidR="00F80038" w:rsidRPr="000147D9" w:rsidRDefault="00F80038" w:rsidP="00F80038">
            <w:pPr>
              <w:jc w:val="both"/>
              <w:rPr>
                <w:rFonts w:ascii="Verdana" w:eastAsia="Times New Roman" w:hAnsi="Verdana" w:cs="Calibri"/>
                <w:color w:val="FF0000"/>
                <w:sz w:val="20"/>
                <w:szCs w:val="20"/>
                <w:lang w:val="en-GB"/>
              </w:rPr>
            </w:pPr>
            <w:r w:rsidRPr="000147D9">
              <w:rPr>
                <w:rFonts w:ascii="Verdana" w:eastAsia="Times New Roman" w:hAnsi="Verdana" w:cs="Calibri"/>
                <w:sz w:val="20"/>
                <w:szCs w:val="20"/>
                <w:lang w:val="en-GB"/>
              </w:rPr>
              <w:t>No information available.</w:t>
            </w:r>
            <w:r>
              <w:rPr>
                <w:rStyle w:val="FootnoteReference"/>
                <w:rFonts w:ascii="Verdana" w:eastAsia="Times New Roman" w:hAnsi="Verdana" w:cs="Calibri"/>
                <w:sz w:val="20"/>
                <w:szCs w:val="20"/>
                <w:lang w:val="en-GB"/>
              </w:rPr>
              <w:footnoteReference w:id="11"/>
            </w:r>
            <w:r w:rsidRPr="000147D9">
              <w:rPr>
                <w:rFonts w:ascii="Verdana" w:eastAsia="Times New Roman" w:hAnsi="Verdana" w:cs="Calibri"/>
                <w:sz w:val="20"/>
                <w:szCs w:val="20"/>
                <w:lang w:val="en-GB"/>
              </w:rPr>
              <w:t xml:space="preserve"> </w:t>
            </w:r>
          </w:p>
          <w:p w14:paraId="27B8B948" w14:textId="77777777" w:rsidR="00F80038" w:rsidRPr="00D465C1" w:rsidRDefault="00F80038" w:rsidP="00F80038">
            <w:pPr>
              <w:jc w:val="both"/>
              <w:rPr>
                <w:rFonts w:ascii="Verdana" w:eastAsia="Times New Roman" w:hAnsi="Verdana" w:cs="Calibri"/>
                <w:sz w:val="20"/>
                <w:szCs w:val="20"/>
                <w:lang w:val="en-GB"/>
              </w:rPr>
            </w:pPr>
            <w:r w:rsidRPr="00D465C1">
              <w:rPr>
                <w:rFonts w:ascii="Verdana" w:eastAsia="Times New Roman" w:hAnsi="Verdana" w:cs="Calibri"/>
                <w:sz w:val="20"/>
                <w:szCs w:val="20"/>
                <w:lang w:val="en-GB"/>
              </w:rPr>
              <w:t xml:space="preserve">Data according to what </w:t>
            </w:r>
            <w:r w:rsidRPr="00D465C1">
              <w:rPr>
                <w:rFonts w:ascii="Verdana" w:eastAsia="Times New Roman" w:hAnsi="Verdana" w:cs="Calibri"/>
                <w:sz w:val="20"/>
                <w:szCs w:val="20"/>
              </w:rPr>
              <w:t>proportion of public authority national and municipal buildings is accessible to persons with disabilities</w:t>
            </w:r>
            <w:r w:rsidRPr="00D465C1">
              <w:rPr>
                <w:rFonts w:ascii="Verdana" w:eastAsia="Times New Roman" w:hAnsi="Verdana" w:cs="Calibri"/>
                <w:sz w:val="20"/>
                <w:szCs w:val="20"/>
                <w:lang w:val="en-GB"/>
              </w:rPr>
              <w:t xml:space="preserve"> is not collected.</w:t>
            </w:r>
          </w:p>
          <w:p w14:paraId="74A8D34C" w14:textId="77777777" w:rsidR="00F80038" w:rsidRPr="00D465C1" w:rsidRDefault="00F80038" w:rsidP="00F80038">
            <w:pPr>
              <w:jc w:val="both"/>
              <w:rPr>
                <w:rFonts w:ascii="Verdana" w:eastAsia="Times New Roman" w:hAnsi="Verdana" w:cs="Calibri"/>
                <w:sz w:val="20"/>
                <w:szCs w:val="20"/>
                <w:lang w:val="en-GB"/>
              </w:rPr>
            </w:pPr>
          </w:p>
          <w:p w14:paraId="0BBF0A24" w14:textId="77777777" w:rsidR="00F80038" w:rsidRPr="000147D9" w:rsidRDefault="00F80038" w:rsidP="00F80038">
            <w:pPr>
              <w:jc w:val="both"/>
              <w:rPr>
                <w:rFonts w:ascii="Verdana" w:eastAsia="Times New Roman" w:hAnsi="Verdana" w:cs="Calibri"/>
                <w:sz w:val="20"/>
                <w:szCs w:val="20"/>
              </w:rPr>
            </w:pPr>
            <w:r w:rsidRPr="00D465C1">
              <w:rPr>
                <w:rFonts w:ascii="Verdana" w:eastAsia="Times New Roman" w:hAnsi="Verdana" w:cs="Calibri"/>
                <w:sz w:val="20"/>
                <w:szCs w:val="20"/>
              </w:rPr>
              <w:t>Regarding the criteria used to determine whether public authority buildings are accessible for persons with disabilities: According to the Federal Disabled Persons Equality Act (</w:t>
            </w:r>
            <w:r w:rsidRPr="00D465C1">
              <w:rPr>
                <w:rFonts w:ascii="Verdana" w:eastAsia="Times New Roman" w:hAnsi="Verdana" w:cs="Calibri"/>
                <w:i/>
                <w:sz w:val="20"/>
                <w:szCs w:val="20"/>
              </w:rPr>
              <w:t>Behindertengleichstellungsgesetz</w:t>
            </w:r>
            <w:r w:rsidRPr="00D465C1">
              <w:rPr>
                <w:rFonts w:ascii="Verdana" w:eastAsia="Times New Roman" w:hAnsi="Verdana" w:cs="Calibri"/>
                <w:sz w:val="20"/>
                <w:szCs w:val="20"/>
              </w:rPr>
              <w:t xml:space="preserve">, BGG) the federal authorities are obliged to ensure that new civilian buildings and conversions and extensions are accessible (Section 8 BGG).  Section 4 BGG contains a legal definition </w:t>
            </w:r>
            <w:r w:rsidRPr="000147D9">
              <w:rPr>
                <w:rFonts w:ascii="Verdana" w:eastAsia="Times New Roman" w:hAnsi="Verdana" w:cs="Calibri"/>
                <w:sz w:val="20"/>
                <w:szCs w:val="20"/>
              </w:rPr>
              <w:t>of accessibility.</w:t>
            </w:r>
            <w:r w:rsidRPr="000147D9">
              <w:rPr>
                <w:rFonts w:ascii="Verdana" w:hAnsi="Verdana"/>
                <w:color w:val="222222"/>
                <w:sz w:val="20"/>
                <w:szCs w:val="20"/>
              </w:rPr>
              <w:t xml:space="preserve"> “</w:t>
            </w:r>
            <w:r w:rsidRPr="000147D9">
              <w:rPr>
                <w:rFonts w:ascii="Verdana" w:eastAsia="Times New Roman" w:hAnsi="Verdana" w:cs="Calibri"/>
                <w:i/>
                <w:sz w:val="20"/>
                <w:szCs w:val="20"/>
              </w:rPr>
              <w:t>Accessible are structural and other facilities, transportation, technical consumer goods, information processing systems, acoustic and visual information sources and communication facilities as well as other designed areas of life, if they are available for disabled people in the generally customary manner, without any particular difficulty and accessible and usable without assistance</w:t>
            </w:r>
            <w:r w:rsidRPr="000147D9">
              <w:rPr>
                <w:rFonts w:ascii="Verdana" w:eastAsia="Times New Roman" w:hAnsi="Verdana" w:cs="Calibri"/>
                <w:sz w:val="20"/>
                <w:szCs w:val="20"/>
              </w:rPr>
              <w:t xml:space="preserve"> .” According to Section 7 BGG public authority must not discriminate against disabled people. </w:t>
            </w:r>
          </w:p>
          <w:p w14:paraId="27F841D5" w14:textId="3AF4C08C" w:rsidR="00ED2BB6" w:rsidRDefault="00F80038" w:rsidP="00F80038">
            <w:pPr>
              <w:rPr>
                <w:rFonts w:ascii="Verdana" w:eastAsia="Calibri" w:hAnsi="Verdana" w:cs="Times New Roman"/>
                <w:lang w:val="en-IE" w:eastAsia="en-US" w:bidi="en-US"/>
              </w:rPr>
            </w:pPr>
            <w:r w:rsidRPr="000147D9">
              <w:rPr>
                <w:rFonts w:ascii="Verdana" w:eastAsia="Times New Roman" w:hAnsi="Verdana" w:cs="Calibri"/>
                <w:sz w:val="20"/>
                <w:szCs w:val="20"/>
              </w:rPr>
              <w:t>Corresponding regulations are contained in the Disabled Persons Equality Acts of the Federal States (Länder).</w:t>
            </w:r>
          </w:p>
        </w:tc>
      </w:tr>
      <w:tr w:rsidR="00ED2BB6" w:rsidRPr="003B1872" w14:paraId="22353759" w14:textId="7A0247D7" w:rsidTr="00ED2BB6">
        <w:trPr>
          <w:trHeight w:val="510"/>
        </w:trPr>
        <w:tc>
          <w:tcPr>
            <w:tcW w:w="501" w:type="pct"/>
            <w:vAlign w:val="center"/>
          </w:tcPr>
          <w:p w14:paraId="4614349E"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448AFD8A" w14:textId="171A79B6" w:rsidR="00ED2BB6" w:rsidRDefault="00F80038" w:rsidP="00ED2BB6">
            <w:pPr>
              <w:rPr>
                <w:rFonts w:ascii="Verdana" w:eastAsia="Calibri" w:hAnsi="Verdana" w:cs="Times New Roman"/>
                <w:lang w:val="en-IE" w:eastAsia="en-US" w:bidi="en-US"/>
              </w:rPr>
            </w:pPr>
            <w:r w:rsidRPr="00F80038">
              <w:rPr>
                <w:rFonts w:ascii="Verdana" w:hAnsi="Verdana" w:cstheme="majorBidi"/>
                <w:sz w:val="20"/>
                <w:szCs w:val="20"/>
                <w:lang w:val="en-GB"/>
              </w:rPr>
              <w:t>Accurate numbers do not exist but research based on interviews with building administrators and building consultants</w:t>
            </w:r>
            <w:r w:rsidRPr="00F80038">
              <w:rPr>
                <w:rStyle w:val="FootnoteReference"/>
                <w:rFonts w:ascii="Verdana" w:hAnsi="Verdana" w:cstheme="majorBidi"/>
                <w:sz w:val="20"/>
                <w:szCs w:val="20"/>
                <w:lang w:val="en-GB"/>
              </w:rPr>
              <w:t xml:space="preserve"> </w:t>
            </w:r>
            <w:r w:rsidRPr="00F80038">
              <w:rPr>
                <w:rFonts w:ascii="Verdana" w:hAnsi="Verdana" w:cstheme="majorBidi"/>
                <w:sz w:val="20"/>
                <w:szCs w:val="20"/>
                <w:lang w:val="en-GB"/>
              </w:rPr>
              <w:t>indicates a slight change in the attention on this subject. It indicates a higher awareness on and knowledge of accessibility.</w:t>
            </w:r>
            <w:r w:rsidRPr="00F80038">
              <w:rPr>
                <w:rStyle w:val="FootnoteReference"/>
                <w:rFonts w:ascii="Verdana" w:hAnsi="Verdana" w:cstheme="majorBidi"/>
                <w:sz w:val="20"/>
                <w:szCs w:val="20"/>
                <w:lang w:val="en-GB"/>
              </w:rPr>
              <w:footnoteReference w:id="12"/>
            </w:r>
          </w:p>
        </w:tc>
      </w:tr>
      <w:tr w:rsidR="00ED2BB6" w:rsidRPr="003B1872" w14:paraId="2FD436A2" w14:textId="232D697B" w:rsidTr="00ED2BB6">
        <w:trPr>
          <w:trHeight w:val="510"/>
        </w:trPr>
        <w:tc>
          <w:tcPr>
            <w:tcW w:w="501" w:type="pct"/>
            <w:vAlign w:val="center"/>
          </w:tcPr>
          <w:p w14:paraId="6E9917D6"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20345F10" w14:textId="5D0685AB" w:rsidR="00ED2BB6" w:rsidRDefault="00F80038" w:rsidP="00ED2BB6">
            <w:pPr>
              <w:rPr>
                <w:rFonts w:ascii="Verdana" w:eastAsia="Calibri" w:hAnsi="Verdana" w:cs="Times New Roman"/>
                <w:lang w:val="en-IE" w:eastAsia="en-US" w:bidi="en-US"/>
              </w:rPr>
            </w:pPr>
            <w:r w:rsidRPr="00F80038">
              <w:rPr>
                <w:rFonts w:ascii="Verdana" w:eastAsia="Calibri" w:hAnsi="Verdana" w:cs="Times New Roman"/>
                <w:sz w:val="20"/>
                <w:szCs w:val="20"/>
                <w:lang w:val="en-GB"/>
              </w:rPr>
              <w:t>All public buildings should apply the regulation which requires the accessibility of the public buildings to persons with disabilities.</w:t>
            </w:r>
            <w:r w:rsidRPr="00F80038">
              <w:rPr>
                <w:rStyle w:val="FootnoteReference"/>
                <w:rFonts w:ascii="Verdana" w:eastAsia="Calibri" w:hAnsi="Verdana" w:cs="Times New Roman"/>
                <w:color w:val="000000"/>
                <w:sz w:val="20"/>
                <w:szCs w:val="20"/>
                <w:lang w:val="en-GB"/>
              </w:rPr>
              <w:footnoteReference w:id="13"/>
            </w:r>
            <w:r w:rsidRPr="00F80038">
              <w:rPr>
                <w:rFonts w:ascii="Verdana" w:hAnsi="Verdana" w:cs="Times New Roman"/>
                <w:color w:val="000000"/>
                <w:sz w:val="20"/>
                <w:szCs w:val="20"/>
                <w:lang w:val="en-GB"/>
              </w:rPr>
              <w:t xml:space="preserve"> </w:t>
            </w:r>
            <w:r w:rsidRPr="00F80038">
              <w:rPr>
                <w:rFonts w:ascii="Verdana" w:eastAsia="Calibri" w:hAnsi="Verdana" w:cs="Times New Roman"/>
                <w:sz w:val="20"/>
                <w:szCs w:val="20"/>
                <w:lang w:val="en-GB"/>
              </w:rPr>
              <w:t>However, the actual proportion of accessible buildings is unknown (no data collected), though organisations of disabled people have started to map the accessibility (for instance, the purpose is to map 400-600 buildings in Tallinn).</w:t>
            </w:r>
            <w:r w:rsidRPr="00F80038">
              <w:rPr>
                <w:rStyle w:val="FootnoteReference"/>
                <w:rFonts w:ascii="Verdana" w:eastAsia="Calibri" w:hAnsi="Verdana" w:cs="Times New Roman"/>
                <w:sz w:val="20"/>
                <w:szCs w:val="20"/>
                <w:lang w:val="en-GB"/>
              </w:rPr>
              <w:footnoteReference w:id="14"/>
            </w:r>
          </w:p>
        </w:tc>
      </w:tr>
      <w:tr w:rsidR="00ED2BB6" w:rsidRPr="003B1872" w14:paraId="4D28472C" w14:textId="142FB850" w:rsidTr="00ED2BB6">
        <w:trPr>
          <w:trHeight w:val="510"/>
        </w:trPr>
        <w:tc>
          <w:tcPr>
            <w:tcW w:w="501" w:type="pct"/>
            <w:vAlign w:val="center"/>
          </w:tcPr>
          <w:p w14:paraId="7B409F25"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3FAAEE8A" w14:textId="77777777" w:rsidR="00270890" w:rsidRPr="007B23A9" w:rsidRDefault="00270890" w:rsidP="00270890">
            <w:pPr>
              <w:jc w:val="both"/>
              <w:rPr>
                <w:rFonts w:ascii="Verdana" w:hAnsi="Verdana"/>
                <w:sz w:val="20"/>
                <w:szCs w:val="20"/>
                <w:lang w:val="en-GB"/>
              </w:rPr>
            </w:pPr>
            <w:r w:rsidRPr="007B23A9">
              <w:rPr>
                <w:rFonts w:ascii="Verdana" w:hAnsi="Verdana"/>
                <w:sz w:val="20"/>
                <w:szCs w:val="20"/>
              </w:rPr>
              <w:t>The</w:t>
            </w:r>
            <w:r w:rsidRPr="007B23A9">
              <w:rPr>
                <w:rFonts w:ascii="Verdana" w:hAnsi="Verdana"/>
                <w:sz w:val="20"/>
                <w:szCs w:val="20"/>
                <w:lang w:val="en-GB"/>
              </w:rPr>
              <w:t xml:space="preserve"> </w:t>
            </w:r>
            <w:r w:rsidRPr="007B23A9">
              <w:rPr>
                <w:rFonts w:ascii="Verdana" w:hAnsi="Verdana"/>
                <w:sz w:val="20"/>
                <w:szCs w:val="20"/>
              </w:rPr>
              <w:t>Directorate</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Simplification</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Procedures</w:t>
            </w:r>
            <w:r w:rsidRPr="007B23A9">
              <w:rPr>
                <w:rFonts w:ascii="Verdana" w:hAnsi="Verdana"/>
                <w:sz w:val="20"/>
                <w:szCs w:val="20"/>
                <w:lang w:val="en-GB"/>
              </w:rPr>
              <w:t xml:space="preserve"> </w:t>
            </w:r>
            <w:r w:rsidRPr="007B23A9">
              <w:rPr>
                <w:rFonts w:ascii="Verdana" w:hAnsi="Verdana"/>
                <w:sz w:val="20"/>
                <w:szCs w:val="20"/>
              </w:rPr>
              <w:t>and</w:t>
            </w:r>
            <w:r w:rsidRPr="007B23A9">
              <w:rPr>
                <w:rFonts w:ascii="Verdana" w:hAnsi="Verdana"/>
                <w:sz w:val="20"/>
                <w:szCs w:val="20"/>
                <w:lang w:val="en-GB"/>
              </w:rPr>
              <w:t xml:space="preserve"> </w:t>
            </w:r>
            <w:r w:rsidRPr="007B23A9">
              <w:rPr>
                <w:rFonts w:ascii="Verdana" w:hAnsi="Verdana"/>
                <w:sz w:val="20"/>
                <w:szCs w:val="20"/>
              </w:rPr>
              <w:t>Productivity</w:t>
            </w:r>
            <w:r w:rsidRPr="007B23A9">
              <w:rPr>
                <w:rFonts w:ascii="Verdana" w:hAnsi="Verdana"/>
                <w:sz w:val="20"/>
                <w:szCs w:val="20"/>
                <w:lang w:val="en-GB"/>
              </w:rPr>
              <w:t xml:space="preserve">, </w:t>
            </w:r>
            <w:r w:rsidRPr="007B23A9">
              <w:rPr>
                <w:rFonts w:ascii="Verdana" w:hAnsi="Verdana"/>
                <w:sz w:val="20"/>
                <w:szCs w:val="20"/>
              </w:rPr>
              <w:t>Section</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Accessibility</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People</w:t>
            </w:r>
            <w:r w:rsidRPr="007B23A9">
              <w:rPr>
                <w:rFonts w:ascii="Verdana" w:hAnsi="Verdana"/>
                <w:sz w:val="20"/>
                <w:szCs w:val="20"/>
                <w:lang w:val="en-GB"/>
              </w:rPr>
              <w:t xml:space="preserve"> </w:t>
            </w:r>
            <w:r w:rsidRPr="007B23A9">
              <w:rPr>
                <w:rFonts w:ascii="Verdana" w:hAnsi="Verdana"/>
                <w:sz w:val="20"/>
                <w:szCs w:val="20"/>
              </w:rPr>
              <w:t>with</w:t>
            </w:r>
            <w:r w:rsidRPr="007B23A9">
              <w:rPr>
                <w:rFonts w:ascii="Verdana" w:hAnsi="Verdana"/>
                <w:sz w:val="20"/>
                <w:szCs w:val="20"/>
                <w:lang w:val="en-GB"/>
              </w:rPr>
              <w:t xml:space="preserve"> </w:t>
            </w:r>
            <w:r w:rsidRPr="007B23A9">
              <w:rPr>
                <w:rFonts w:ascii="Verdana" w:hAnsi="Verdana"/>
                <w:sz w:val="20"/>
                <w:szCs w:val="20"/>
              </w:rPr>
              <w:t>Disabilities</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the</w:t>
            </w:r>
            <w:r w:rsidRPr="007B23A9">
              <w:rPr>
                <w:rFonts w:ascii="Verdana" w:hAnsi="Verdana"/>
                <w:sz w:val="20"/>
                <w:szCs w:val="20"/>
                <w:lang w:val="en-GB"/>
              </w:rPr>
              <w:t xml:space="preserve"> </w:t>
            </w:r>
            <w:r w:rsidRPr="007B23A9">
              <w:rPr>
                <w:rFonts w:ascii="Verdana" w:hAnsi="Verdana"/>
                <w:sz w:val="20"/>
                <w:szCs w:val="20"/>
              </w:rPr>
              <w:t>Ministry</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Administrative</w:t>
            </w:r>
            <w:r w:rsidRPr="007B23A9">
              <w:rPr>
                <w:rFonts w:ascii="Verdana" w:hAnsi="Verdana"/>
                <w:sz w:val="20"/>
                <w:szCs w:val="20"/>
                <w:lang w:val="en-GB"/>
              </w:rPr>
              <w:t xml:space="preserve"> </w:t>
            </w:r>
            <w:r w:rsidRPr="007B23A9">
              <w:rPr>
                <w:rFonts w:ascii="Verdana" w:hAnsi="Verdana"/>
                <w:sz w:val="20"/>
                <w:szCs w:val="20"/>
              </w:rPr>
              <w:t>Reform</w:t>
            </w:r>
            <w:r w:rsidRPr="007B23A9">
              <w:rPr>
                <w:rFonts w:ascii="Verdana" w:hAnsi="Verdana"/>
                <w:sz w:val="20"/>
                <w:szCs w:val="20"/>
                <w:lang w:val="en-GB"/>
              </w:rPr>
              <w:t xml:space="preserve"> </w:t>
            </w:r>
            <w:r w:rsidRPr="007B23A9">
              <w:rPr>
                <w:rFonts w:ascii="Verdana" w:hAnsi="Verdana"/>
                <w:sz w:val="20"/>
                <w:szCs w:val="20"/>
              </w:rPr>
              <w:t>and</w:t>
            </w:r>
            <w:r w:rsidRPr="007B23A9">
              <w:rPr>
                <w:rFonts w:ascii="Verdana" w:hAnsi="Verdana"/>
                <w:sz w:val="20"/>
                <w:szCs w:val="20"/>
                <w:lang w:val="en-GB"/>
              </w:rPr>
              <w:t xml:space="preserve"> </w:t>
            </w:r>
            <w:r w:rsidRPr="007B23A9">
              <w:rPr>
                <w:rFonts w:ascii="Verdana" w:hAnsi="Verdana"/>
                <w:sz w:val="20"/>
                <w:szCs w:val="20"/>
              </w:rPr>
              <w:t>Electronic</w:t>
            </w:r>
            <w:r w:rsidRPr="007B23A9">
              <w:rPr>
                <w:rFonts w:ascii="Verdana" w:hAnsi="Verdana"/>
                <w:sz w:val="20"/>
                <w:szCs w:val="20"/>
                <w:lang w:val="en-GB"/>
              </w:rPr>
              <w:t xml:space="preserve"> </w:t>
            </w:r>
            <w:r w:rsidRPr="007B23A9">
              <w:rPr>
                <w:rFonts w:ascii="Verdana" w:hAnsi="Verdana"/>
                <w:sz w:val="20"/>
                <w:szCs w:val="20"/>
              </w:rPr>
              <w:t>Government</w:t>
            </w:r>
            <w:r w:rsidRPr="007B23A9">
              <w:rPr>
                <w:rFonts w:ascii="Verdana" w:hAnsi="Verdana"/>
                <w:sz w:val="20"/>
                <w:szCs w:val="20"/>
                <w:lang w:val="en-GB"/>
              </w:rPr>
              <w:t>, conducted a survey of all public services, public law legal entities and local governments on the accessibility of buildings where services are located,</w:t>
            </w:r>
            <w:r w:rsidRPr="007B23A9">
              <w:rPr>
                <w:rFonts w:ascii="Verdana" w:hAnsi="Verdana"/>
                <w:sz w:val="20"/>
                <w:szCs w:val="20"/>
              </w:rPr>
              <w:t xml:space="preserve"> through a circular </w:t>
            </w:r>
            <w:r w:rsidRPr="007B23A9">
              <w:rPr>
                <w:rFonts w:ascii="Verdana" w:hAnsi="Verdana"/>
                <w:sz w:val="20"/>
                <w:szCs w:val="20"/>
                <w:lang w:val="el-GR"/>
              </w:rPr>
              <w:t>ΔΙΑΔΠ</w:t>
            </w:r>
            <w:r w:rsidRPr="007B23A9">
              <w:rPr>
                <w:rFonts w:ascii="Verdana" w:hAnsi="Verdana"/>
                <w:sz w:val="20"/>
                <w:szCs w:val="20"/>
                <w:lang w:val="en-GB"/>
              </w:rPr>
              <w:t>/</w:t>
            </w:r>
            <w:r w:rsidRPr="007B23A9">
              <w:rPr>
                <w:rFonts w:ascii="Verdana" w:hAnsi="Verdana"/>
                <w:sz w:val="20"/>
                <w:szCs w:val="20"/>
                <w:lang w:val="el-GR"/>
              </w:rPr>
              <w:t>Π</w:t>
            </w:r>
            <w:r w:rsidRPr="007B23A9">
              <w:rPr>
                <w:rFonts w:ascii="Verdana" w:hAnsi="Verdana"/>
                <w:sz w:val="20"/>
                <w:szCs w:val="20"/>
                <w:lang w:val="en-GB"/>
              </w:rPr>
              <w:t>.</w:t>
            </w:r>
            <w:r w:rsidRPr="007B23A9">
              <w:rPr>
                <w:rFonts w:ascii="Verdana" w:hAnsi="Verdana"/>
                <w:sz w:val="20"/>
                <w:szCs w:val="20"/>
                <w:lang w:val="el-GR"/>
              </w:rPr>
              <w:t>ΑμεΑ</w:t>
            </w:r>
            <w:r w:rsidRPr="007B23A9">
              <w:rPr>
                <w:rFonts w:ascii="Verdana" w:hAnsi="Verdana"/>
                <w:sz w:val="20"/>
                <w:szCs w:val="20"/>
                <w:lang w:val="en-GB"/>
              </w:rPr>
              <w:t>.</w:t>
            </w:r>
            <w:r w:rsidRPr="007B23A9">
              <w:rPr>
                <w:rFonts w:ascii="Verdana" w:hAnsi="Verdana"/>
                <w:sz w:val="20"/>
                <w:szCs w:val="20"/>
                <w:lang w:val="el-GR"/>
              </w:rPr>
              <w:t>Φ</w:t>
            </w:r>
            <w:r w:rsidRPr="007B23A9">
              <w:rPr>
                <w:rFonts w:ascii="Verdana" w:hAnsi="Verdana"/>
                <w:sz w:val="20"/>
                <w:szCs w:val="20"/>
                <w:lang w:val="en-GB"/>
              </w:rPr>
              <w:t>.3/2.6644/11.03.2008 on Accessibility of public buildings for people with disabilities</w:t>
            </w:r>
            <w:r w:rsidRPr="007B23A9">
              <w:rPr>
                <w:rStyle w:val="FootnoteReference"/>
                <w:rFonts w:ascii="Verdana" w:hAnsi="Verdana"/>
                <w:sz w:val="20"/>
                <w:szCs w:val="20"/>
                <w:lang w:val="en-GB"/>
              </w:rPr>
              <w:footnoteReference w:id="15"/>
            </w:r>
            <w:r w:rsidRPr="007B23A9">
              <w:rPr>
                <w:rFonts w:ascii="Verdana" w:hAnsi="Verdana"/>
                <w:sz w:val="20"/>
                <w:szCs w:val="20"/>
                <w:lang w:val="en-GB"/>
              </w:rPr>
              <w:t xml:space="preserve">. </w:t>
            </w:r>
          </w:p>
          <w:p w14:paraId="1B8DEC71" w14:textId="77777777" w:rsidR="00270890" w:rsidRPr="007B23A9" w:rsidRDefault="00270890" w:rsidP="00270890">
            <w:pPr>
              <w:jc w:val="both"/>
              <w:rPr>
                <w:rFonts w:ascii="Verdana" w:hAnsi="Verdana"/>
                <w:sz w:val="20"/>
                <w:szCs w:val="20"/>
                <w:lang w:val="en-GB"/>
              </w:rPr>
            </w:pPr>
          </w:p>
          <w:p w14:paraId="2EB46964" w14:textId="77777777" w:rsidR="00270890" w:rsidRPr="007B23A9" w:rsidRDefault="00270890" w:rsidP="00270890">
            <w:pPr>
              <w:jc w:val="both"/>
              <w:rPr>
                <w:rFonts w:ascii="Verdana" w:hAnsi="Verdana"/>
                <w:sz w:val="20"/>
                <w:szCs w:val="20"/>
              </w:rPr>
            </w:pPr>
            <w:r w:rsidRPr="007B23A9">
              <w:rPr>
                <w:rFonts w:ascii="Verdana" w:hAnsi="Verdana"/>
                <w:sz w:val="20"/>
                <w:szCs w:val="20"/>
                <w:lang w:val="en-GB"/>
              </w:rPr>
              <w:t xml:space="preserve">The survey collected information on a presentation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the</w:t>
            </w:r>
            <w:r w:rsidRPr="007B23A9">
              <w:rPr>
                <w:rFonts w:ascii="Verdana" w:hAnsi="Verdana"/>
                <w:sz w:val="20"/>
                <w:szCs w:val="20"/>
                <w:lang w:val="en-GB"/>
              </w:rPr>
              <w:t xml:space="preserve"> accessibility status of buildings, programming of actions and works for improving accessibility and </w:t>
            </w:r>
            <w:r w:rsidRPr="007B23A9">
              <w:rPr>
                <w:rFonts w:ascii="Verdana" w:hAnsi="Verdana"/>
                <w:sz w:val="20"/>
                <w:szCs w:val="20"/>
              </w:rPr>
              <w:t>time</w:t>
            </w:r>
            <w:r w:rsidRPr="007B23A9">
              <w:rPr>
                <w:rFonts w:ascii="Verdana" w:hAnsi="Verdana"/>
                <w:sz w:val="20"/>
                <w:szCs w:val="20"/>
                <w:lang w:val="en-GB"/>
              </w:rPr>
              <w:t xml:space="preserve"> </w:t>
            </w:r>
            <w:r w:rsidRPr="007B23A9">
              <w:rPr>
                <w:rFonts w:ascii="Verdana" w:hAnsi="Verdana"/>
                <w:sz w:val="20"/>
                <w:szCs w:val="20"/>
              </w:rPr>
              <w:t>plan</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these</w:t>
            </w:r>
            <w:r w:rsidRPr="007B23A9">
              <w:rPr>
                <w:rFonts w:ascii="Verdana" w:hAnsi="Verdana"/>
                <w:sz w:val="20"/>
                <w:szCs w:val="20"/>
                <w:lang w:val="en-GB"/>
              </w:rPr>
              <w:t xml:space="preserve"> </w:t>
            </w:r>
            <w:r w:rsidRPr="007B23A9">
              <w:rPr>
                <w:rFonts w:ascii="Verdana" w:hAnsi="Verdana"/>
                <w:sz w:val="20"/>
                <w:szCs w:val="20"/>
              </w:rPr>
              <w:t>actions. The criteria for accessibility were those included in national legislation</w:t>
            </w:r>
            <w:r w:rsidRPr="007B23A9">
              <w:rPr>
                <w:rStyle w:val="FootnoteReference"/>
                <w:rFonts w:ascii="Verdana" w:hAnsi="Verdana"/>
                <w:sz w:val="20"/>
                <w:szCs w:val="20"/>
              </w:rPr>
              <w:footnoteReference w:id="16"/>
            </w:r>
            <w:r w:rsidRPr="007B23A9">
              <w:rPr>
                <w:rFonts w:ascii="Verdana" w:hAnsi="Verdana"/>
                <w:sz w:val="20"/>
                <w:szCs w:val="20"/>
              </w:rPr>
              <w:t xml:space="preserve">. </w:t>
            </w:r>
          </w:p>
          <w:p w14:paraId="5A3BFFF6" w14:textId="77777777" w:rsidR="00270890" w:rsidRPr="007B23A9" w:rsidRDefault="00270890" w:rsidP="00270890">
            <w:pPr>
              <w:jc w:val="both"/>
              <w:rPr>
                <w:rFonts w:ascii="Verdana" w:hAnsi="Verdana"/>
                <w:sz w:val="20"/>
                <w:szCs w:val="20"/>
                <w:lang w:val="en-GB"/>
              </w:rPr>
            </w:pPr>
            <w:r w:rsidRPr="007B23A9">
              <w:rPr>
                <w:rFonts w:ascii="Verdana" w:hAnsi="Verdana"/>
                <w:sz w:val="20"/>
                <w:szCs w:val="20"/>
              </w:rPr>
              <w:t>The</w:t>
            </w:r>
            <w:r w:rsidRPr="007B23A9">
              <w:rPr>
                <w:rFonts w:ascii="Verdana" w:hAnsi="Verdana"/>
                <w:sz w:val="20"/>
                <w:szCs w:val="20"/>
                <w:lang w:val="en-GB"/>
              </w:rPr>
              <w:t xml:space="preserve"> </w:t>
            </w:r>
            <w:r w:rsidRPr="007B23A9">
              <w:rPr>
                <w:rFonts w:ascii="Verdana" w:hAnsi="Verdana"/>
                <w:sz w:val="20"/>
                <w:szCs w:val="20"/>
              </w:rPr>
              <w:t xml:space="preserve">survey was completed on </w:t>
            </w:r>
            <w:r w:rsidRPr="007B23A9">
              <w:rPr>
                <w:rFonts w:ascii="Verdana" w:hAnsi="Verdana"/>
                <w:sz w:val="20"/>
                <w:szCs w:val="20"/>
                <w:lang w:val="en-GB"/>
              </w:rPr>
              <w:t xml:space="preserve">31/07/2008 and the </w:t>
            </w:r>
            <w:r w:rsidRPr="007B23A9">
              <w:rPr>
                <w:rFonts w:ascii="Verdana" w:hAnsi="Verdana"/>
                <w:sz w:val="20"/>
                <w:szCs w:val="20"/>
              </w:rPr>
              <w:t>results were the following</w:t>
            </w:r>
            <w:r w:rsidRPr="007B23A9">
              <w:rPr>
                <w:rFonts w:ascii="Verdana" w:hAnsi="Verdana"/>
                <w:sz w:val="20"/>
                <w:szCs w:val="20"/>
                <w:lang w:val="en-GB"/>
              </w:rPr>
              <w:t xml:space="preserve">: </w:t>
            </w:r>
          </w:p>
          <w:p w14:paraId="4AD76A04" w14:textId="77777777" w:rsidR="00270890" w:rsidRPr="007B23A9" w:rsidRDefault="00270890" w:rsidP="00270890">
            <w:pPr>
              <w:jc w:val="both"/>
              <w:rPr>
                <w:rFonts w:ascii="Verdana" w:hAnsi="Verdana"/>
                <w:sz w:val="20"/>
                <w:szCs w:val="20"/>
                <w:lang w:val="en-GB"/>
              </w:rPr>
            </w:pPr>
          </w:p>
          <w:p w14:paraId="450AF9A3" w14:textId="77777777" w:rsidR="00270890" w:rsidRPr="007B23A9" w:rsidRDefault="00270890" w:rsidP="00270890">
            <w:pPr>
              <w:jc w:val="both"/>
              <w:rPr>
                <w:rFonts w:ascii="Verdana" w:hAnsi="Verdana"/>
                <w:sz w:val="20"/>
                <w:szCs w:val="20"/>
                <w:lang w:val="en-GB"/>
              </w:rPr>
            </w:pPr>
            <w:r w:rsidRPr="007B23A9">
              <w:rPr>
                <w:rFonts w:ascii="Verdana" w:hAnsi="Verdana"/>
                <w:sz w:val="20"/>
                <w:szCs w:val="20"/>
                <w:lang w:val="en-GB"/>
              </w:rPr>
              <w:t xml:space="preserve">- </w:t>
            </w:r>
            <w:r w:rsidRPr="007B23A9">
              <w:rPr>
                <w:rFonts w:ascii="Verdana" w:hAnsi="Verdana"/>
                <w:sz w:val="20"/>
                <w:szCs w:val="20"/>
              </w:rPr>
              <w:t>the</w:t>
            </w:r>
            <w:r w:rsidRPr="007B23A9">
              <w:rPr>
                <w:rFonts w:ascii="Verdana" w:hAnsi="Verdana"/>
                <w:sz w:val="20"/>
                <w:szCs w:val="20"/>
                <w:lang w:val="en-GB"/>
              </w:rPr>
              <w:t xml:space="preserve"> </w:t>
            </w:r>
            <w:r w:rsidRPr="007B23A9">
              <w:rPr>
                <w:rFonts w:ascii="Verdana" w:hAnsi="Verdana"/>
                <w:sz w:val="20"/>
                <w:szCs w:val="20"/>
              </w:rPr>
              <w:t>data</w:t>
            </w:r>
            <w:r w:rsidRPr="007B23A9">
              <w:rPr>
                <w:rFonts w:ascii="Verdana" w:hAnsi="Verdana"/>
                <w:sz w:val="20"/>
                <w:szCs w:val="20"/>
                <w:lang w:val="en-GB"/>
              </w:rPr>
              <w:t xml:space="preserve"> </w:t>
            </w:r>
            <w:r w:rsidRPr="007B23A9">
              <w:rPr>
                <w:rFonts w:ascii="Verdana" w:hAnsi="Verdana"/>
                <w:sz w:val="20"/>
                <w:szCs w:val="20"/>
              </w:rPr>
              <w:t>collected</w:t>
            </w:r>
            <w:r w:rsidRPr="007B23A9">
              <w:rPr>
                <w:rFonts w:ascii="Verdana" w:hAnsi="Verdana"/>
                <w:sz w:val="20"/>
                <w:szCs w:val="20"/>
                <w:lang w:val="en-GB"/>
              </w:rPr>
              <w:t xml:space="preserve"> </w:t>
            </w:r>
            <w:r w:rsidRPr="007B23A9">
              <w:rPr>
                <w:rFonts w:ascii="Verdana" w:hAnsi="Verdana"/>
                <w:sz w:val="20"/>
                <w:szCs w:val="20"/>
              </w:rPr>
              <w:t>originated</w:t>
            </w:r>
            <w:r w:rsidRPr="007B23A9">
              <w:rPr>
                <w:rFonts w:ascii="Verdana" w:hAnsi="Verdana"/>
                <w:sz w:val="20"/>
                <w:szCs w:val="20"/>
                <w:lang w:val="en-GB"/>
              </w:rPr>
              <w:t xml:space="preserve"> </w:t>
            </w:r>
            <w:r w:rsidRPr="007B23A9">
              <w:rPr>
                <w:rFonts w:ascii="Verdana" w:hAnsi="Verdana"/>
                <w:sz w:val="20"/>
                <w:szCs w:val="20"/>
              </w:rPr>
              <w:t>from</w:t>
            </w:r>
            <w:r w:rsidRPr="007B23A9">
              <w:rPr>
                <w:rFonts w:ascii="Verdana" w:hAnsi="Verdana"/>
                <w:sz w:val="20"/>
                <w:szCs w:val="20"/>
                <w:lang w:val="en-GB"/>
              </w:rPr>
              <w:t xml:space="preserve"> 376 </w:t>
            </w:r>
            <w:r w:rsidRPr="007B23A9">
              <w:rPr>
                <w:rFonts w:ascii="Verdana" w:hAnsi="Verdana"/>
                <w:sz w:val="20"/>
                <w:szCs w:val="20"/>
              </w:rPr>
              <w:t xml:space="preserve">bodies and concerned </w:t>
            </w:r>
            <w:r w:rsidRPr="007B23A9">
              <w:rPr>
                <w:rFonts w:ascii="Verdana" w:hAnsi="Verdana"/>
                <w:sz w:val="20"/>
                <w:szCs w:val="20"/>
                <w:lang w:val="en-GB"/>
              </w:rPr>
              <w:t xml:space="preserve">3.828 buildings. Of these, 9 buildings were used by </w:t>
            </w:r>
            <w:r w:rsidRPr="007B23A9">
              <w:rPr>
                <w:rFonts w:ascii="Verdana" w:hAnsi="Verdana"/>
                <w:sz w:val="20"/>
                <w:szCs w:val="20"/>
              </w:rPr>
              <w:t xml:space="preserve">Ministries, </w:t>
            </w:r>
            <w:r w:rsidRPr="007B23A9">
              <w:rPr>
                <w:rFonts w:ascii="Verdana" w:hAnsi="Verdana"/>
                <w:sz w:val="20"/>
                <w:szCs w:val="20"/>
                <w:lang w:val="en-GB"/>
              </w:rPr>
              <w:t xml:space="preserve">6 </w:t>
            </w:r>
            <w:r w:rsidRPr="007B23A9">
              <w:rPr>
                <w:rFonts w:ascii="Verdana" w:hAnsi="Verdana"/>
                <w:sz w:val="20"/>
                <w:szCs w:val="20"/>
              </w:rPr>
              <w:t xml:space="preserve">by General Secretariats, </w:t>
            </w:r>
            <w:r w:rsidRPr="007B23A9">
              <w:rPr>
                <w:rFonts w:ascii="Verdana" w:hAnsi="Verdana"/>
                <w:sz w:val="20"/>
                <w:szCs w:val="20"/>
                <w:lang w:val="en-GB"/>
              </w:rPr>
              <w:t xml:space="preserve">139 </w:t>
            </w:r>
            <w:r w:rsidRPr="007B23A9">
              <w:rPr>
                <w:rFonts w:ascii="Verdana" w:hAnsi="Verdana"/>
                <w:sz w:val="20"/>
                <w:szCs w:val="20"/>
              </w:rPr>
              <w:t xml:space="preserve">by public law entities, </w:t>
            </w:r>
            <w:r w:rsidRPr="007B23A9">
              <w:rPr>
                <w:rFonts w:ascii="Verdana" w:hAnsi="Verdana"/>
                <w:sz w:val="20"/>
                <w:szCs w:val="20"/>
                <w:lang w:val="en-GB"/>
              </w:rPr>
              <w:t xml:space="preserve">193 by </w:t>
            </w:r>
            <w:r w:rsidRPr="007B23A9">
              <w:rPr>
                <w:rFonts w:ascii="Verdana" w:hAnsi="Verdana"/>
                <w:sz w:val="20"/>
                <w:szCs w:val="20"/>
              </w:rPr>
              <w:t xml:space="preserve">first tier local government authorities (municipalities), </w:t>
            </w:r>
            <w:r w:rsidRPr="007B23A9">
              <w:rPr>
                <w:rFonts w:ascii="Verdana" w:hAnsi="Verdana"/>
                <w:sz w:val="20"/>
                <w:szCs w:val="20"/>
                <w:lang w:val="en-GB"/>
              </w:rPr>
              <w:t xml:space="preserve">20 by </w:t>
            </w:r>
            <w:r w:rsidRPr="007B23A9">
              <w:rPr>
                <w:rFonts w:ascii="Verdana" w:hAnsi="Verdana"/>
                <w:sz w:val="20"/>
                <w:szCs w:val="20"/>
              </w:rPr>
              <w:t xml:space="preserve">second tier local government entities (prefectures) and </w:t>
            </w:r>
            <w:r w:rsidRPr="007B23A9">
              <w:rPr>
                <w:rFonts w:ascii="Verdana" w:hAnsi="Verdana"/>
                <w:sz w:val="20"/>
                <w:szCs w:val="20"/>
                <w:lang w:val="en-GB"/>
              </w:rPr>
              <w:t xml:space="preserve">9 </w:t>
            </w:r>
            <w:r w:rsidRPr="007B23A9">
              <w:rPr>
                <w:rFonts w:ascii="Verdana" w:hAnsi="Verdana"/>
                <w:sz w:val="20"/>
                <w:szCs w:val="20"/>
              </w:rPr>
              <w:t xml:space="preserve">by Districts. </w:t>
            </w:r>
          </w:p>
          <w:p w14:paraId="5117C86B" w14:textId="77777777" w:rsidR="00270890" w:rsidRPr="007B23A9" w:rsidRDefault="00270890" w:rsidP="00270890">
            <w:pPr>
              <w:jc w:val="both"/>
              <w:rPr>
                <w:rFonts w:ascii="Verdana" w:hAnsi="Verdana"/>
                <w:sz w:val="20"/>
                <w:szCs w:val="20"/>
                <w:lang w:val="en-GB"/>
              </w:rPr>
            </w:pPr>
            <w:r w:rsidRPr="007B23A9">
              <w:rPr>
                <w:rFonts w:ascii="Verdana" w:hAnsi="Verdana"/>
                <w:sz w:val="20"/>
                <w:szCs w:val="20"/>
                <w:lang w:val="en-GB"/>
              </w:rPr>
              <w:t xml:space="preserve">- </w:t>
            </w:r>
            <w:r w:rsidRPr="007B23A9">
              <w:rPr>
                <w:rFonts w:ascii="Verdana" w:hAnsi="Verdana"/>
                <w:sz w:val="20"/>
                <w:szCs w:val="20"/>
              </w:rPr>
              <w:t>accessibility</w:t>
            </w:r>
            <w:r w:rsidRPr="007B23A9">
              <w:rPr>
                <w:rFonts w:ascii="Verdana" w:hAnsi="Verdana"/>
                <w:sz w:val="20"/>
                <w:szCs w:val="20"/>
                <w:lang w:val="en-GB"/>
              </w:rPr>
              <w:t xml:space="preserve"> </w:t>
            </w:r>
            <w:r w:rsidRPr="007B23A9">
              <w:rPr>
                <w:rFonts w:ascii="Verdana" w:hAnsi="Verdana"/>
                <w:sz w:val="20"/>
                <w:szCs w:val="20"/>
              </w:rPr>
              <w:t>works</w:t>
            </w:r>
            <w:r w:rsidRPr="007B23A9">
              <w:rPr>
                <w:rFonts w:ascii="Verdana" w:hAnsi="Verdana"/>
                <w:sz w:val="20"/>
                <w:szCs w:val="20"/>
                <w:lang w:val="en-GB"/>
              </w:rPr>
              <w:t xml:space="preserve"> were </w:t>
            </w:r>
            <w:r w:rsidRPr="007B23A9">
              <w:rPr>
                <w:rFonts w:ascii="Verdana" w:hAnsi="Verdana"/>
                <w:sz w:val="20"/>
                <w:szCs w:val="20"/>
              </w:rPr>
              <w:t>planned</w:t>
            </w:r>
            <w:r w:rsidRPr="007B23A9">
              <w:rPr>
                <w:rFonts w:ascii="Verdana" w:hAnsi="Verdana"/>
                <w:sz w:val="20"/>
                <w:szCs w:val="20"/>
                <w:lang w:val="en-GB"/>
              </w:rPr>
              <w:t xml:space="preserve"> for 776 </w:t>
            </w:r>
            <w:r w:rsidRPr="007B23A9">
              <w:rPr>
                <w:rFonts w:ascii="Verdana" w:hAnsi="Verdana"/>
                <w:sz w:val="20"/>
                <w:szCs w:val="20"/>
              </w:rPr>
              <w:t>building</w:t>
            </w:r>
            <w:r w:rsidRPr="007B23A9">
              <w:rPr>
                <w:rFonts w:ascii="Verdana" w:hAnsi="Verdana"/>
                <w:sz w:val="20"/>
                <w:szCs w:val="20"/>
                <w:lang w:val="en-GB"/>
              </w:rPr>
              <w:t xml:space="preserve"> (20%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the</w:t>
            </w:r>
            <w:r w:rsidRPr="007B23A9">
              <w:rPr>
                <w:rFonts w:ascii="Verdana" w:hAnsi="Verdana"/>
                <w:sz w:val="20"/>
                <w:szCs w:val="20"/>
                <w:lang w:val="en-GB"/>
              </w:rPr>
              <w:t xml:space="preserve"> </w:t>
            </w:r>
            <w:r w:rsidRPr="007B23A9">
              <w:rPr>
                <w:rFonts w:ascii="Verdana" w:hAnsi="Verdana"/>
                <w:sz w:val="20"/>
                <w:szCs w:val="20"/>
              </w:rPr>
              <w:t>total</w:t>
            </w:r>
            <w:r w:rsidRPr="007B23A9">
              <w:rPr>
                <w:rFonts w:ascii="Verdana" w:hAnsi="Verdana"/>
                <w:sz w:val="20"/>
                <w:szCs w:val="20"/>
                <w:lang w:val="en-GB"/>
              </w:rPr>
              <w:t xml:space="preserve">) </w:t>
            </w:r>
            <w:r w:rsidRPr="007B23A9">
              <w:rPr>
                <w:rFonts w:ascii="Verdana" w:hAnsi="Verdana"/>
                <w:sz w:val="20"/>
                <w:szCs w:val="20"/>
              </w:rPr>
              <w:t>while</w:t>
            </w:r>
            <w:r w:rsidRPr="007B23A9">
              <w:rPr>
                <w:rFonts w:ascii="Verdana" w:hAnsi="Verdana"/>
                <w:sz w:val="20"/>
                <w:szCs w:val="20"/>
                <w:lang w:val="en-GB"/>
              </w:rPr>
              <w:t xml:space="preserve"> no works were planned for 3.052 buildings (80% of the total). </w:t>
            </w:r>
          </w:p>
          <w:p w14:paraId="1870816C" w14:textId="77777777" w:rsidR="00270890" w:rsidRPr="007B23A9" w:rsidRDefault="00270890" w:rsidP="00270890">
            <w:pPr>
              <w:jc w:val="both"/>
              <w:rPr>
                <w:rFonts w:ascii="Verdana" w:hAnsi="Verdana"/>
                <w:sz w:val="20"/>
                <w:szCs w:val="20"/>
                <w:lang w:val="en-GB"/>
              </w:rPr>
            </w:pPr>
            <w:r w:rsidRPr="007B23A9">
              <w:rPr>
                <w:rFonts w:ascii="Verdana" w:hAnsi="Verdana"/>
                <w:sz w:val="20"/>
                <w:szCs w:val="20"/>
              </w:rPr>
              <w:t>- in terms of accessibility i</w:t>
            </w:r>
            <w:r w:rsidRPr="007B23A9">
              <w:rPr>
                <w:rFonts w:ascii="Verdana" w:hAnsi="Verdana"/>
                <w:sz w:val="20"/>
                <w:szCs w:val="20"/>
                <w:lang w:val="en-GB"/>
              </w:rPr>
              <w:t xml:space="preserve">n 1.888 </w:t>
            </w:r>
            <w:r w:rsidRPr="007B23A9">
              <w:rPr>
                <w:rFonts w:ascii="Verdana" w:hAnsi="Verdana"/>
                <w:sz w:val="20"/>
                <w:szCs w:val="20"/>
              </w:rPr>
              <w:t>buildings</w:t>
            </w:r>
            <w:r w:rsidRPr="007B23A9">
              <w:rPr>
                <w:rFonts w:ascii="Verdana" w:hAnsi="Verdana"/>
                <w:sz w:val="20"/>
                <w:szCs w:val="20"/>
                <w:lang w:val="en-GB"/>
              </w:rPr>
              <w:t xml:space="preserve"> (49%) </w:t>
            </w:r>
            <w:r w:rsidRPr="007B23A9">
              <w:rPr>
                <w:rFonts w:ascii="Verdana" w:hAnsi="Verdana"/>
                <w:sz w:val="20"/>
                <w:szCs w:val="20"/>
              </w:rPr>
              <w:t>no</w:t>
            </w:r>
            <w:r w:rsidRPr="007B23A9">
              <w:rPr>
                <w:rFonts w:ascii="Verdana" w:hAnsi="Verdana"/>
                <w:sz w:val="20"/>
                <w:szCs w:val="20"/>
                <w:lang w:val="en-GB"/>
              </w:rPr>
              <w:t xml:space="preserve"> </w:t>
            </w:r>
            <w:r w:rsidRPr="007B23A9">
              <w:rPr>
                <w:rFonts w:ascii="Verdana" w:hAnsi="Verdana"/>
                <w:sz w:val="20"/>
                <w:szCs w:val="20"/>
              </w:rPr>
              <w:t>accessibility</w:t>
            </w:r>
            <w:r w:rsidRPr="007B23A9">
              <w:rPr>
                <w:rFonts w:ascii="Verdana" w:hAnsi="Verdana"/>
                <w:sz w:val="20"/>
                <w:szCs w:val="20"/>
                <w:lang w:val="en-GB"/>
              </w:rPr>
              <w:t xml:space="preserve"> </w:t>
            </w:r>
            <w:r w:rsidRPr="007B23A9">
              <w:rPr>
                <w:rFonts w:ascii="Verdana" w:hAnsi="Verdana"/>
                <w:sz w:val="20"/>
                <w:szCs w:val="20"/>
              </w:rPr>
              <w:t>measures were adopted while w</w:t>
            </w:r>
            <w:r w:rsidRPr="007B23A9">
              <w:rPr>
                <w:rFonts w:ascii="Verdana" w:hAnsi="Verdana"/>
                <w:sz w:val="20"/>
                <w:szCs w:val="20"/>
                <w:lang w:val="en-GB"/>
              </w:rPr>
              <w:t xml:space="preserve">orks </w:t>
            </w:r>
            <w:r w:rsidRPr="007B23A9">
              <w:rPr>
                <w:rFonts w:ascii="Verdana" w:hAnsi="Verdana"/>
                <w:sz w:val="20"/>
                <w:szCs w:val="20"/>
              </w:rPr>
              <w:t>we</w:t>
            </w:r>
            <w:r w:rsidRPr="007B23A9">
              <w:rPr>
                <w:rFonts w:ascii="Verdana" w:hAnsi="Verdana"/>
                <w:sz w:val="20"/>
                <w:szCs w:val="20"/>
                <w:lang w:val="en-GB"/>
              </w:rPr>
              <w:t xml:space="preserve">re planned in 346 </w:t>
            </w:r>
            <w:r w:rsidRPr="007B23A9">
              <w:rPr>
                <w:rFonts w:ascii="Verdana" w:hAnsi="Verdana"/>
                <w:sz w:val="20"/>
                <w:szCs w:val="20"/>
              </w:rPr>
              <w:t>buildings</w:t>
            </w:r>
            <w:r w:rsidRPr="007B23A9">
              <w:rPr>
                <w:rFonts w:ascii="Verdana" w:hAnsi="Verdana"/>
                <w:sz w:val="20"/>
                <w:szCs w:val="20"/>
                <w:lang w:val="en-GB"/>
              </w:rPr>
              <w:t xml:space="preserve"> (18%). </w:t>
            </w:r>
            <w:r w:rsidRPr="007B23A9">
              <w:rPr>
                <w:rFonts w:ascii="Verdana" w:hAnsi="Verdana"/>
                <w:sz w:val="20"/>
                <w:szCs w:val="20"/>
              </w:rPr>
              <w:t xml:space="preserve">In </w:t>
            </w:r>
            <w:r w:rsidRPr="007B23A9">
              <w:rPr>
                <w:rFonts w:ascii="Verdana" w:hAnsi="Verdana"/>
                <w:sz w:val="20"/>
                <w:szCs w:val="20"/>
                <w:lang w:val="en-GB"/>
              </w:rPr>
              <w:t xml:space="preserve">1.594 </w:t>
            </w:r>
            <w:r w:rsidRPr="007B23A9">
              <w:rPr>
                <w:rFonts w:ascii="Verdana" w:hAnsi="Verdana"/>
                <w:sz w:val="20"/>
                <w:szCs w:val="20"/>
              </w:rPr>
              <w:t xml:space="preserve">buildings </w:t>
            </w:r>
            <w:r w:rsidRPr="007B23A9">
              <w:rPr>
                <w:rFonts w:ascii="Verdana" w:hAnsi="Verdana"/>
                <w:sz w:val="20"/>
                <w:szCs w:val="20"/>
                <w:lang w:val="en-GB"/>
              </w:rPr>
              <w:t xml:space="preserve">(42%) </w:t>
            </w:r>
            <w:r w:rsidRPr="007B23A9">
              <w:rPr>
                <w:rFonts w:ascii="Verdana" w:hAnsi="Verdana"/>
                <w:sz w:val="20"/>
                <w:szCs w:val="20"/>
              </w:rPr>
              <w:t xml:space="preserve">partial accessibility was ensured. Only </w:t>
            </w:r>
            <w:r w:rsidRPr="007B23A9">
              <w:rPr>
                <w:rFonts w:ascii="Verdana" w:hAnsi="Verdana"/>
                <w:sz w:val="20"/>
                <w:szCs w:val="20"/>
                <w:lang w:val="en-GB"/>
              </w:rPr>
              <w:t xml:space="preserve">346 buildings (9%) were fully accessible to people with disabilities. No updated information is available. </w:t>
            </w:r>
          </w:p>
          <w:p w14:paraId="2F21C9D4" w14:textId="77777777" w:rsidR="00270890" w:rsidRPr="007B23A9" w:rsidRDefault="00270890" w:rsidP="00270890">
            <w:pPr>
              <w:jc w:val="both"/>
              <w:rPr>
                <w:rFonts w:ascii="Verdana" w:hAnsi="Verdana"/>
                <w:sz w:val="20"/>
                <w:szCs w:val="20"/>
                <w:lang w:val="en-GB"/>
              </w:rPr>
            </w:pPr>
          </w:p>
          <w:p w14:paraId="3E488955" w14:textId="77777777" w:rsidR="00270890" w:rsidRPr="007B23A9" w:rsidRDefault="00270890" w:rsidP="00270890">
            <w:pPr>
              <w:jc w:val="both"/>
              <w:rPr>
                <w:rFonts w:ascii="Verdana" w:hAnsi="Verdana"/>
                <w:sz w:val="20"/>
                <w:szCs w:val="20"/>
                <w:lang w:val="en-GB"/>
              </w:rPr>
            </w:pPr>
            <w:r w:rsidRPr="007B23A9">
              <w:rPr>
                <w:rFonts w:ascii="Verdana" w:hAnsi="Verdana"/>
                <w:sz w:val="20"/>
                <w:szCs w:val="20"/>
              </w:rPr>
              <w:t>According to inspections conducted by the</w:t>
            </w:r>
            <w:r w:rsidRPr="007B23A9">
              <w:rPr>
                <w:rFonts w:ascii="Verdana" w:hAnsi="Verdana"/>
                <w:sz w:val="20"/>
                <w:szCs w:val="20"/>
                <w:lang w:val="en-GB"/>
              </w:rPr>
              <w:t xml:space="preserve"> </w:t>
            </w:r>
            <w:r w:rsidRPr="007B23A9">
              <w:rPr>
                <w:rFonts w:ascii="Verdana" w:hAnsi="Verdana"/>
                <w:sz w:val="20"/>
                <w:szCs w:val="20"/>
              </w:rPr>
              <w:t>Body</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Inspectors</w:t>
            </w:r>
            <w:r w:rsidRPr="007B23A9">
              <w:rPr>
                <w:rFonts w:ascii="Verdana" w:hAnsi="Verdana"/>
                <w:sz w:val="20"/>
                <w:szCs w:val="20"/>
                <w:lang w:val="en-GB"/>
              </w:rPr>
              <w:t xml:space="preserve"> </w:t>
            </w:r>
            <w:r w:rsidRPr="007B23A9">
              <w:rPr>
                <w:rFonts w:ascii="Verdana" w:hAnsi="Verdana"/>
                <w:sz w:val="20"/>
                <w:szCs w:val="20"/>
              </w:rPr>
              <w:t>Controllers</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Public</w:t>
            </w:r>
            <w:r w:rsidRPr="007B23A9">
              <w:rPr>
                <w:rFonts w:ascii="Verdana" w:hAnsi="Verdana"/>
                <w:sz w:val="20"/>
                <w:szCs w:val="20"/>
                <w:lang w:val="en-GB"/>
              </w:rPr>
              <w:t xml:space="preserve"> </w:t>
            </w:r>
            <w:r w:rsidRPr="007B23A9">
              <w:rPr>
                <w:rFonts w:ascii="Verdana" w:hAnsi="Verdana"/>
                <w:sz w:val="20"/>
                <w:szCs w:val="20"/>
              </w:rPr>
              <w:t>Administration,</w:t>
            </w:r>
            <w:r w:rsidRPr="007B23A9">
              <w:rPr>
                <w:rFonts w:ascii="Verdana" w:hAnsi="Verdana"/>
                <w:sz w:val="20"/>
                <w:szCs w:val="20"/>
                <w:lang w:val="en-GB"/>
              </w:rPr>
              <w:t xml:space="preserve"> in the Prefecture of Larissa 48% of public buildings are accessible. In the district of Peloponnisos, 21% of the buildings are accessible in the city of Nafplion, 34% in the city of Kalamata, 40% in the city of Tripolis and 42% in the city of Sparta. The criteria used to determine accessibility were those included in construction regulations valid at that time (</w:t>
            </w:r>
            <w:r w:rsidRPr="007B23A9">
              <w:rPr>
                <w:rFonts w:ascii="Verdana" w:hAnsi="Verdana"/>
                <w:sz w:val="20"/>
                <w:szCs w:val="20"/>
              </w:rPr>
              <w:t xml:space="preserve">Law 1577/1985 General Construction Regulations </w:t>
            </w:r>
            <w:r w:rsidRPr="007B23A9">
              <w:rPr>
                <w:rFonts w:ascii="Verdana" w:hAnsi="Verdana"/>
                <w:i/>
                <w:sz w:val="20"/>
                <w:szCs w:val="20"/>
              </w:rPr>
              <w:t>(</w:t>
            </w:r>
            <w:r w:rsidRPr="007B23A9">
              <w:rPr>
                <w:rFonts w:ascii="Verdana" w:hAnsi="Verdana"/>
                <w:i/>
                <w:sz w:val="20"/>
                <w:szCs w:val="20"/>
                <w:lang w:val="el-GR"/>
              </w:rPr>
              <w:t>Γενικός</w:t>
            </w:r>
            <w:r w:rsidRPr="007B23A9">
              <w:rPr>
                <w:rFonts w:ascii="Verdana" w:hAnsi="Verdana"/>
                <w:i/>
                <w:sz w:val="20"/>
                <w:szCs w:val="20"/>
                <w:lang w:val="en-GB"/>
              </w:rPr>
              <w:t xml:space="preserve"> </w:t>
            </w:r>
            <w:r w:rsidRPr="007B23A9">
              <w:rPr>
                <w:rFonts w:ascii="Verdana" w:hAnsi="Verdana"/>
                <w:i/>
                <w:sz w:val="20"/>
                <w:szCs w:val="20"/>
                <w:lang w:val="el-GR"/>
              </w:rPr>
              <w:t>Οικοδομικός</w:t>
            </w:r>
            <w:r w:rsidRPr="007B23A9">
              <w:rPr>
                <w:rFonts w:ascii="Verdana" w:hAnsi="Verdana"/>
                <w:i/>
                <w:sz w:val="20"/>
                <w:szCs w:val="20"/>
                <w:lang w:val="en-GB"/>
              </w:rPr>
              <w:t xml:space="preserve"> </w:t>
            </w:r>
            <w:r w:rsidRPr="007B23A9">
              <w:rPr>
                <w:rFonts w:ascii="Verdana" w:hAnsi="Verdana"/>
                <w:i/>
                <w:sz w:val="20"/>
                <w:szCs w:val="20"/>
                <w:lang w:val="el-GR"/>
              </w:rPr>
              <w:t>Κανονισμός</w:t>
            </w:r>
            <w:r w:rsidRPr="007B23A9">
              <w:rPr>
                <w:rFonts w:ascii="Verdana" w:hAnsi="Verdana"/>
                <w:sz w:val="20"/>
                <w:szCs w:val="20"/>
              </w:rPr>
              <w:t>)</w:t>
            </w:r>
            <w:r w:rsidRPr="007B23A9">
              <w:rPr>
                <w:rFonts w:ascii="Verdana" w:hAnsi="Verdana"/>
                <w:sz w:val="20"/>
                <w:szCs w:val="20"/>
                <w:lang w:val="en-GB"/>
              </w:rPr>
              <w:t xml:space="preserve">. </w:t>
            </w:r>
          </w:p>
          <w:p w14:paraId="7FC94802" w14:textId="77777777" w:rsidR="00270890" w:rsidRPr="007B23A9" w:rsidRDefault="00270890" w:rsidP="00270890">
            <w:pPr>
              <w:jc w:val="both"/>
              <w:rPr>
                <w:rFonts w:ascii="Verdana" w:hAnsi="Verdana"/>
                <w:sz w:val="20"/>
                <w:szCs w:val="20"/>
                <w:lang w:val="en-GB"/>
              </w:rPr>
            </w:pPr>
          </w:p>
          <w:p w14:paraId="67DC7587" w14:textId="77777777" w:rsidR="00270890" w:rsidRPr="007B23A9" w:rsidRDefault="00270890" w:rsidP="00270890">
            <w:pPr>
              <w:jc w:val="both"/>
              <w:rPr>
                <w:rFonts w:ascii="Verdana" w:hAnsi="Verdana"/>
                <w:sz w:val="20"/>
                <w:szCs w:val="20"/>
                <w:lang w:val="en-GB"/>
              </w:rPr>
            </w:pPr>
            <w:r w:rsidRPr="007B23A9">
              <w:rPr>
                <w:rFonts w:ascii="Verdana" w:hAnsi="Verdana"/>
                <w:sz w:val="20"/>
                <w:szCs w:val="20"/>
                <w:lang w:val="en-GB"/>
              </w:rPr>
              <w:t xml:space="preserve">Following information provided by certain districts: </w:t>
            </w:r>
          </w:p>
          <w:p w14:paraId="0F959F2D" w14:textId="77777777" w:rsidR="00270890" w:rsidRPr="007B23A9" w:rsidRDefault="00270890" w:rsidP="00270890">
            <w:pPr>
              <w:jc w:val="both"/>
              <w:rPr>
                <w:rFonts w:ascii="Verdana" w:hAnsi="Verdana"/>
                <w:sz w:val="20"/>
                <w:szCs w:val="20"/>
                <w:lang w:val="en-GB"/>
              </w:rPr>
            </w:pPr>
            <w:r w:rsidRPr="007B23A9">
              <w:rPr>
                <w:rFonts w:ascii="Verdana" w:hAnsi="Verdana"/>
                <w:sz w:val="20"/>
                <w:szCs w:val="20"/>
                <w:lang w:val="en-GB"/>
              </w:rPr>
              <w:t xml:space="preserve">-In the district of Athens accessible buildings raise to 95% of the total; </w:t>
            </w:r>
          </w:p>
          <w:p w14:paraId="7A0840BC" w14:textId="77777777" w:rsidR="00270890" w:rsidRPr="007B23A9" w:rsidRDefault="00270890" w:rsidP="00270890">
            <w:pPr>
              <w:jc w:val="both"/>
              <w:rPr>
                <w:rFonts w:ascii="Verdana" w:hAnsi="Verdana"/>
                <w:sz w:val="20"/>
                <w:szCs w:val="20"/>
                <w:lang w:val="en-GB"/>
              </w:rPr>
            </w:pPr>
            <w:r w:rsidRPr="007B23A9">
              <w:rPr>
                <w:rFonts w:ascii="Verdana" w:hAnsi="Verdana"/>
                <w:sz w:val="20"/>
                <w:szCs w:val="20"/>
                <w:lang w:val="en-GB"/>
              </w:rPr>
              <w:t xml:space="preserve">-In the district of western Greece 60 % of the buildings of the district entity of Achaia are accessible, 85% of the district entity of Ileia and only 1 building in the District entity of Etoloakarnania </w:t>
            </w:r>
          </w:p>
          <w:p w14:paraId="05BEA431" w14:textId="29A85FC3" w:rsidR="00ED2BB6" w:rsidRDefault="00270890" w:rsidP="00270890">
            <w:pPr>
              <w:rPr>
                <w:rFonts w:ascii="Verdana" w:eastAsia="Calibri" w:hAnsi="Verdana" w:cs="Times New Roman"/>
                <w:lang w:val="en-IE" w:eastAsia="en-US" w:bidi="en-US"/>
              </w:rPr>
            </w:pPr>
            <w:r w:rsidRPr="007B23A9">
              <w:rPr>
                <w:rFonts w:ascii="Verdana" w:hAnsi="Verdana"/>
                <w:sz w:val="20"/>
                <w:szCs w:val="20"/>
                <w:lang w:val="en-GB"/>
              </w:rPr>
              <w:t>-In the district of Ipeiros the provisions of article 28 of law 2831/2000 on special provisions for people with disabilities have been applied to a percentage of almost 100%. The criteria used to determine accessibility were those includ</w:t>
            </w:r>
            <w:r>
              <w:rPr>
                <w:rFonts w:ascii="Verdana" w:hAnsi="Verdana"/>
                <w:sz w:val="20"/>
                <w:szCs w:val="20"/>
                <w:lang w:val="en-GB"/>
              </w:rPr>
              <w:t>ed in legislation at that time.</w:t>
            </w:r>
          </w:p>
        </w:tc>
      </w:tr>
      <w:tr w:rsidR="00ED2BB6" w:rsidRPr="003B1872" w14:paraId="62A1236D" w14:textId="7DAD9814" w:rsidTr="00ED2BB6">
        <w:trPr>
          <w:trHeight w:val="510"/>
        </w:trPr>
        <w:tc>
          <w:tcPr>
            <w:tcW w:w="501" w:type="pct"/>
            <w:vAlign w:val="center"/>
          </w:tcPr>
          <w:p w14:paraId="1D3F5434"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48D96774" w14:textId="77777777" w:rsidR="003A03F9" w:rsidRPr="003A03F9" w:rsidRDefault="003A03F9" w:rsidP="003A03F9">
            <w:pPr>
              <w:spacing w:before="240"/>
              <w:contextualSpacing/>
              <w:jc w:val="both"/>
              <w:rPr>
                <w:rFonts w:ascii="Verdana" w:hAnsi="Verdana"/>
                <w:noProof/>
                <w:sz w:val="20"/>
                <w:lang w:val="en-GB"/>
              </w:rPr>
            </w:pPr>
            <w:r w:rsidRPr="003A03F9">
              <w:rPr>
                <w:rFonts w:ascii="Verdana" w:hAnsi="Verdana"/>
                <w:noProof/>
                <w:sz w:val="20"/>
                <w:lang w:val="en-GB"/>
              </w:rPr>
              <w:t>In accordance with Royal Decree 505/2007 of the 20</w:t>
            </w:r>
            <w:r w:rsidRPr="003A03F9">
              <w:rPr>
                <w:rFonts w:ascii="Verdana" w:hAnsi="Verdana"/>
                <w:noProof/>
                <w:sz w:val="20"/>
                <w:vertAlign w:val="superscript"/>
                <w:lang w:val="en-GB"/>
              </w:rPr>
              <w:t>th</w:t>
            </w:r>
            <w:r w:rsidRPr="003A03F9">
              <w:rPr>
                <w:rFonts w:ascii="Verdana" w:hAnsi="Verdana"/>
                <w:noProof/>
                <w:sz w:val="20"/>
                <w:lang w:val="en-GB"/>
              </w:rPr>
              <w:t xml:space="preserve"> of April, approving the basic conditions for accessibility and non-discrimination for persons with disabilities with regard to the access and use of urbanized public spaces and buildings,</w:t>
            </w:r>
            <w:r w:rsidRPr="003A03F9">
              <w:rPr>
                <w:rStyle w:val="FootnoteReference"/>
                <w:rFonts w:ascii="Verdana" w:hAnsi="Verdana"/>
                <w:noProof/>
                <w:sz w:val="20"/>
                <w:lang w:val="en-GB"/>
              </w:rPr>
              <w:footnoteReference w:id="17"/>
            </w:r>
            <w:r w:rsidRPr="003A03F9">
              <w:rPr>
                <w:rFonts w:ascii="Verdana" w:hAnsi="Verdana"/>
                <w:noProof/>
                <w:sz w:val="20"/>
                <w:lang w:val="en-GB"/>
              </w:rPr>
              <w:t xml:space="preserve"> all public buildings, both national and municipal, should be accessible.</w:t>
            </w:r>
          </w:p>
          <w:p w14:paraId="5762AF85" w14:textId="77777777" w:rsidR="003A03F9" w:rsidRPr="003A03F9" w:rsidRDefault="003A03F9" w:rsidP="003A03F9">
            <w:pPr>
              <w:spacing w:before="240"/>
              <w:contextualSpacing/>
              <w:jc w:val="both"/>
              <w:rPr>
                <w:rFonts w:ascii="Verdana" w:hAnsi="Verdana"/>
                <w:noProof/>
                <w:sz w:val="20"/>
                <w:lang w:val="en-GB"/>
              </w:rPr>
            </w:pPr>
          </w:p>
          <w:p w14:paraId="7FF46E1C" w14:textId="77777777" w:rsidR="003A03F9" w:rsidRPr="003A03F9" w:rsidRDefault="003A03F9" w:rsidP="003A03F9">
            <w:pPr>
              <w:keepNext/>
              <w:keepLines/>
              <w:spacing w:before="240"/>
              <w:contextualSpacing/>
              <w:jc w:val="both"/>
              <w:outlineLvl w:val="1"/>
              <w:rPr>
                <w:rFonts w:ascii="Verdana" w:hAnsi="Verdana"/>
                <w:noProof/>
                <w:sz w:val="20"/>
                <w:lang w:val="en-GB"/>
              </w:rPr>
            </w:pPr>
            <w:r w:rsidRPr="003A03F9">
              <w:rPr>
                <w:rFonts w:ascii="Verdana" w:hAnsi="Verdana"/>
                <w:noProof/>
                <w:sz w:val="20"/>
                <w:lang w:val="en-GB"/>
              </w:rPr>
              <w:t>Criteria to determine whether public authority buildings are accessible to persons with disabilities can be found in point 9 (Accessibility) of the Spanish Technical Code of Construction.</w:t>
            </w:r>
            <w:r w:rsidRPr="003A03F9">
              <w:rPr>
                <w:rStyle w:val="FootnoteReference"/>
                <w:rFonts w:ascii="Verdana" w:hAnsi="Verdana"/>
                <w:noProof/>
                <w:sz w:val="20"/>
                <w:lang w:val="en-GB"/>
              </w:rPr>
              <w:footnoteReference w:id="18"/>
            </w:r>
            <w:r w:rsidRPr="003A03F9">
              <w:rPr>
                <w:rFonts w:ascii="Verdana" w:hAnsi="Verdana"/>
                <w:noProof/>
                <w:sz w:val="20"/>
                <w:lang w:val="en-GB"/>
              </w:rPr>
              <w:t xml:space="preserve"> It describes these criteria from a technical point of view. </w:t>
            </w:r>
          </w:p>
          <w:p w14:paraId="5F311E7B" w14:textId="77777777" w:rsidR="003A03F9" w:rsidRPr="003A03F9" w:rsidRDefault="003A03F9" w:rsidP="003A03F9">
            <w:pPr>
              <w:keepNext/>
              <w:keepLines/>
              <w:spacing w:before="240"/>
              <w:contextualSpacing/>
              <w:jc w:val="both"/>
              <w:outlineLvl w:val="1"/>
              <w:rPr>
                <w:rFonts w:ascii="Verdana" w:hAnsi="Verdana"/>
                <w:noProof/>
                <w:sz w:val="20"/>
                <w:lang w:val="en-GB"/>
              </w:rPr>
            </w:pPr>
          </w:p>
          <w:p w14:paraId="7A6B4DB1" w14:textId="77777777" w:rsidR="003A03F9" w:rsidRPr="003A03F9" w:rsidRDefault="003A03F9" w:rsidP="003A03F9">
            <w:pPr>
              <w:spacing w:before="240"/>
              <w:contextualSpacing/>
              <w:jc w:val="both"/>
              <w:rPr>
                <w:rFonts w:ascii="Verdana" w:hAnsi="Verdana"/>
                <w:noProof/>
                <w:sz w:val="20"/>
                <w:lang w:val="en-GB"/>
              </w:rPr>
            </w:pPr>
            <w:r w:rsidRPr="003A03F9">
              <w:rPr>
                <w:rFonts w:ascii="Verdana" w:hAnsi="Verdana"/>
                <w:noProof/>
                <w:sz w:val="20"/>
                <w:lang w:val="en-GB"/>
              </w:rPr>
              <w:t>Consultation of the database of the National Institute of Statistics (INE) shows that neither the social indicators, nor the indicators regarding buildings and housing include disability as a variable.</w:t>
            </w:r>
            <w:r w:rsidRPr="003A03F9">
              <w:rPr>
                <w:rStyle w:val="FootnoteReference"/>
                <w:rFonts w:ascii="Verdana" w:hAnsi="Verdana"/>
                <w:noProof/>
                <w:sz w:val="20"/>
                <w:lang w:val="en-GB"/>
              </w:rPr>
              <w:footnoteReference w:id="19"/>
            </w:r>
          </w:p>
          <w:p w14:paraId="0190668E" w14:textId="77777777" w:rsidR="003A03F9" w:rsidRPr="003A03F9" w:rsidRDefault="003A03F9" w:rsidP="003A03F9">
            <w:pPr>
              <w:spacing w:before="240"/>
              <w:contextualSpacing/>
              <w:jc w:val="both"/>
              <w:rPr>
                <w:rFonts w:ascii="Verdana" w:hAnsi="Verdana"/>
                <w:noProof/>
                <w:sz w:val="20"/>
                <w:lang w:val="en-GB"/>
              </w:rPr>
            </w:pPr>
          </w:p>
          <w:p w14:paraId="07B044E2" w14:textId="1BBB14C1" w:rsidR="00ED2BB6" w:rsidRDefault="003A03F9" w:rsidP="003A03F9">
            <w:pPr>
              <w:rPr>
                <w:rFonts w:ascii="Verdana" w:eastAsia="Calibri" w:hAnsi="Verdana" w:cs="Times New Roman"/>
                <w:lang w:val="en-IE" w:eastAsia="en-US" w:bidi="en-US"/>
              </w:rPr>
            </w:pPr>
            <w:r w:rsidRPr="003A03F9">
              <w:rPr>
                <w:rFonts w:ascii="Verdana" w:hAnsi="Verdana"/>
                <w:noProof/>
                <w:sz w:val="20"/>
                <w:lang w:val="en-GB"/>
              </w:rPr>
              <w:t>No other reliable information source exists.</w:t>
            </w:r>
          </w:p>
        </w:tc>
      </w:tr>
      <w:tr w:rsidR="00ED2BB6" w:rsidRPr="003B1872" w14:paraId="089DC328" w14:textId="104F5145" w:rsidTr="00ED2BB6">
        <w:trPr>
          <w:trHeight w:val="510"/>
        </w:trPr>
        <w:tc>
          <w:tcPr>
            <w:tcW w:w="501" w:type="pct"/>
            <w:vAlign w:val="center"/>
          </w:tcPr>
          <w:p w14:paraId="5AD902FC" w14:textId="77777777" w:rsidR="00ED2BB6"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75C1BC9E" w14:textId="77777777" w:rsidR="003A03F9" w:rsidRPr="003A03F9" w:rsidRDefault="003A03F9" w:rsidP="003A03F9">
            <w:pPr>
              <w:tabs>
                <w:tab w:val="left" w:pos="0"/>
              </w:tabs>
              <w:spacing w:after="240"/>
              <w:jc w:val="both"/>
              <w:rPr>
                <w:rFonts w:ascii="Verdana" w:hAnsi="Verdana" w:cs="Times New Roman"/>
                <w:sz w:val="20"/>
                <w:szCs w:val="20"/>
                <w:lang w:val="en-GB"/>
              </w:rPr>
            </w:pPr>
            <w:r w:rsidRPr="003A03F9">
              <w:rPr>
                <w:rFonts w:ascii="Verdana" w:hAnsi="Verdana" w:cs="Times New Roman"/>
                <w:sz w:val="20"/>
                <w:szCs w:val="20"/>
                <w:lang w:val="en-GB"/>
              </w:rPr>
              <w:t xml:space="preserve">There is no official data available on the proportion of accessible </w:t>
            </w:r>
            <w:r w:rsidRPr="003A03F9">
              <w:rPr>
                <w:rFonts w:ascii="Verdana" w:eastAsia="Calibri" w:hAnsi="Verdana" w:cs="Times New Roman"/>
                <w:sz w:val="20"/>
                <w:szCs w:val="20"/>
                <w:lang w:val="en-GB"/>
              </w:rPr>
              <w:t>public authority national and municipal buildings</w:t>
            </w:r>
            <w:r w:rsidRPr="003A03F9">
              <w:rPr>
                <w:rStyle w:val="FootnoteReference"/>
                <w:rFonts w:ascii="Verdana" w:eastAsia="Calibri" w:hAnsi="Verdana" w:cs="Times New Roman"/>
                <w:sz w:val="20"/>
                <w:szCs w:val="20"/>
                <w:lang w:val="en-GB" w:bidi="en-US"/>
              </w:rPr>
              <w:footnoteReference w:id="20"/>
            </w:r>
            <w:r w:rsidRPr="003A03F9">
              <w:rPr>
                <w:rFonts w:ascii="Verdana" w:eastAsia="Calibri" w:hAnsi="Verdana" w:cs="Times New Roman"/>
                <w:sz w:val="20"/>
                <w:szCs w:val="20"/>
                <w:lang w:val="en-GB"/>
              </w:rPr>
              <w:t xml:space="preserve">. </w:t>
            </w:r>
          </w:p>
          <w:p w14:paraId="4DED7C43" w14:textId="246DF7A8" w:rsidR="00ED2BB6" w:rsidRDefault="003A03F9" w:rsidP="003A03F9">
            <w:pPr>
              <w:rPr>
                <w:rFonts w:ascii="Verdana" w:eastAsia="Calibri" w:hAnsi="Verdana" w:cs="Times New Roman"/>
                <w:lang w:val="en-IE" w:eastAsia="en-US" w:bidi="en-US"/>
              </w:rPr>
            </w:pPr>
            <w:r w:rsidRPr="003A03F9">
              <w:rPr>
                <w:rFonts w:ascii="Verdana" w:hAnsi="Verdana" w:cs="Times New Roman"/>
                <w:sz w:val="20"/>
                <w:szCs w:val="20"/>
                <w:lang w:val="en-GB"/>
              </w:rPr>
              <w:t xml:space="preserve">Measure number 43 of Finland’s Disability Policy Programme 2010–2015 ( </w:t>
            </w:r>
            <w:r w:rsidRPr="003A03F9">
              <w:rPr>
                <w:rFonts w:ascii="Verdana" w:hAnsi="Verdana" w:cs="Times New Roman"/>
                <w:i/>
                <w:sz w:val="20"/>
                <w:szCs w:val="20"/>
                <w:lang w:val="en-GB"/>
              </w:rPr>
              <w:t>Vammaispoliittinen ohjelma 2010–2015, VAMPO/ Finlands handikappolitiska program 2010–2015, VAMPO</w:t>
            </w:r>
            <w:r w:rsidRPr="003A03F9">
              <w:rPr>
                <w:rFonts w:ascii="Verdana" w:hAnsi="Verdana" w:cs="Times New Roman"/>
                <w:sz w:val="20"/>
                <w:szCs w:val="20"/>
                <w:lang w:val="en-GB"/>
              </w:rPr>
              <w:t>) is to make public administration offices and spaces accessible by the year 2020. The criteria used to determine accessibility is F1, Finland’s building regulations collection on accessible buildings.</w:t>
            </w:r>
            <w:r w:rsidRPr="003A03F9">
              <w:rPr>
                <w:rStyle w:val="FootnoteReference"/>
                <w:rFonts w:ascii="Verdana" w:hAnsi="Verdana" w:cs="Times New Roman"/>
                <w:sz w:val="20"/>
                <w:szCs w:val="20"/>
                <w:lang w:val="en-GB"/>
              </w:rPr>
              <w:footnoteReference w:id="21"/>
            </w:r>
            <w:r w:rsidRPr="003A03F9">
              <w:rPr>
                <w:rFonts w:ascii="Verdana" w:hAnsi="Verdana" w:cs="Times New Roman"/>
                <w:sz w:val="20"/>
                <w:szCs w:val="20"/>
                <w:lang w:val="en-GB"/>
              </w:rPr>
              <w:t xml:space="preserve"> The implementation of this goal has been started, and accessibility is considered in all renovation and building projects. There is no estimate about the proportion of buildings accessible to persons with disabilities in the evaluation reporting of the programme.</w:t>
            </w:r>
            <w:r w:rsidRPr="003A03F9">
              <w:rPr>
                <w:rStyle w:val="FootnoteReference"/>
                <w:rFonts w:ascii="Verdana" w:hAnsi="Verdana" w:cs="Times New Roman"/>
                <w:sz w:val="20"/>
                <w:szCs w:val="20"/>
                <w:lang w:val="en-GB"/>
              </w:rPr>
              <w:footnoteReference w:id="22"/>
            </w:r>
          </w:p>
        </w:tc>
      </w:tr>
      <w:tr w:rsidR="00ED2BB6" w:rsidRPr="003B1872" w14:paraId="11B51E0D" w14:textId="2AC4F906" w:rsidTr="00ED2BB6">
        <w:trPr>
          <w:trHeight w:val="510"/>
        </w:trPr>
        <w:tc>
          <w:tcPr>
            <w:tcW w:w="501" w:type="pct"/>
            <w:vAlign w:val="center"/>
          </w:tcPr>
          <w:p w14:paraId="2754990B"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19AE3D68" w14:textId="77777777" w:rsidR="006E30A5" w:rsidRPr="006E30A5" w:rsidRDefault="006E30A5" w:rsidP="006E30A5">
            <w:pPr>
              <w:spacing w:line="100" w:lineRule="atLeast"/>
              <w:jc w:val="both"/>
              <w:rPr>
                <w:rFonts w:ascii="Verdana" w:eastAsia="Calibri" w:hAnsi="Verdana" w:cs="Times New Roman"/>
                <w:sz w:val="20"/>
                <w:szCs w:val="20"/>
                <w:lang w:val="en-GB"/>
              </w:rPr>
            </w:pPr>
            <w:r w:rsidRPr="006E30A5">
              <w:rPr>
                <w:rFonts w:ascii="Verdana" w:eastAsia="Calibri" w:hAnsi="Verdana" w:cs="Times New Roman"/>
                <w:sz w:val="20"/>
                <w:szCs w:val="20"/>
                <w:lang w:val="en-GB"/>
              </w:rPr>
              <w:t>There is no specific data concerning government and municipal buildings. The only data existing covers what the French law calls the 'establishments open to the public' (</w:t>
            </w:r>
            <w:r w:rsidRPr="006E30A5">
              <w:rPr>
                <w:rFonts w:ascii="Verdana" w:eastAsia="Calibri" w:hAnsi="Verdana" w:cs="Times New Roman"/>
                <w:i/>
                <w:sz w:val="20"/>
                <w:szCs w:val="20"/>
                <w:lang w:val="en-GB"/>
              </w:rPr>
              <w:t>Etablissements recevant du public</w:t>
            </w:r>
            <w:r w:rsidRPr="006E30A5">
              <w:rPr>
                <w:rFonts w:ascii="Verdana" w:eastAsia="Calibri" w:hAnsi="Verdana" w:cs="Times New Roman"/>
                <w:sz w:val="20"/>
                <w:szCs w:val="20"/>
                <w:lang w:val="en-GB"/>
              </w:rPr>
              <w:t>, ERP). This legal category refers to public and private places which receive persons other than employees (in other words, customers and citizens). The law of 2005 on disability stipulates the obligation for ERP to be accessible to persons with disabilities by 2015 (art. 41).</w:t>
            </w:r>
            <w:r w:rsidRPr="006E30A5">
              <w:rPr>
                <w:rStyle w:val="FootnoteReference"/>
                <w:rFonts w:ascii="Verdana" w:eastAsia="Calibri" w:hAnsi="Verdana" w:cs="Times New Roman"/>
                <w:sz w:val="20"/>
                <w:szCs w:val="20"/>
                <w:lang w:val="en-GB"/>
              </w:rPr>
              <w:footnoteReference w:id="23"/>
            </w:r>
            <w:r w:rsidRPr="006E30A5">
              <w:rPr>
                <w:rFonts w:ascii="Verdana" w:eastAsia="Calibri" w:hAnsi="Verdana" w:cs="Times New Roman"/>
                <w:sz w:val="20"/>
                <w:szCs w:val="20"/>
                <w:lang w:val="en-GB"/>
              </w:rPr>
              <w:t xml:space="preserve"> </w:t>
            </w:r>
          </w:p>
          <w:p w14:paraId="4C7682F7" w14:textId="77777777" w:rsidR="006E30A5" w:rsidRPr="006E30A5" w:rsidRDefault="006E30A5" w:rsidP="006E30A5">
            <w:pPr>
              <w:spacing w:before="240" w:line="100" w:lineRule="atLeast"/>
              <w:jc w:val="both"/>
              <w:rPr>
                <w:rFonts w:ascii="Verdana" w:eastAsia="Calibri" w:hAnsi="Verdana" w:cs="Times New Roman"/>
                <w:sz w:val="20"/>
                <w:szCs w:val="20"/>
                <w:lang w:val="en-GB"/>
              </w:rPr>
            </w:pPr>
            <w:r w:rsidRPr="006E30A5">
              <w:rPr>
                <w:rFonts w:ascii="Verdana" w:eastAsia="Calibri" w:hAnsi="Verdana" w:cs="Times New Roman"/>
                <w:sz w:val="20"/>
                <w:szCs w:val="20"/>
                <w:lang w:val="en-GB"/>
              </w:rPr>
              <w:t>A report of the Interministerial Observatory on accessibility and universal design (</w:t>
            </w:r>
            <w:r w:rsidRPr="006E30A5">
              <w:rPr>
                <w:rFonts w:ascii="Verdana" w:eastAsia="Calibri" w:hAnsi="Verdana" w:cs="Times New Roman"/>
                <w:i/>
                <w:sz w:val="20"/>
                <w:szCs w:val="20"/>
                <w:lang w:val="en-GB"/>
              </w:rPr>
              <w:t>Observatoire interministériel de l’accessibilité et de la conception universelle</w:t>
            </w:r>
            <w:r w:rsidRPr="006E30A5">
              <w:rPr>
                <w:rFonts w:ascii="Verdana" w:eastAsia="Calibri" w:hAnsi="Verdana" w:cs="Times New Roman"/>
                <w:sz w:val="20"/>
                <w:szCs w:val="20"/>
                <w:lang w:val="en-GB"/>
              </w:rPr>
              <w:t>) provides the most recent data available (2012) about ERP in conformity with accessibility standards. This data mentions that 15% of ERP comply with these standards.</w:t>
            </w:r>
            <w:r w:rsidRPr="006E30A5">
              <w:rPr>
                <w:rStyle w:val="FootnoteReference"/>
                <w:rFonts w:ascii="Verdana" w:eastAsia="Calibri" w:hAnsi="Verdana" w:cs="Times New Roman"/>
                <w:sz w:val="20"/>
                <w:szCs w:val="20"/>
                <w:lang w:val="en-GB"/>
              </w:rPr>
              <w:footnoteReference w:id="24"/>
            </w:r>
            <w:r w:rsidRPr="006E30A5">
              <w:rPr>
                <w:rFonts w:ascii="Verdana" w:eastAsia="Calibri" w:hAnsi="Verdana" w:cs="Times New Roman"/>
                <w:sz w:val="20"/>
                <w:szCs w:val="20"/>
                <w:lang w:val="en-GB"/>
              </w:rPr>
              <w:t xml:space="preserve"> </w:t>
            </w:r>
          </w:p>
          <w:p w14:paraId="798B22CE" w14:textId="77777777" w:rsidR="006E30A5" w:rsidRPr="006E30A5" w:rsidRDefault="006E30A5" w:rsidP="006E30A5">
            <w:pPr>
              <w:spacing w:before="240" w:line="100" w:lineRule="atLeast"/>
              <w:jc w:val="both"/>
              <w:rPr>
                <w:rFonts w:ascii="Verdana" w:eastAsia="Calibri" w:hAnsi="Verdana" w:cs="Times New Roman"/>
                <w:sz w:val="20"/>
                <w:szCs w:val="20"/>
                <w:lang w:val="en-GB"/>
              </w:rPr>
            </w:pPr>
            <w:r w:rsidRPr="006E30A5">
              <w:rPr>
                <w:rFonts w:ascii="Verdana" w:eastAsia="Calibri" w:hAnsi="Verdana" w:cs="Times New Roman"/>
                <w:sz w:val="20"/>
                <w:szCs w:val="20"/>
                <w:lang w:val="en-GB"/>
              </w:rPr>
              <w:t xml:space="preserve">However, in its introduction, the report highlights the lack of monitoring and assessment of legal objectives. </w:t>
            </w:r>
          </w:p>
          <w:p w14:paraId="69C33A4F" w14:textId="77777777" w:rsidR="006E30A5" w:rsidRPr="006E30A5" w:rsidRDefault="006E30A5" w:rsidP="006E30A5">
            <w:pPr>
              <w:spacing w:before="240" w:line="100" w:lineRule="atLeast"/>
              <w:jc w:val="both"/>
              <w:rPr>
                <w:rFonts w:ascii="Verdana" w:eastAsia="Calibri" w:hAnsi="Verdana" w:cs="Times New Roman"/>
                <w:sz w:val="20"/>
                <w:szCs w:val="20"/>
                <w:lang w:val="en-GB"/>
              </w:rPr>
            </w:pPr>
            <w:r w:rsidRPr="006E30A5">
              <w:rPr>
                <w:rFonts w:ascii="Verdana" w:eastAsia="Calibri" w:hAnsi="Verdana" w:cs="Times New Roman"/>
                <w:sz w:val="20"/>
                <w:szCs w:val="20"/>
                <w:lang w:val="en-GB"/>
              </w:rPr>
              <w:t>An Interdepartmental Circular from January 2013</w:t>
            </w:r>
            <w:r w:rsidRPr="006E30A5">
              <w:rPr>
                <w:rStyle w:val="FootnoteReference"/>
                <w:rFonts w:ascii="Verdana" w:eastAsia="Calibri" w:hAnsi="Verdana" w:cs="Times New Roman"/>
                <w:sz w:val="20"/>
                <w:szCs w:val="20"/>
                <w:lang w:val="en-GB"/>
              </w:rPr>
              <w:footnoteReference w:id="25"/>
            </w:r>
            <w:r w:rsidRPr="006E30A5">
              <w:rPr>
                <w:rFonts w:ascii="Verdana" w:eastAsia="Calibri" w:hAnsi="Verdana" w:cs="Times New Roman"/>
                <w:sz w:val="20"/>
                <w:szCs w:val="20"/>
                <w:lang w:val="en-GB"/>
              </w:rPr>
              <w:t xml:space="preserve"> requires the assessment of the level of accessibility of State buildings and municipal buildings. Local and regional authority levels are required to assess the current situation of public buildings with regard to accessibility for people with disabilities. The Circular gives them three months to send the information to the national level. Afterwards, a national summary report will be publicly available. At the present time, it has not been issued yet.</w:t>
            </w:r>
          </w:p>
          <w:p w14:paraId="6192171F" w14:textId="01A0E41C" w:rsidR="00ED2BB6" w:rsidRDefault="006E30A5" w:rsidP="006E30A5">
            <w:pPr>
              <w:rPr>
                <w:rFonts w:ascii="Verdana" w:eastAsia="Calibri" w:hAnsi="Verdana" w:cs="Times New Roman"/>
                <w:lang w:val="en-IE" w:eastAsia="en-US" w:bidi="en-US"/>
              </w:rPr>
            </w:pPr>
            <w:r w:rsidRPr="006E30A5">
              <w:rPr>
                <w:rFonts w:ascii="Verdana" w:eastAsia="Calibri" w:hAnsi="Verdana" w:cs="Times New Roman"/>
                <w:sz w:val="20"/>
                <w:szCs w:val="20"/>
                <w:lang w:val="en-GB"/>
              </w:rPr>
              <w:t>The Circular provides a list of items relating to various disability issues: access to the building, parking spaces, entrance, accommodations, and lavatories. For each item, the administration ticks one of the four levels of accessibility (from the greater accessibility to the lower one).</w:t>
            </w:r>
          </w:p>
        </w:tc>
      </w:tr>
      <w:tr w:rsidR="00ED2BB6" w:rsidRPr="003B1872" w14:paraId="705A9BDF" w14:textId="3C8DE617" w:rsidTr="00ED2BB6">
        <w:trPr>
          <w:trHeight w:val="510"/>
        </w:trPr>
        <w:tc>
          <w:tcPr>
            <w:tcW w:w="501" w:type="pct"/>
            <w:vAlign w:val="center"/>
          </w:tcPr>
          <w:p w14:paraId="6C4E841B"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01A84CA3" w14:textId="77777777" w:rsidR="006E30A5" w:rsidRDefault="006E30A5" w:rsidP="006E30A5">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Following the </w:t>
            </w:r>
            <w:r w:rsidRPr="00C531D7">
              <w:rPr>
                <w:rFonts w:ascii="Verdana" w:eastAsia="Calibri" w:hAnsi="Verdana" w:cs="Times New Roman"/>
                <w:sz w:val="20"/>
                <w:szCs w:val="20"/>
                <w:lang w:val="en-GB"/>
              </w:rPr>
              <w:t>Ministry of Public Administration</w:t>
            </w:r>
            <w:r>
              <w:rPr>
                <w:rFonts w:ascii="Verdana" w:eastAsia="Calibri" w:hAnsi="Verdana" w:cs="Times New Roman"/>
                <w:sz w:val="20"/>
                <w:szCs w:val="20"/>
                <w:lang w:val="en-GB"/>
              </w:rPr>
              <w:t>, there is no data available</w:t>
            </w:r>
            <w:r w:rsidRPr="00C531D7">
              <w:rPr>
                <w:rFonts w:ascii="Verdana" w:eastAsia="Calibri" w:hAnsi="Verdana" w:cs="Times New Roman"/>
                <w:sz w:val="20"/>
                <w:szCs w:val="20"/>
                <w:lang w:val="en-GB"/>
              </w:rPr>
              <w:t xml:space="preserve"> on what proportion of public authority national and municipal buildings </w:t>
            </w:r>
            <w:r>
              <w:rPr>
                <w:rFonts w:ascii="Verdana" w:eastAsia="Calibri" w:hAnsi="Verdana" w:cs="Times New Roman"/>
                <w:sz w:val="20"/>
                <w:szCs w:val="20"/>
                <w:lang w:val="en-GB"/>
              </w:rPr>
              <w:t>are</w:t>
            </w:r>
            <w:r w:rsidRPr="00C531D7">
              <w:rPr>
                <w:rFonts w:ascii="Verdana" w:eastAsia="Calibri" w:hAnsi="Verdana" w:cs="Times New Roman"/>
                <w:sz w:val="20"/>
                <w:szCs w:val="20"/>
                <w:lang w:val="en-GB"/>
              </w:rPr>
              <w:t xml:space="preserve"> accessible to persons with disabilities.</w:t>
            </w:r>
            <w:r w:rsidRPr="00C531D7">
              <w:rPr>
                <w:rStyle w:val="FootnoteReference"/>
                <w:rFonts w:ascii="Verdana" w:eastAsia="Calibri" w:hAnsi="Verdana" w:cs="Times New Roman"/>
                <w:sz w:val="20"/>
                <w:szCs w:val="20"/>
                <w:lang w:val="en-GB"/>
              </w:rPr>
              <w:footnoteReference w:id="26"/>
            </w:r>
            <w:r w:rsidRPr="00C531D7">
              <w:rPr>
                <w:rFonts w:ascii="Verdana" w:eastAsia="Calibri" w:hAnsi="Verdana" w:cs="Times New Roman"/>
                <w:sz w:val="20"/>
                <w:szCs w:val="20"/>
                <w:lang w:val="en-GB"/>
              </w:rPr>
              <w:t xml:space="preserve"> </w:t>
            </w:r>
          </w:p>
          <w:p w14:paraId="3090B0B4" w14:textId="77777777" w:rsidR="006E30A5" w:rsidRDefault="006E30A5" w:rsidP="006E30A5">
            <w:pPr>
              <w:spacing w:before="240"/>
              <w:contextualSpacing/>
              <w:jc w:val="both"/>
              <w:rPr>
                <w:rFonts w:ascii="Verdana" w:eastAsia="Calibri" w:hAnsi="Verdana" w:cs="Times New Roman"/>
                <w:sz w:val="20"/>
                <w:szCs w:val="20"/>
                <w:lang w:val="en-GB"/>
              </w:rPr>
            </w:pPr>
          </w:p>
          <w:p w14:paraId="39D7B8AB" w14:textId="77777777" w:rsidR="006E30A5" w:rsidRDefault="006E30A5" w:rsidP="006E30A5">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Croatian Union of Counties (</w:t>
            </w:r>
            <w:r w:rsidRPr="00C531D7">
              <w:rPr>
                <w:rFonts w:ascii="Verdana" w:eastAsia="Calibri" w:hAnsi="Verdana" w:cs="Times New Roman"/>
                <w:i/>
                <w:sz w:val="20"/>
                <w:szCs w:val="20"/>
                <w:lang w:val="en-GB"/>
              </w:rPr>
              <w:t>Hrvatska zajednica županija</w:t>
            </w:r>
            <w:r w:rsidRPr="00C531D7">
              <w:rPr>
                <w:rFonts w:ascii="Verdana" w:eastAsia="Calibri" w:hAnsi="Verdana" w:cs="Times New Roman"/>
                <w:sz w:val="20"/>
                <w:szCs w:val="20"/>
                <w:lang w:val="en-GB"/>
              </w:rPr>
              <w:t>) does not have the data on what proportion of county buildings is accessible to persons with disabilities.</w:t>
            </w:r>
            <w:r w:rsidRPr="00C531D7">
              <w:rPr>
                <w:rStyle w:val="FootnoteReference"/>
                <w:rFonts w:ascii="Verdana" w:eastAsia="Calibri" w:hAnsi="Verdana" w:cs="Times New Roman"/>
                <w:sz w:val="20"/>
                <w:szCs w:val="20"/>
                <w:lang w:val="en-GB"/>
              </w:rPr>
              <w:footnoteReference w:id="27"/>
            </w:r>
            <w:r w:rsidRPr="00C531D7">
              <w:rPr>
                <w:rFonts w:ascii="Verdana" w:eastAsia="Calibri" w:hAnsi="Verdana" w:cs="Times New Roman"/>
                <w:sz w:val="20"/>
                <w:szCs w:val="20"/>
                <w:lang w:val="en-GB"/>
              </w:rPr>
              <w:t xml:space="preserve"> </w:t>
            </w:r>
          </w:p>
          <w:p w14:paraId="23D43DD8" w14:textId="77777777" w:rsidR="006E30A5" w:rsidRDefault="006E30A5" w:rsidP="006E30A5">
            <w:pPr>
              <w:spacing w:before="240"/>
              <w:contextualSpacing/>
              <w:jc w:val="both"/>
              <w:rPr>
                <w:rFonts w:ascii="Verdana" w:eastAsia="Calibri" w:hAnsi="Verdana" w:cs="Times New Roman"/>
                <w:sz w:val="20"/>
                <w:szCs w:val="20"/>
                <w:lang w:val="en-GB"/>
              </w:rPr>
            </w:pPr>
          </w:p>
          <w:p w14:paraId="20554ECE" w14:textId="77777777" w:rsidR="006E30A5" w:rsidRDefault="006E30A5" w:rsidP="006E30A5">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 xml:space="preserve">Association of towns in the Republic of Croatia </w:t>
            </w:r>
            <w:r w:rsidRPr="00C531D7">
              <w:rPr>
                <w:rFonts w:ascii="Verdana" w:eastAsia="Calibri" w:hAnsi="Verdana" w:cs="Times New Roman"/>
                <w:i/>
                <w:sz w:val="20"/>
                <w:szCs w:val="20"/>
                <w:lang w:val="en-GB"/>
              </w:rPr>
              <w:t>(Udruga gradova u Republici Hrvatskoj</w:t>
            </w:r>
            <w:r w:rsidRPr="00C531D7">
              <w:rPr>
                <w:rFonts w:ascii="Verdana" w:eastAsia="Calibri" w:hAnsi="Verdana" w:cs="Times New Roman"/>
                <w:sz w:val="20"/>
                <w:szCs w:val="20"/>
                <w:lang w:val="en-GB"/>
              </w:rPr>
              <w:t>) does not have the data on what proportion of town administration buildings is accessible to persons with disabilities.</w:t>
            </w:r>
            <w:r w:rsidRPr="00C531D7">
              <w:rPr>
                <w:rStyle w:val="FootnoteReference"/>
                <w:rFonts w:ascii="Verdana" w:eastAsia="Calibri" w:hAnsi="Verdana" w:cs="Times New Roman"/>
                <w:sz w:val="20"/>
                <w:szCs w:val="20"/>
                <w:lang w:val="en-GB"/>
              </w:rPr>
              <w:footnoteReference w:id="28"/>
            </w:r>
            <w:r w:rsidRPr="00C531D7">
              <w:rPr>
                <w:rFonts w:ascii="Verdana" w:eastAsia="Calibri" w:hAnsi="Verdana" w:cs="Times New Roman"/>
                <w:sz w:val="20"/>
                <w:szCs w:val="20"/>
                <w:lang w:val="en-GB"/>
              </w:rPr>
              <w:t xml:space="preserve"> </w:t>
            </w:r>
          </w:p>
          <w:p w14:paraId="03BCE552" w14:textId="77777777" w:rsidR="006E30A5" w:rsidRDefault="006E30A5" w:rsidP="006E30A5">
            <w:pPr>
              <w:spacing w:before="240"/>
              <w:contextualSpacing/>
              <w:jc w:val="both"/>
              <w:rPr>
                <w:rFonts w:ascii="Verdana" w:eastAsia="Calibri" w:hAnsi="Verdana" w:cs="Times New Roman"/>
                <w:sz w:val="20"/>
                <w:szCs w:val="20"/>
                <w:lang w:val="en-GB"/>
              </w:rPr>
            </w:pPr>
          </w:p>
          <w:p w14:paraId="00B61BE9" w14:textId="77777777" w:rsidR="006E30A5" w:rsidRDefault="006E30A5" w:rsidP="006E30A5">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Association of Municipalities (</w:t>
            </w:r>
            <w:r w:rsidRPr="00C531D7">
              <w:rPr>
                <w:rFonts w:ascii="Verdana" w:eastAsia="Calibri" w:hAnsi="Verdana" w:cs="Times New Roman"/>
                <w:i/>
                <w:sz w:val="20"/>
                <w:szCs w:val="20"/>
                <w:lang w:val="en-GB"/>
              </w:rPr>
              <w:t>Udruga općina</w:t>
            </w:r>
            <w:r w:rsidRPr="00C531D7">
              <w:rPr>
                <w:rFonts w:ascii="Verdana" w:eastAsia="Calibri" w:hAnsi="Verdana" w:cs="Times New Roman"/>
                <w:sz w:val="20"/>
                <w:szCs w:val="20"/>
                <w:lang w:val="en-GB"/>
              </w:rPr>
              <w:t xml:space="preserve">)  does not collect </w:t>
            </w:r>
            <w:r>
              <w:rPr>
                <w:rFonts w:ascii="Verdana" w:eastAsia="Calibri" w:hAnsi="Verdana" w:cs="Times New Roman"/>
                <w:sz w:val="20"/>
                <w:szCs w:val="20"/>
                <w:lang w:val="en-GB"/>
              </w:rPr>
              <w:t xml:space="preserve"> this </w:t>
            </w:r>
            <w:r w:rsidRPr="00C531D7">
              <w:rPr>
                <w:rFonts w:ascii="Verdana" w:eastAsia="Calibri" w:hAnsi="Verdana" w:cs="Times New Roman"/>
                <w:sz w:val="20"/>
                <w:szCs w:val="20"/>
                <w:lang w:val="en-GB"/>
              </w:rPr>
              <w:t>data, but surveyed its members upon request for this report.</w:t>
            </w:r>
            <w:r w:rsidRPr="00C531D7">
              <w:rPr>
                <w:rStyle w:val="FootnoteReference"/>
                <w:rFonts w:ascii="Verdana" w:hAnsi="Verdana" w:cs="Times New Roman"/>
                <w:sz w:val="20"/>
                <w:szCs w:val="20"/>
                <w:lang w:val="en-GB"/>
              </w:rPr>
              <w:footnoteReference w:id="29"/>
            </w:r>
            <w:r w:rsidRPr="00C531D7">
              <w:rPr>
                <w:rFonts w:ascii="Verdana" w:eastAsia="Calibri" w:hAnsi="Verdana" w:cs="Times New Roman"/>
                <w:sz w:val="20"/>
                <w:szCs w:val="20"/>
                <w:lang w:val="en-GB"/>
              </w:rPr>
              <w:t xml:space="preserve"> </w:t>
            </w:r>
          </w:p>
          <w:p w14:paraId="6559780F" w14:textId="77777777" w:rsidR="006E30A5" w:rsidRDefault="006E30A5" w:rsidP="006E30A5">
            <w:pPr>
              <w:spacing w:before="240"/>
              <w:contextualSpacing/>
              <w:jc w:val="both"/>
              <w:rPr>
                <w:rFonts w:ascii="Verdana" w:eastAsia="Calibri" w:hAnsi="Verdana" w:cs="Times New Roman"/>
                <w:sz w:val="20"/>
                <w:szCs w:val="20"/>
                <w:lang w:val="en-GB"/>
              </w:rPr>
            </w:pPr>
          </w:p>
          <w:p w14:paraId="345FBD0E" w14:textId="77777777" w:rsidR="006E30A5" w:rsidRDefault="006E30A5" w:rsidP="006E30A5">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They received 54 responses, out of 428 municipalities</w:t>
            </w:r>
            <w:r w:rsidRPr="00C531D7">
              <w:rPr>
                <w:rStyle w:val="FootnoteReference"/>
                <w:rFonts w:ascii="Verdana" w:eastAsia="Calibri" w:hAnsi="Verdana" w:cs="Times New Roman"/>
                <w:sz w:val="20"/>
                <w:szCs w:val="20"/>
                <w:lang w:val="en-GB"/>
              </w:rPr>
              <w:footnoteReference w:id="30"/>
            </w:r>
            <w:r>
              <w:rPr>
                <w:rFonts w:ascii="Verdana" w:eastAsia="Calibri" w:hAnsi="Verdana" w:cs="Times New Roman"/>
                <w:sz w:val="20"/>
                <w:szCs w:val="20"/>
                <w:lang w:val="en-GB"/>
              </w:rPr>
              <w:t>which is a</w:t>
            </w:r>
            <w:r w:rsidRPr="00C531D7">
              <w:rPr>
                <w:rFonts w:ascii="Verdana" w:eastAsia="Calibri" w:hAnsi="Verdana" w:cs="Times New Roman"/>
                <w:sz w:val="20"/>
                <w:szCs w:val="20"/>
                <w:lang w:val="en-GB"/>
              </w:rPr>
              <w:t xml:space="preserve"> response rate of 12,61%.</w:t>
            </w:r>
          </w:p>
          <w:p w14:paraId="57E48CB7" w14:textId="77777777" w:rsidR="006E30A5" w:rsidRDefault="006E30A5" w:rsidP="006E30A5">
            <w:pPr>
              <w:spacing w:before="240"/>
              <w:contextualSpacing/>
              <w:jc w:val="both"/>
              <w:rPr>
                <w:rFonts w:ascii="Verdana" w:eastAsia="Calibri" w:hAnsi="Verdana" w:cs="Times New Roman"/>
                <w:sz w:val="20"/>
                <w:szCs w:val="20"/>
                <w:lang w:val="en-GB"/>
              </w:rPr>
            </w:pPr>
          </w:p>
          <w:p w14:paraId="2AC0D46D" w14:textId="75F71F05" w:rsidR="00ED2BB6" w:rsidRDefault="006E30A5" w:rsidP="006E30A5">
            <w:pPr>
              <w:rPr>
                <w:rFonts w:ascii="Verdana" w:eastAsia="Calibri" w:hAnsi="Verdana" w:cs="Times New Roman"/>
                <w:lang w:val="en-IE" w:eastAsia="en-US" w:bidi="en-US"/>
              </w:rPr>
            </w:pPr>
            <w:r w:rsidRPr="00C531D7">
              <w:rPr>
                <w:rFonts w:ascii="Verdana" w:eastAsia="Calibri" w:hAnsi="Verdana" w:cs="Times New Roman"/>
                <w:sz w:val="20"/>
                <w:szCs w:val="20"/>
                <w:lang w:val="en-GB"/>
              </w:rPr>
              <w:t>Among responding municipalities</w:t>
            </w:r>
            <w:r>
              <w:rPr>
                <w:rFonts w:ascii="Verdana" w:eastAsia="Calibri" w:hAnsi="Verdana" w:cs="Times New Roman"/>
                <w:sz w:val="20"/>
                <w:szCs w:val="20"/>
                <w:lang w:val="en-GB"/>
              </w:rPr>
              <w:t>:</w:t>
            </w:r>
            <w:r w:rsidRPr="00C531D7">
              <w:rPr>
                <w:rFonts w:ascii="Verdana" w:eastAsia="Calibri" w:hAnsi="Verdana" w:cs="Times New Roman"/>
                <w:sz w:val="20"/>
                <w:szCs w:val="20"/>
                <w:lang w:val="en-GB"/>
              </w:rPr>
              <w:t xml:space="preserve"> 14 report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municipal buildings being fully accessible</w:t>
            </w:r>
            <w:r>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31"/>
            </w:r>
            <w:r w:rsidRPr="00C531D7">
              <w:rPr>
                <w:rFonts w:ascii="Verdana" w:eastAsia="Calibri" w:hAnsi="Verdana" w:cs="Times New Roman"/>
                <w:sz w:val="20"/>
                <w:szCs w:val="20"/>
                <w:lang w:val="en-GB"/>
              </w:rPr>
              <w:t xml:space="preserve"> </w:t>
            </w:r>
            <w:r>
              <w:rPr>
                <w:rFonts w:ascii="Verdana" w:eastAsia="Calibri" w:hAnsi="Verdana" w:cs="Times New Roman"/>
                <w:sz w:val="20"/>
                <w:szCs w:val="20"/>
                <w:lang w:val="en-GB"/>
              </w:rPr>
              <w:t>10</w:t>
            </w:r>
            <w:r w:rsidRPr="00C531D7">
              <w:rPr>
                <w:rFonts w:ascii="Verdana" w:eastAsia="Calibri" w:hAnsi="Verdana" w:cs="Times New Roman"/>
                <w:sz w:val="20"/>
                <w:szCs w:val="20"/>
                <w:lang w:val="en-GB"/>
              </w:rPr>
              <w:t xml:space="preserve"> reported buildings being partially accessible, with the percentage ranging from about 10% to 90%</w:t>
            </w:r>
            <w:r>
              <w:rPr>
                <w:rFonts w:ascii="Verdana" w:eastAsia="Calibri" w:hAnsi="Verdana" w:cs="Times New Roman"/>
                <w:sz w:val="20"/>
                <w:szCs w:val="20"/>
                <w:lang w:val="en-GB"/>
              </w:rPr>
              <w:t xml:space="preserve"> and</w:t>
            </w:r>
            <w:r w:rsidRPr="00C531D7">
              <w:rPr>
                <w:rFonts w:ascii="Verdana" w:eastAsia="Calibri" w:hAnsi="Verdana" w:cs="Times New Roman"/>
                <w:sz w:val="20"/>
                <w:szCs w:val="20"/>
                <w:lang w:val="en-GB"/>
              </w:rPr>
              <w:t xml:space="preserve"> </w:t>
            </w:r>
            <w:r>
              <w:rPr>
                <w:rFonts w:ascii="Verdana" w:eastAsia="Calibri" w:hAnsi="Verdana" w:cs="Times New Roman"/>
                <w:sz w:val="20"/>
                <w:szCs w:val="20"/>
                <w:lang w:val="en-GB"/>
              </w:rPr>
              <w:t>i</w:t>
            </w:r>
            <w:r w:rsidRPr="00C531D7">
              <w:rPr>
                <w:rFonts w:ascii="Verdana" w:eastAsia="Calibri" w:hAnsi="Verdana" w:cs="Times New Roman"/>
                <w:sz w:val="20"/>
                <w:szCs w:val="20"/>
                <w:lang w:val="en-GB"/>
              </w:rPr>
              <w:t xml:space="preserve">n the remaining municipalities, municipal buildings are not accessible at all. One municipality reported that upon phone request, municipal employees met persons with disabilities in the accessible municipal hall. </w:t>
            </w:r>
            <w:r>
              <w:rPr>
                <w:rFonts w:ascii="Verdana" w:eastAsia="Calibri" w:hAnsi="Verdana" w:cs="Times New Roman"/>
                <w:sz w:val="20"/>
                <w:szCs w:val="20"/>
                <w:lang w:val="en-GB"/>
              </w:rPr>
              <w:t>Another</w:t>
            </w:r>
            <w:r w:rsidRPr="00C531D7">
              <w:rPr>
                <w:rFonts w:ascii="Verdana" w:eastAsia="Calibri" w:hAnsi="Verdana" w:cs="Times New Roman"/>
                <w:sz w:val="20"/>
                <w:szCs w:val="20"/>
                <w:lang w:val="en-GB"/>
              </w:rPr>
              <w:t xml:space="preserve"> municipality reported that the public library, located in the same building, has a ramp. Finally, </w:t>
            </w:r>
            <w:r>
              <w:rPr>
                <w:rFonts w:ascii="Verdana" w:eastAsia="Calibri" w:hAnsi="Verdana" w:cs="Times New Roman"/>
                <w:sz w:val="20"/>
                <w:szCs w:val="20"/>
                <w:lang w:val="en-GB"/>
              </w:rPr>
              <w:t>a</w:t>
            </w:r>
            <w:r w:rsidRPr="00C531D7">
              <w:rPr>
                <w:rFonts w:ascii="Verdana" w:eastAsia="Calibri" w:hAnsi="Verdana" w:cs="Times New Roman"/>
                <w:sz w:val="20"/>
                <w:szCs w:val="20"/>
                <w:lang w:val="en-GB"/>
              </w:rPr>
              <w:t xml:space="preserve"> municipality responded that municipal employees assist persons with disabilities to enter the offices in absence of the proper access.</w:t>
            </w:r>
            <w:r w:rsidRPr="00C531D7">
              <w:rPr>
                <w:rStyle w:val="FootnoteReference"/>
                <w:rFonts w:ascii="Verdana" w:eastAsia="Calibri" w:hAnsi="Verdana" w:cs="Times New Roman"/>
                <w:sz w:val="20"/>
                <w:szCs w:val="20"/>
                <w:lang w:val="en-GB"/>
              </w:rPr>
              <w:footnoteReference w:id="32"/>
            </w:r>
          </w:p>
        </w:tc>
      </w:tr>
      <w:tr w:rsidR="00ED2BB6" w:rsidRPr="003B1872" w14:paraId="0A2D5A79" w14:textId="42A22BCB" w:rsidTr="00ED2BB6">
        <w:trPr>
          <w:trHeight w:val="510"/>
        </w:trPr>
        <w:tc>
          <w:tcPr>
            <w:tcW w:w="501" w:type="pct"/>
            <w:vAlign w:val="center"/>
          </w:tcPr>
          <w:p w14:paraId="5F1ABA70"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3B528AD7" w14:textId="77777777" w:rsidR="006E30A5" w:rsidRDefault="006E30A5" w:rsidP="006E30A5">
            <w:pPr>
              <w:spacing w:before="240"/>
              <w:contextualSpacing/>
              <w:jc w:val="both"/>
              <w:rPr>
                <w:rFonts w:ascii="Verdana" w:hAnsi="Verdana"/>
                <w:sz w:val="20"/>
                <w:szCs w:val="20"/>
                <w:lang w:val="en-GB"/>
              </w:rPr>
            </w:pPr>
            <w:r w:rsidRPr="00D70725">
              <w:rPr>
                <w:rFonts w:ascii="Verdana" w:hAnsi="Verdana"/>
                <w:sz w:val="20"/>
                <w:szCs w:val="20"/>
                <w:lang w:val="en-GB"/>
              </w:rPr>
              <w:t>No official data is available. According to the estimation of the MEOSZ, 65% of public authority national and municipal buildings are accessible.</w:t>
            </w:r>
            <w:r w:rsidRPr="00D70725">
              <w:rPr>
                <w:rStyle w:val="FootnoteReference"/>
                <w:rFonts w:ascii="Verdana" w:hAnsi="Verdana"/>
                <w:sz w:val="20"/>
                <w:szCs w:val="20"/>
                <w:lang w:val="en-GB"/>
              </w:rPr>
              <w:footnoteReference w:id="33"/>
            </w:r>
            <w:r w:rsidRPr="00D70725">
              <w:rPr>
                <w:rFonts w:ascii="Verdana" w:hAnsi="Verdana"/>
                <w:sz w:val="20"/>
                <w:szCs w:val="20"/>
                <w:lang w:val="en-GB"/>
              </w:rPr>
              <w:t xml:space="preserve"> </w:t>
            </w:r>
          </w:p>
          <w:p w14:paraId="6276EE8C" w14:textId="68A5246F" w:rsidR="00ED2BB6" w:rsidRDefault="006E30A5" w:rsidP="006E30A5">
            <w:pPr>
              <w:rPr>
                <w:rFonts w:ascii="Verdana" w:eastAsia="Calibri" w:hAnsi="Verdana" w:cs="Times New Roman"/>
                <w:lang w:val="en-IE" w:eastAsia="en-US" w:bidi="en-US"/>
              </w:rPr>
            </w:pPr>
            <w:r w:rsidRPr="00D70725">
              <w:rPr>
                <w:rFonts w:ascii="Verdana" w:hAnsi="Verdana"/>
                <w:sz w:val="20"/>
                <w:szCs w:val="20"/>
                <w:lang w:val="en-GB"/>
              </w:rPr>
              <w:t>In 2012, the Hungarian Government was heavily criticized because of the lack of information and monitoring mechanism by DPOs in this regard.</w:t>
            </w:r>
            <w:r w:rsidRPr="00D70725">
              <w:rPr>
                <w:rStyle w:val="FootnoteReference"/>
                <w:rFonts w:ascii="Verdana" w:hAnsi="Verdana"/>
                <w:sz w:val="20"/>
                <w:szCs w:val="20"/>
                <w:lang w:val="en-GB"/>
              </w:rPr>
              <w:footnoteReference w:id="34"/>
            </w:r>
            <w:r w:rsidRPr="00D70725">
              <w:rPr>
                <w:rFonts w:ascii="Verdana" w:hAnsi="Verdana"/>
                <w:sz w:val="20"/>
                <w:szCs w:val="20"/>
                <w:lang w:val="en-GB"/>
              </w:rPr>
              <w:t xml:space="preserve"> As the Government noted in its reply to the list of issues taken up during the consideration of the initial report of Hungary on the eights session of the Committee of the Rights of Persons with Disabilities on 17-28 September 2012: </w:t>
            </w:r>
            <w:r w:rsidRPr="00522E91">
              <w:rPr>
                <w:rFonts w:ascii="Verdana" w:hAnsi="Verdana"/>
                <w:i/>
                <w:sz w:val="20"/>
                <w:szCs w:val="20"/>
                <w:lang w:val="en-GB"/>
              </w:rPr>
              <w:t>“[...] we have no substantive information at the moment about exactly where and what type of accessibility is ensured to public services</w:t>
            </w:r>
            <w:r w:rsidRPr="00D70725">
              <w:rPr>
                <w:rFonts w:ascii="Verdana" w:hAnsi="Verdana"/>
                <w:sz w:val="20"/>
                <w:szCs w:val="20"/>
                <w:lang w:val="en-GB"/>
              </w:rPr>
              <w:t>”.</w:t>
            </w:r>
            <w:r w:rsidRPr="00D70725">
              <w:rPr>
                <w:rStyle w:val="FootnoteReference"/>
                <w:rFonts w:ascii="Verdana" w:hAnsi="Verdana"/>
                <w:sz w:val="20"/>
                <w:szCs w:val="20"/>
                <w:lang w:val="en-GB"/>
              </w:rPr>
              <w:footnoteReference w:id="35"/>
            </w:r>
          </w:p>
        </w:tc>
      </w:tr>
      <w:tr w:rsidR="00ED2BB6" w:rsidRPr="003B1872" w14:paraId="78B13560" w14:textId="07AA6EF8" w:rsidTr="00ED2BB6">
        <w:trPr>
          <w:trHeight w:val="510"/>
        </w:trPr>
        <w:tc>
          <w:tcPr>
            <w:tcW w:w="501" w:type="pct"/>
            <w:vAlign w:val="center"/>
          </w:tcPr>
          <w:p w14:paraId="08F49B11" w14:textId="77777777" w:rsidR="00ED2BB6"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5FEEA790" w14:textId="77777777" w:rsidR="006E30A5" w:rsidRDefault="006E30A5" w:rsidP="006E30A5">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Section 25 of the Disability Act 2005 states that subject to certain specified exemptions, public bodies must ensure that their public buildings are, as far as practicable, accessible to persons with disabilities. </w:t>
            </w:r>
          </w:p>
          <w:p w14:paraId="619F2224" w14:textId="77777777" w:rsidR="006E30A5" w:rsidRDefault="006E30A5" w:rsidP="006E30A5">
            <w:pPr>
              <w:spacing w:before="240"/>
              <w:contextualSpacing/>
              <w:jc w:val="both"/>
              <w:rPr>
                <w:rFonts w:ascii="Verdana" w:eastAsia="Calibri" w:hAnsi="Verdana" w:cs="Times New Roman"/>
                <w:sz w:val="20"/>
                <w:szCs w:val="20"/>
                <w:lang w:val="en-GB"/>
              </w:rPr>
            </w:pPr>
          </w:p>
          <w:p w14:paraId="30EDAF52" w14:textId="77777777" w:rsidR="006E30A5" w:rsidRDefault="006E30A5" w:rsidP="006E30A5">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Building Control Acts 2000-2007 and the Building Control Regulations 1997-2013 set out very detailed criteria which determine whether public authority buildings are accessible for persons with disabilities, providing detailed rules regarding such matters as approach to public buildings, access to public buildings, circulation within public buildings and use of facilities within public buildings.</w:t>
            </w:r>
            <w:r w:rsidRPr="000A1566">
              <w:rPr>
                <w:rStyle w:val="FootnoteReference"/>
                <w:rFonts w:ascii="Verdana" w:eastAsia="Calibri" w:hAnsi="Verdana" w:cs="Times New Roman"/>
                <w:sz w:val="20"/>
                <w:szCs w:val="20"/>
                <w:lang w:val="en-GB"/>
              </w:rPr>
              <w:footnoteReference w:id="36"/>
            </w:r>
          </w:p>
          <w:p w14:paraId="296BBA60" w14:textId="77777777" w:rsidR="006E30A5" w:rsidRDefault="006E30A5" w:rsidP="006E30A5">
            <w:pPr>
              <w:spacing w:before="240"/>
              <w:contextualSpacing/>
              <w:jc w:val="both"/>
              <w:rPr>
                <w:rFonts w:ascii="Verdana" w:eastAsia="Calibri" w:hAnsi="Verdana" w:cs="Times New Roman"/>
                <w:sz w:val="20"/>
                <w:szCs w:val="20"/>
                <w:lang w:val="en-GB"/>
              </w:rPr>
            </w:pPr>
          </w:p>
          <w:p w14:paraId="306FC81B" w14:textId="24D9C9B2" w:rsidR="00ED2BB6" w:rsidRDefault="006E30A5" w:rsidP="006E30A5">
            <w:pPr>
              <w:rPr>
                <w:rFonts w:ascii="Verdana" w:eastAsia="Calibri" w:hAnsi="Verdana" w:cs="Times New Roman"/>
                <w:lang w:val="en-IE" w:eastAsia="en-US" w:bidi="en-US"/>
              </w:rPr>
            </w:pPr>
            <w:r w:rsidRPr="000A1566">
              <w:rPr>
                <w:rFonts w:ascii="Verdana" w:eastAsia="Calibri" w:hAnsi="Verdana" w:cs="Times New Roman"/>
                <w:sz w:val="20"/>
                <w:szCs w:val="20"/>
                <w:lang w:val="en-GB"/>
              </w:rPr>
              <w:t>There is no data available on the proportion of public authority, national and municipal buildings which are accessible to persons with disabilities.</w:t>
            </w:r>
          </w:p>
        </w:tc>
      </w:tr>
      <w:tr w:rsidR="00D37B92" w:rsidRPr="003B1872" w14:paraId="10531400" w14:textId="4B5C8D7F" w:rsidTr="004A7543">
        <w:trPr>
          <w:trHeight w:val="510"/>
        </w:trPr>
        <w:tc>
          <w:tcPr>
            <w:tcW w:w="501" w:type="pct"/>
            <w:vAlign w:val="center"/>
          </w:tcPr>
          <w:p w14:paraId="4159ADE5"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tcPr>
          <w:p w14:paraId="4B4CD351" w14:textId="77777777" w:rsidR="00D37B92" w:rsidRPr="0064227B" w:rsidRDefault="00D37B92" w:rsidP="00D1749F">
            <w:pPr>
              <w:pStyle w:val="BodyText"/>
              <w:snapToGrid w:val="0"/>
              <w:spacing w:after="0"/>
              <w:rPr>
                <w:rFonts w:ascii="Verdana" w:hAnsi="Verdana"/>
                <w:sz w:val="20"/>
                <w:szCs w:val="20"/>
                <w:lang w:val="en-GB"/>
              </w:rPr>
            </w:pPr>
            <w:r w:rsidRPr="0064227B">
              <w:rPr>
                <w:rFonts w:ascii="Verdana" w:hAnsi="Verdana"/>
                <w:sz w:val="20"/>
                <w:szCs w:val="20"/>
                <w:lang w:val="en-GB"/>
              </w:rPr>
              <w:t xml:space="preserve">There is no data available on this aspect. </w:t>
            </w:r>
            <w:r>
              <w:rPr>
                <w:rFonts w:ascii="Verdana" w:hAnsi="Verdana"/>
                <w:sz w:val="20"/>
                <w:szCs w:val="20"/>
                <w:lang w:val="en-GB"/>
              </w:rPr>
              <w:t>Monitoring</w:t>
            </w:r>
            <w:r w:rsidRPr="0064227B">
              <w:rPr>
                <w:rFonts w:ascii="Verdana" w:hAnsi="Verdana"/>
                <w:sz w:val="20"/>
                <w:szCs w:val="20"/>
                <w:lang w:val="en-GB"/>
              </w:rPr>
              <w:t xml:space="preserve"> accessibility of public and municipal buildings and on the actual implementation of the removal of architectural barriers in public buildings </w:t>
            </w:r>
            <w:r>
              <w:rPr>
                <w:rFonts w:ascii="Verdana" w:hAnsi="Verdana"/>
                <w:sz w:val="20"/>
                <w:szCs w:val="20"/>
                <w:lang w:val="en-GB"/>
              </w:rPr>
              <w:t xml:space="preserve">is only </w:t>
            </w:r>
            <w:r w:rsidRPr="0064227B">
              <w:rPr>
                <w:rFonts w:ascii="Verdana" w:hAnsi="Verdana"/>
                <w:sz w:val="20"/>
                <w:szCs w:val="20"/>
                <w:lang w:val="en-GB"/>
              </w:rPr>
              <w:t>promoted by some local institutions</w:t>
            </w:r>
            <w:r w:rsidRPr="0064227B">
              <w:rPr>
                <w:rStyle w:val="FootnoteReference"/>
                <w:rFonts w:ascii="Verdana" w:eastAsiaTheme="majorEastAsia" w:hAnsi="Verdana"/>
                <w:sz w:val="20"/>
                <w:szCs w:val="20"/>
                <w:lang w:val="en-GB"/>
              </w:rPr>
              <w:footnoteReference w:id="37"/>
            </w:r>
            <w:r w:rsidRPr="0064227B">
              <w:rPr>
                <w:rFonts w:ascii="Verdana" w:hAnsi="Verdana"/>
                <w:sz w:val="20"/>
                <w:szCs w:val="20"/>
                <w:lang w:val="en-GB"/>
              </w:rPr>
              <w:t xml:space="preserve">. </w:t>
            </w:r>
          </w:p>
          <w:p w14:paraId="5D53A204" w14:textId="77777777" w:rsidR="00D37B92" w:rsidRPr="0064227B" w:rsidRDefault="00D37B92" w:rsidP="00D1749F">
            <w:pPr>
              <w:pStyle w:val="BodyText"/>
              <w:snapToGrid w:val="0"/>
              <w:spacing w:after="0"/>
              <w:rPr>
                <w:rFonts w:ascii="Verdana" w:hAnsi="Verdana"/>
                <w:sz w:val="20"/>
                <w:szCs w:val="20"/>
                <w:lang w:val="en-GB"/>
              </w:rPr>
            </w:pPr>
          </w:p>
          <w:p w14:paraId="6C7B5A41" w14:textId="77777777" w:rsidR="00D37B92" w:rsidRDefault="00D37B92" w:rsidP="00D1749F">
            <w:pPr>
              <w:pStyle w:val="BodyText"/>
              <w:snapToGrid w:val="0"/>
              <w:spacing w:after="0"/>
              <w:rPr>
                <w:rFonts w:ascii="Verdana" w:hAnsi="Verdana"/>
                <w:sz w:val="20"/>
                <w:szCs w:val="20"/>
                <w:lang w:val="en-GB"/>
              </w:rPr>
            </w:pPr>
            <w:r w:rsidRPr="0064227B">
              <w:rPr>
                <w:rFonts w:ascii="Verdana" w:hAnsi="Verdana"/>
                <w:sz w:val="20"/>
                <w:szCs w:val="20"/>
                <w:lang w:val="en-GB"/>
              </w:rPr>
              <w:t>Accessibility of public building is regulated by Law 30 may 1971 no. 118. Even if in some older building some barriers</w:t>
            </w:r>
            <w:r>
              <w:rPr>
                <w:rFonts w:ascii="Verdana" w:hAnsi="Verdana"/>
                <w:sz w:val="20"/>
                <w:szCs w:val="20"/>
                <w:lang w:val="en-GB"/>
              </w:rPr>
              <w:t xml:space="preserve"> in the built environment</w:t>
            </w:r>
            <w:r w:rsidRPr="0064227B">
              <w:rPr>
                <w:rFonts w:ascii="Verdana" w:hAnsi="Verdana"/>
                <w:sz w:val="20"/>
                <w:szCs w:val="20"/>
                <w:lang w:val="en-GB"/>
              </w:rPr>
              <w:t xml:space="preserve"> still exist, all new buildings have been projected following accessibility criteria As declared by </w:t>
            </w:r>
            <w:r w:rsidRPr="0064227B">
              <w:rPr>
                <w:rFonts w:ascii="Verdana" w:hAnsi="Verdana"/>
                <w:i/>
                <w:sz w:val="20"/>
                <w:szCs w:val="20"/>
                <w:lang w:val="en-GB"/>
              </w:rPr>
              <w:t xml:space="preserve">Associazione Italiana Ciechi e Ipovedenti </w:t>
            </w:r>
            <w:r w:rsidRPr="0064227B">
              <w:rPr>
                <w:rFonts w:ascii="Verdana" w:hAnsi="Verdana"/>
                <w:sz w:val="20"/>
                <w:szCs w:val="20"/>
                <w:lang w:val="en-GB"/>
              </w:rPr>
              <w:t>“the blind or visually impaired person, who does not have physical disabilities, is not hampered by the presence of physical obstacles, rather by the lack of measures taken to facilitate the orientation and recognition of sources of danger”</w:t>
            </w:r>
            <w:r w:rsidRPr="0064227B">
              <w:rPr>
                <w:rStyle w:val="FootnoteReference"/>
                <w:rFonts w:ascii="Verdana" w:eastAsiaTheme="majorEastAsia" w:hAnsi="Verdana"/>
                <w:sz w:val="20"/>
                <w:szCs w:val="20"/>
                <w:lang w:val="en-GB"/>
              </w:rPr>
              <w:footnoteReference w:id="38"/>
            </w:r>
            <w:r w:rsidRPr="0064227B">
              <w:rPr>
                <w:rFonts w:ascii="Verdana" w:hAnsi="Verdana"/>
                <w:sz w:val="20"/>
                <w:szCs w:val="20"/>
                <w:lang w:val="en-GB"/>
              </w:rPr>
              <w:t>.</w:t>
            </w:r>
          </w:p>
          <w:p w14:paraId="5342518B" w14:textId="77777777" w:rsidR="00D37B92" w:rsidRPr="0064227B" w:rsidRDefault="00D37B92" w:rsidP="00D1749F">
            <w:pPr>
              <w:pStyle w:val="BodyText"/>
              <w:snapToGrid w:val="0"/>
              <w:spacing w:after="0"/>
              <w:rPr>
                <w:rFonts w:ascii="Verdana" w:hAnsi="Verdana"/>
                <w:sz w:val="20"/>
                <w:szCs w:val="20"/>
                <w:lang w:val="en-GB"/>
              </w:rPr>
            </w:pPr>
          </w:p>
          <w:p w14:paraId="38AD2B3C" w14:textId="323F2AEC" w:rsidR="00D37B92" w:rsidRDefault="00D37B92" w:rsidP="00ED2BB6">
            <w:pPr>
              <w:rPr>
                <w:rFonts w:ascii="Verdana" w:eastAsia="Calibri" w:hAnsi="Verdana" w:cs="Times New Roman"/>
                <w:lang w:val="en-IE" w:eastAsia="en-US" w:bidi="en-US"/>
              </w:rPr>
            </w:pPr>
            <w:r>
              <w:rPr>
                <w:rFonts w:ascii="Verdana" w:hAnsi="Verdana"/>
                <w:sz w:val="20"/>
                <w:szCs w:val="20"/>
                <w:lang w:val="en-GB"/>
              </w:rPr>
              <w:t xml:space="preserve">Stemming from an ISTAT survey, </w:t>
            </w:r>
            <w:r w:rsidRPr="0064227B">
              <w:rPr>
                <w:rFonts w:ascii="Verdana" w:hAnsi="Verdana"/>
                <w:sz w:val="20"/>
                <w:szCs w:val="20"/>
              </w:rPr>
              <w:t xml:space="preserve">data on schools building exist </w:t>
            </w:r>
            <w:r>
              <w:rPr>
                <w:rFonts w:ascii="Verdana" w:hAnsi="Verdana"/>
                <w:sz w:val="20"/>
                <w:szCs w:val="20"/>
              </w:rPr>
              <w:t>(</w:t>
            </w:r>
            <w:r w:rsidRPr="0064227B">
              <w:rPr>
                <w:rFonts w:ascii="Verdana" w:hAnsi="Verdana"/>
                <w:sz w:val="20"/>
                <w:szCs w:val="20"/>
              </w:rPr>
              <w:t xml:space="preserve">see </w:t>
            </w:r>
            <w:r>
              <w:rPr>
                <w:rFonts w:ascii="Verdana" w:hAnsi="Verdana"/>
                <w:sz w:val="20"/>
                <w:szCs w:val="20"/>
              </w:rPr>
              <w:t>indicator 28</w:t>
            </w:r>
            <w:r w:rsidRPr="0064227B">
              <w:rPr>
                <w:rFonts w:ascii="Verdana" w:hAnsi="Verdana"/>
                <w:sz w:val="20"/>
                <w:szCs w:val="20"/>
              </w:rPr>
              <w:t>)</w:t>
            </w:r>
            <w:r>
              <w:rPr>
                <w:rFonts w:ascii="Verdana" w:hAnsi="Verdana"/>
                <w:sz w:val="20"/>
                <w:szCs w:val="20"/>
              </w:rPr>
              <w:t>.</w:t>
            </w:r>
          </w:p>
        </w:tc>
      </w:tr>
      <w:tr w:rsidR="00D37B92" w:rsidRPr="003B1872" w14:paraId="65057700" w14:textId="66607E6D" w:rsidTr="00ED2BB6">
        <w:trPr>
          <w:trHeight w:val="510"/>
        </w:trPr>
        <w:tc>
          <w:tcPr>
            <w:tcW w:w="501" w:type="pct"/>
            <w:vAlign w:val="center"/>
          </w:tcPr>
          <w:p w14:paraId="5E32EE55"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21EAA83C" w14:textId="77777777" w:rsidR="00D37B92" w:rsidRDefault="00D37B92" w:rsidP="006E30A5">
            <w:pPr>
              <w:pStyle w:val="FRABodyTextnumbered"/>
              <w:tabs>
                <w:tab w:val="clear" w:pos="1277"/>
              </w:tabs>
              <w:spacing w:before="0" w:after="0"/>
              <w:ind w:left="0" w:firstLine="0"/>
              <w:jc w:val="left"/>
              <w:rPr>
                <w:rFonts w:ascii="Verdana" w:hAnsi="Verdana"/>
                <w:sz w:val="20"/>
                <w:szCs w:val="20"/>
              </w:rPr>
            </w:pPr>
            <w:r w:rsidRPr="002A2DD6">
              <w:rPr>
                <w:rFonts w:ascii="Verdana" w:hAnsi="Verdana"/>
                <w:sz w:val="20"/>
                <w:szCs w:val="20"/>
              </w:rPr>
              <w:t xml:space="preserve">There is </w:t>
            </w:r>
            <w:r>
              <w:rPr>
                <w:rFonts w:ascii="Verdana" w:hAnsi="Verdana"/>
                <w:sz w:val="20"/>
                <w:szCs w:val="20"/>
              </w:rPr>
              <w:t xml:space="preserve">a </w:t>
            </w:r>
            <w:r w:rsidRPr="002A2DD6">
              <w:rPr>
                <w:rFonts w:ascii="Verdana" w:hAnsi="Verdana"/>
                <w:sz w:val="20"/>
                <w:szCs w:val="20"/>
              </w:rPr>
              <w:t xml:space="preserve">lack of statistical data on the status of accessibility of public buildings to the needs of persons with disabilities. </w:t>
            </w:r>
          </w:p>
          <w:p w14:paraId="4244CE8D" w14:textId="77777777" w:rsidR="00D37B92" w:rsidRDefault="00D37B92" w:rsidP="006E30A5">
            <w:pPr>
              <w:pStyle w:val="FRABodyTextnumbered"/>
              <w:tabs>
                <w:tab w:val="clear" w:pos="1277"/>
              </w:tabs>
              <w:spacing w:before="0" w:after="0"/>
              <w:ind w:left="0" w:firstLine="0"/>
              <w:jc w:val="left"/>
              <w:rPr>
                <w:rFonts w:ascii="Verdana" w:hAnsi="Verdana"/>
                <w:color w:val="000000"/>
                <w:sz w:val="20"/>
                <w:szCs w:val="20"/>
                <w:shd w:val="clear" w:color="auto" w:fill="FFFFFF"/>
              </w:rPr>
            </w:pPr>
            <w:r>
              <w:rPr>
                <w:rFonts w:ascii="Verdana" w:hAnsi="Verdana"/>
                <w:sz w:val="20"/>
                <w:szCs w:val="20"/>
              </w:rPr>
              <w:t>On</w:t>
            </w:r>
            <w:r w:rsidRPr="002A2DD6">
              <w:rPr>
                <w:rFonts w:ascii="Verdana" w:hAnsi="Verdana"/>
                <w:sz w:val="20"/>
                <w:szCs w:val="20"/>
              </w:rPr>
              <w:t xml:space="preserve"> request of </w:t>
            </w:r>
            <w:r>
              <w:rPr>
                <w:rFonts w:ascii="Verdana" w:hAnsi="Verdana"/>
                <w:sz w:val="20"/>
                <w:szCs w:val="20"/>
              </w:rPr>
              <w:t xml:space="preserve">the </w:t>
            </w:r>
            <w:r w:rsidRPr="002A2DD6">
              <w:rPr>
                <w:rFonts w:ascii="Verdana" w:hAnsi="Verdana"/>
                <w:sz w:val="20"/>
                <w:szCs w:val="20"/>
              </w:rPr>
              <w:t xml:space="preserve">Lithuanian Government </w:t>
            </w:r>
            <w:r>
              <w:rPr>
                <w:rFonts w:ascii="Verdana" w:hAnsi="Verdana"/>
                <w:sz w:val="20"/>
                <w:szCs w:val="20"/>
              </w:rPr>
              <w:t>a</w:t>
            </w:r>
            <w:r w:rsidRPr="002A2DD6">
              <w:rPr>
                <w:rFonts w:ascii="Verdana" w:hAnsi="Verdana"/>
                <w:sz w:val="20"/>
                <w:szCs w:val="20"/>
              </w:rPr>
              <w:t xml:space="preserve"> study</w:t>
            </w:r>
            <w:r>
              <w:rPr>
                <w:rFonts w:ascii="Verdana" w:hAnsi="Verdana"/>
                <w:sz w:val="20"/>
                <w:szCs w:val="20"/>
              </w:rPr>
              <w:t xml:space="preserve"> was</w:t>
            </w:r>
            <w:r w:rsidRPr="002A2DD6">
              <w:rPr>
                <w:rFonts w:ascii="Verdana" w:hAnsi="Verdana"/>
                <w:sz w:val="20"/>
                <w:szCs w:val="20"/>
              </w:rPr>
              <w:t xml:space="preserve"> carried out in 2012 assessing the need for financial resources for adaptation of all public buildings to be accessible to persons with disabilities. </w:t>
            </w:r>
            <w:r>
              <w:rPr>
                <w:rFonts w:ascii="Verdana" w:hAnsi="Verdana"/>
                <w:sz w:val="20"/>
                <w:szCs w:val="20"/>
              </w:rPr>
              <w:t>34,000</w:t>
            </w:r>
            <w:r w:rsidRPr="002A2DD6">
              <w:rPr>
                <w:rFonts w:ascii="Verdana" w:hAnsi="Verdana"/>
                <w:color w:val="000000"/>
                <w:sz w:val="20"/>
                <w:szCs w:val="20"/>
                <w:shd w:val="clear" w:color="auto" w:fill="FFFFFF"/>
              </w:rPr>
              <w:t xml:space="preserve"> public buildings and objects (schools, policlinics, hospitals, trade and public catering enterprises, theatres, banks, post and other buildings)</w:t>
            </w:r>
            <w:r>
              <w:rPr>
                <w:rFonts w:ascii="Verdana" w:hAnsi="Verdana"/>
                <w:color w:val="000000"/>
                <w:sz w:val="20"/>
                <w:szCs w:val="20"/>
                <w:shd w:val="clear" w:color="auto" w:fill="FFFFFF"/>
              </w:rPr>
              <w:t xml:space="preserve"> according to the findings </w:t>
            </w:r>
            <w:r w:rsidRPr="002A2DD6">
              <w:rPr>
                <w:rFonts w:ascii="Verdana" w:hAnsi="Verdana"/>
                <w:color w:val="000000"/>
                <w:sz w:val="20"/>
                <w:szCs w:val="20"/>
                <w:shd w:val="clear" w:color="auto" w:fill="FFFFFF"/>
              </w:rPr>
              <w:t>should be re</w:t>
            </w:r>
            <w:r>
              <w:rPr>
                <w:rFonts w:ascii="Verdana" w:hAnsi="Verdana"/>
                <w:color w:val="000000"/>
                <w:sz w:val="20"/>
                <w:szCs w:val="20"/>
                <w:shd w:val="clear" w:color="auto" w:fill="FFFFFF"/>
              </w:rPr>
              <w:t>furbished</w:t>
            </w:r>
            <w:r w:rsidRPr="002A2DD6">
              <w:rPr>
                <w:rFonts w:ascii="Verdana" w:hAnsi="Verdana"/>
                <w:color w:val="000000"/>
                <w:sz w:val="20"/>
                <w:szCs w:val="20"/>
                <w:shd w:val="clear" w:color="auto" w:fill="FFFFFF"/>
              </w:rPr>
              <w:t xml:space="preserve"> and adapted to the needs of persons with disabilities. By preliminary calculations, more th</w:t>
            </w:r>
            <w:r>
              <w:rPr>
                <w:rFonts w:ascii="Verdana" w:hAnsi="Verdana"/>
                <w:color w:val="000000"/>
                <w:sz w:val="20"/>
                <w:szCs w:val="20"/>
                <w:shd w:val="clear" w:color="auto" w:fill="FFFFFF"/>
              </w:rPr>
              <w:t>a</w:t>
            </w:r>
            <w:r w:rsidRPr="002A2DD6">
              <w:rPr>
                <w:rFonts w:ascii="Verdana" w:hAnsi="Verdana"/>
                <w:color w:val="000000"/>
                <w:sz w:val="20"/>
                <w:szCs w:val="20"/>
                <w:shd w:val="clear" w:color="auto" w:fill="FFFFFF"/>
              </w:rPr>
              <w:t xml:space="preserve">n </w:t>
            </w:r>
            <w:r>
              <w:rPr>
                <w:rFonts w:ascii="Verdana" w:hAnsi="Verdana"/>
                <w:color w:val="000000"/>
                <w:sz w:val="20"/>
                <w:szCs w:val="20"/>
                <w:shd w:val="clear" w:color="auto" w:fill="FFFFFF"/>
              </w:rPr>
              <w:t>7</w:t>
            </w:r>
            <w:r w:rsidRPr="002A2DD6">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billion</w:t>
            </w:r>
            <w:r w:rsidRPr="002A2DD6">
              <w:rPr>
                <w:rFonts w:ascii="Verdana" w:hAnsi="Verdana"/>
                <w:color w:val="000000"/>
                <w:sz w:val="20"/>
                <w:szCs w:val="20"/>
                <w:shd w:val="clear" w:color="auto" w:fill="FFFFFF"/>
              </w:rPr>
              <w:t xml:space="preserve"> Litas (</w:t>
            </w:r>
            <w:r w:rsidRPr="002A2DD6">
              <w:rPr>
                <w:rFonts w:ascii="Verdana" w:hAnsi="Verdana"/>
                <w:color w:val="000000"/>
                <w:sz w:val="20"/>
                <w:szCs w:val="20"/>
                <w:shd w:val="clear" w:color="auto" w:fill="FFFFFF"/>
                <w:lang w:val="en-US"/>
              </w:rPr>
              <w:t xml:space="preserve">2 </w:t>
            </w:r>
            <w:r>
              <w:rPr>
                <w:rFonts w:ascii="Verdana" w:hAnsi="Verdana"/>
                <w:color w:val="000000"/>
                <w:sz w:val="20"/>
                <w:szCs w:val="20"/>
                <w:shd w:val="clear" w:color="auto" w:fill="FFFFFF"/>
                <w:lang w:val="en-US"/>
              </w:rPr>
              <w:t>bil.</w:t>
            </w:r>
            <w:r w:rsidRPr="002A2DD6">
              <w:rPr>
                <w:rFonts w:ascii="Verdana" w:hAnsi="Verdana"/>
                <w:color w:val="000000"/>
                <w:sz w:val="20"/>
                <w:szCs w:val="20"/>
                <w:shd w:val="clear" w:color="auto" w:fill="FFFFFF"/>
                <w:lang w:val="en-US"/>
              </w:rPr>
              <w:t xml:space="preserve"> EUR)</w:t>
            </w:r>
            <w:r w:rsidRPr="002A2DD6">
              <w:rPr>
                <w:rFonts w:ascii="Verdana" w:hAnsi="Verdana"/>
                <w:color w:val="000000"/>
                <w:sz w:val="20"/>
                <w:szCs w:val="20"/>
                <w:shd w:val="clear" w:color="auto" w:fill="FFFFFF"/>
              </w:rPr>
              <w:t xml:space="preserve"> are needed for such adaptations.</w:t>
            </w:r>
            <w:r w:rsidRPr="002A2DD6">
              <w:rPr>
                <w:rFonts w:ascii="Verdana" w:hAnsi="Verdana"/>
                <w:color w:val="000000"/>
                <w:sz w:val="20"/>
                <w:szCs w:val="20"/>
                <w:shd w:val="clear" w:color="auto" w:fill="FFFFFF"/>
                <w:vertAlign w:val="superscript"/>
              </w:rPr>
              <w:footnoteReference w:id="39"/>
            </w:r>
          </w:p>
          <w:p w14:paraId="64B4DF5F" w14:textId="77777777" w:rsidR="00D37B92" w:rsidRPr="002A2DD6" w:rsidRDefault="00D37B92" w:rsidP="006E30A5">
            <w:pPr>
              <w:pStyle w:val="FRABodyTextnumbered"/>
              <w:tabs>
                <w:tab w:val="clear" w:pos="1277"/>
              </w:tabs>
              <w:spacing w:before="0" w:after="0"/>
              <w:ind w:left="0" w:firstLine="0"/>
              <w:jc w:val="left"/>
              <w:rPr>
                <w:rFonts w:ascii="Verdana" w:hAnsi="Verdana"/>
                <w:sz w:val="20"/>
                <w:szCs w:val="20"/>
              </w:rPr>
            </w:pPr>
          </w:p>
          <w:p w14:paraId="1EDF0F70" w14:textId="09EA2BC9" w:rsidR="00D37B92" w:rsidRDefault="00D37B92" w:rsidP="006E30A5">
            <w:pPr>
              <w:rPr>
                <w:rFonts w:ascii="Verdana" w:eastAsia="Calibri" w:hAnsi="Verdana" w:cs="Times New Roman"/>
                <w:lang w:val="en-IE" w:eastAsia="en-US" w:bidi="en-US"/>
              </w:rPr>
            </w:pPr>
            <w:r w:rsidRPr="002A2DD6">
              <w:rPr>
                <w:rFonts w:ascii="Verdana" w:hAnsi="Verdana"/>
                <w:color w:val="000000"/>
                <w:sz w:val="20"/>
                <w:szCs w:val="20"/>
                <w:shd w:val="clear" w:color="auto" w:fill="FFFFFF"/>
              </w:rPr>
              <w:t>In 2012 Lithuanian society of persons with disabilities</w:t>
            </w:r>
            <w:r>
              <w:rPr>
                <w:rFonts w:ascii="Verdana" w:hAnsi="Verdana"/>
                <w:color w:val="000000"/>
                <w:sz w:val="20"/>
                <w:szCs w:val="20"/>
                <w:shd w:val="clear" w:color="auto" w:fill="FFFFFF"/>
              </w:rPr>
              <w:t xml:space="preserve"> </w:t>
            </w:r>
            <w:r w:rsidRPr="002A2DD6">
              <w:rPr>
                <w:rFonts w:ascii="Verdana" w:hAnsi="Verdana"/>
                <w:color w:val="000000"/>
                <w:sz w:val="20"/>
                <w:szCs w:val="20"/>
                <w:shd w:val="clear" w:color="auto" w:fill="FFFFFF"/>
              </w:rPr>
              <w:t>assessed more th</w:t>
            </w:r>
            <w:r>
              <w:rPr>
                <w:rFonts w:ascii="Verdana" w:hAnsi="Verdana"/>
                <w:color w:val="000000"/>
                <w:sz w:val="20"/>
                <w:szCs w:val="20"/>
                <w:shd w:val="clear" w:color="auto" w:fill="FFFFFF"/>
              </w:rPr>
              <w:t>a</w:t>
            </w:r>
            <w:r w:rsidRPr="002A2DD6">
              <w:rPr>
                <w:rFonts w:ascii="Verdana" w:hAnsi="Verdana"/>
                <w:color w:val="000000"/>
                <w:sz w:val="20"/>
                <w:szCs w:val="20"/>
                <w:shd w:val="clear" w:color="auto" w:fill="FFFFFF"/>
              </w:rPr>
              <w:t>n 350 public buildings in nine Lithuanian municipalities, report</w:t>
            </w:r>
            <w:r>
              <w:rPr>
                <w:rFonts w:ascii="Verdana" w:hAnsi="Verdana"/>
                <w:color w:val="000000"/>
                <w:sz w:val="20"/>
                <w:szCs w:val="20"/>
                <w:shd w:val="clear" w:color="auto" w:fill="FFFFFF"/>
              </w:rPr>
              <w:t>ing</w:t>
            </w:r>
            <w:r w:rsidRPr="002A2DD6">
              <w:rPr>
                <w:rFonts w:ascii="Verdana" w:hAnsi="Verdana"/>
                <w:color w:val="000000"/>
                <w:sz w:val="20"/>
                <w:szCs w:val="20"/>
                <w:shd w:val="clear" w:color="auto" w:fill="FFFFFF"/>
              </w:rPr>
              <w:t xml:space="preserve"> that almost half of them are not accessible to persons with disabilities.</w:t>
            </w:r>
            <w:r w:rsidRPr="002A2DD6">
              <w:rPr>
                <w:rStyle w:val="FootnoteReference"/>
                <w:rFonts w:ascii="Verdana" w:hAnsi="Verdana"/>
                <w:color w:val="000000"/>
                <w:sz w:val="20"/>
                <w:szCs w:val="20"/>
                <w:shd w:val="clear" w:color="auto" w:fill="FFFFFF"/>
              </w:rPr>
              <w:footnoteReference w:id="40"/>
            </w:r>
          </w:p>
        </w:tc>
      </w:tr>
      <w:tr w:rsidR="00D37B92" w:rsidRPr="003B1872" w14:paraId="2E78C65E" w14:textId="6E600E7B" w:rsidTr="00ED2BB6">
        <w:trPr>
          <w:trHeight w:val="510"/>
        </w:trPr>
        <w:tc>
          <w:tcPr>
            <w:tcW w:w="501" w:type="pct"/>
            <w:vAlign w:val="center"/>
          </w:tcPr>
          <w:p w14:paraId="1DB3283F"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53822406" w14:textId="77777777" w:rsidR="00D37B92" w:rsidRDefault="00D37B92" w:rsidP="00D37B92">
            <w:pPr>
              <w:spacing w:before="240"/>
              <w:contextualSpacing/>
              <w:jc w:val="both"/>
              <w:rPr>
                <w:rFonts w:ascii="Verdana" w:hAnsi="Verdana"/>
                <w:sz w:val="20"/>
                <w:szCs w:val="20"/>
                <w:lang w:val="en-GB"/>
              </w:rPr>
            </w:pPr>
            <w:r w:rsidRPr="001E4C7A">
              <w:rPr>
                <w:rFonts w:ascii="Verdana" w:hAnsi="Verdana"/>
                <w:sz w:val="20"/>
                <w:szCs w:val="20"/>
                <w:lang w:val="en-GB"/>
              </w:rPr>
              <w:t xml:space="preserve">No data exist on this issue. </w:t>
            </w:r>
          </w:p>
          <w:p w14:paraId="42ACCB07" w14:textId="77777777" w:rsidR="00D37B92" w:rsidRDefault="00D37B92" w:rsidP="00D37B92">
            <w:pPr>
              <w:spacing w:before="240"/>
              <w:contextualSpacing/>
              <w:jc w:val="both"/>
              <w:rPr>
                <w:rFonts w:ascii="Verdana" w:hAnsi="Verdana"/>
                <w:sz w:val="20"/>
                <w:szCs w:val="20"/>
                <w:lang w:val="en-GB"/>
              </w:rPr>
            </w:pPr>
          </w:p>
          <w:p w14:paraId="761879DE" w14:textId="79F5A501" w:rsidR="00D37B92" w:rsidRDefault="00D37B92" w:rsidP="00D37B92">
            <w:pPr>
              <w:rPr>
                <w:rFonts w:ascii="Verdana" w:eastAsia="Calibri" w:hAnsi="Verdana" w:cs="Times New Roman"/>
                <w:lang w:val="en-IE" w:eastAsia="en-US" w:bidi="en-US"/>
              </w:rPr>
            </w:pPr>
            <w:r>
              <w:rPr>
                <w:rFonts w:ascii="Verdana" w:hAnsi="Verdana"/>
                <w:sz w:val="20"/>
                <w:szCs w:val="20"/>
                <w:lang w:val="en-GB"/>
              </w:rPr>
              <w:t>As set out in the Act on accessibility</w:t>
            </w:r>
            <w:r>
              <w:rPr>
                <w:rStyle w:val="FootnoteReference"/>
                <w:rFonts w:ascii="Verdana" w:hAnsi="Verdana"/>
                <w:sz w:val="20"/>
                <w:szCs w:val="20"/>
                <w:lang w:val="en-GB"/>
              </w:rPr>
              <w:footnoteReference w:id="41"/>
            </w:r>
            <w:r>
              <w:rPr>
                <w:rFonts w:ascii="Verdana" w:hAnsi="Verdana"/>
                <w:sz w:val="20"/>
                <w:szCs w:val="20"/>
                <w:lang w:val="en-GB"/>
              </w:rPr>
              <w:t>, since 2001 t</w:t>
            </w:r>
            <w:r w:rsidRPr="001E4C7A">
              <w:rPr>
                <w:rFonts w:ascii="Verdana" w:hAnsi="Verdana"/>
                <w:sz w:val="20"/>
                <w:szCs w:val="20"/>
                <w:lang w:val="en-GB"/>
              </w:rPr>
              <w:t>here is a legal obligation for public buildings to respect the given standards for new buildings and for comprehensive renovation projects</w:t>
            </w:r>
            <w:r>
              <w:rPr>
                <w:rStyle w:val="FootnoteReference"/>
                <w:rFonts w:ascii="Verdana" w:hAnsi="Verdana"/>
                <w:sz w:val="20"/>
                <w:szCs w:val="20"/>
                <w:lang w:val="en-GB"/>
              </w:rPr>
              <w:footnoteReference w:id="42"/>
            </w:r>
            <w:r w:rsidRPr="001E4C7A">
              <w:rPr>
                <w:rFonts w:ascii="Verdana" w:hAnsi="Verdana"/>
                <w:sz w:val="20"/>
                <w:szCs w:val="20"/>
                <w:lang w:val="en-GB"/>
              </w:rPr>
              <w:t xml:space="preserve">. </w:t>
            </w:r>
            <w:r>
              <w:rPr>
                <w:rFonts w:ascii="Verdana" w:hAnsi="Verdana"/>
                <w:sz w:val="20"/>
                <w:szCs w:val="20"/>
                <w:lang w:val="en-GB"/>
              </w:rPr>
              <w:t>However, t</w:t>
            </w:r>
            <w:r w:rsidRPr="001E4C7A">
              <w:rPr>
                <w:rFonts w:ascii="Verdana" w:hAnsi="Verdana"/>
                <w:sz w:val="20"/>
                <w:szCs w:val="20"/>
                <w:lang w:val="en-GB"/>
              </w:rPr>
              <w:t>here is no obligation to adapt the current environment.</w:t>
            </w:r>
          </w:p>
        </w:tc>
      </w:tr>
      <w:tr w:rsidR="00D37B92" w:rsidRPr="003B1872" w14:paraId="600BD4D0" w14:textId="24083D26" w:rsidTr="00ED2BB6">
        <w:trPr>
          <w:trHeight w:val="510"/>
        </w:trPr>
        <w:tc>
          <w:tcPr>
            <w:tcW w:w="501" w:type="pct"/>
            <w:vAlign w:val="center"/>
          </w:tcPr>
          <w:p w14:paraId="6A5EC050"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6B1EAC40" w14:textId="50B0B24F" w:rsidR="00D37B92" w:rsidRDefault="00D37B92" w:rsidP="00ED2BB6">
            <w:pPr>
              <w:rPr>
                <w:rFonts w:ascii="Verdana" w:eastAsia="Calibri" w:hAnsi="Verdana" w:cs="Times New Roman"/>
                <w:lang w:val="en-IE" w:eastAsia="en-US" w:bidi="en-US"/>
              </w:rPr>
            </w:pPr>
            <w:r w:rsidRPr="0054399C">
              <w:rPr>
                <w:rFonts w:ascii="Verdana" w:hAnsi="Verdana"/>
                <w:sz w:val="20"/>
                <w:szCs w:val="20"/>
                <w:lang w:val="en-GB"/>
              </w:rPr>
              <w:t>According to information provided by th</w:t>
            </w:r>
            <w:r>
              <w:rPr>
                <w:rFonts w:ascii="Verdana" w:hAnsi="Verdana"/>
                <w:sz w:val="20"/>
                <w:szCs w:val="20"/>
                <w:lang w:val="en-GB"/>
              </w:rPr>
              <w:t>e</w:t>
            </w:r>
            <w:r w:rsidRPr="0054399C">
              <w:rPr>
                <w:rFonts w:ascii="Verdana" w:hAnsi="Verdana"/>
                <w:sz w:val="20"/>
                <w:szCs w:val="20"/>
                <w:lang w:val="en-GB"/>
              </w:rPr>
              <w:t xml:space="preserve"> Central Statistical Bureau of Latvia on 29 July 2013, the CSB does not have information about accessibility of the public authority national and municipal buildings to persons with disabilities.</w:t>
            </w:r>
            <w:r w:rsidRPr="0054399C">
              <w:rPr>
                <w:rFonts w:ascii="Verdana" w:hAnsi="Verdana"/>
                <w:sz w:val="20"/>
                <w:szCs w:val="20"/>
                <w:vertAlign w:val="superscript"/>
                <w:lang w:val="en-GB"/>
              </w:rPr>
              <w:footnoteReference w:id="43"/>
            </w:r>
          </w:p>
        </w:tc>
      </w:tr>
      <w:tr w:rsidR="00D37B92" w:rsidRPr="003B1872" w14:paraId="22FBC547" w14:textId="12C2FE1A" w:rsidTr="00ED2BB6">
        <w:trPr>
          <w:trHeight w:val="510"/>
        </w:trPr>
        <w:tc>
          <w:tcPr>
            <w:tcW w:w="501" w:type="pct"/>
            <w:vAlign w:val="center"/>
          </w:tcPr>
          <w:p w14:paraId="40F0293F"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7DF2D061" w14:textId="77777777" w:rsidR="00D37B92" w:rsidRPr="00415BF7" w:rsidRDefault="00D37B92" w:rsidP="00D37B92">
            <w:pPr>
              <w:rPr>
                <w:rFonts w:ascii="Verdana" w:hAnsi="Verdana"/>
                <w:sz w:val="20"/>
                <w:szCs w:val="20"/>
                <w:lang w:val="en-GB"/>
              </w:rPr>
            </w:pPr>
            <w:r w:rsidRPr="00415BF7">
              <w:rPr>
                <w:rFonts w:ascii="Verdana" w:hAnsi="Verdana"/>
                <w:sz w:val="20"/>
                <w:szCs w:val="20"/>
                <w:lang w:val="en-GB"/>
              </w:rPr>
              <w:t>According to ‘Access for All – Design Guidelines’ issued by KNPD, public buildings should conform to access for all standards issued by KNPD.</w:t>
            </w:r>
            <w:r w:rsidRPr="00415BF7">
              <w:rPr>
                <w:rStyle w:val="FootnoteReference"/>
                <w:rFonts w:ascii="Verdana" w:hAnsi="Verdana"/>
                <w:sz w:val="20"/>
                <w:szCs w:val="20"/>
                <w:lang w:val="en-GB"/>
              </w:rPr>
              <w:footnoteReference w:id="44"/>
            </w:r>
          </w:p>
          <w:p w14:paraId="67311EAF" w14:textId="77777777" w:rsidR="00D37B92" w:rsidRPr="00415BF7" w:rsidRDefault="00D37B92" w:rsidP="00D37B92">
            <w:pPr>
              <w:rPr>
                <w:rFonts w:ascii="Verdana" w:hAnsi="Verdana"/>
                <w:sz w:val="20"/>
                <w:szCs w:val="20"/>
                <w:lang w:val="en-GB"/>
              </w:rPr>
            </w:pPr>
          </w:p>
          <w:p w14:paraId="5D9ADFD2" w14:textId="62730CBE" w:rsidR="00D37B92" w:rsidRDefault="00D37B92" w:rsidP="00D37B92">
            <w:pPr>
              <w:rPr>
                <w:rFonts w:ascii="Verdana" w:eastAsia="Calibri" w:hAnsi="Verdana" w:cs="Times New Roman"/>
                <w:lang w:val="en-IE" w:eastAsia="en-US" w:bidi="en-US"/>
              </w:rPr>
            </w:pPr>
            <w:r w:rsidRPr="00415BF7">
              <w:rPr>
                <w:rFonts w:ascii="Verdana" w:hAnsi="Verdana"/>
                <w:sz w:val="20"/>
                <w:szCs w:val="20"/>
                <w:lang w:val="en-GB"/>
              </w:rPr>
              <w:t>There are no statistics related to the amount which are in fact accessible.</w:t>
            </w:r>
            <w:r>
              <w:rPr>
                <w:rStyle w:val="FootnoteReference"/>
                <w:rFonts w:ascii="Verdana" w:hAnsi="Verdana"/>
                <w:sz w:val="20"/>
                <w:szCs w:val="20"/>
                <w:lang w:val="en-GB"/>
              </w:rPr>
              <w:footnoteReference w:id="45"/>
            </w:r>
          </w:p>
        </w:tc>
      </w:tr>
      <w:tr w:rsidR="00D37B92" w:rsidRPr="003B1872" w14:paraId="7F436098" w14:textId="198953DB" w:rsidTr="00ED2BB6">
        <w:trPr>
          <w:trHeight w:val="510"/>
        </w:trPr>
        <w:tc>
          <w:tcPr>
            <w:tcW w:w="501" w:type="pct"/>
            <w:vAlign w:val="center"/>
          </w:tcPr>
          <w:p w14:paraId="2FCC08CA" w14:textId="77777777" w:rsidR="00D37B9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359AA7D9" w14:textId="77777777" w:rsidR="00A925D8" w:rsidRPr="00BE6376" w:rsidRDefault="00A925D8" w:rsidP="00A925D8">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There is no data available on the accessibility of the total of public authority buildings. According to the Government Building Agency which manages and develops the majority of (national) government buildings, all of their buildings are accessible to persons with disability. It is however not clear which proportion of the total of national and municipal buildings this applies to.</w:t>
            </w:r>
            <w:r w:rsidRPr="00BE6376">
              <w:rPr>
                <w:rStyle w:val="FootnoteReference"/>
                <w:rFonts w:ascii="Verdana" w:eastAsia="Calibri" w:hAnsi="Verdana" w:cs="Times New Roman"/>
                <w:sz w:val="20"/>
                <w:szCs w:val="20"/>
              </w:rPr>
              <w:footnoteReference w:id="46"/>
            </w:r>
          </w:p>
          <w:p w14:paraId="4462C6DC" w14:textId="0925F897" w:rsidR="00D37B92" w:rsidRDefault="00A925D8" w:rsidP="00A925D8">
            <w:pPr>
              <w:rPr>
                <w:rFonts w:ascii="Verdana" w:eastAsia="Calibri" w:hAnsi="Verdana" w:cs="Times New Roman"/>
                <w:lang w:val="en-IE" w:eastAsia="en-US" w:bidi="en-US"/>
              </w:rPr>
            </w:pPr>
            <w:r>
              <w:rPr>
                <w:rFonts w:ascii="Verdana" w:eastAsia="Calibri" w:hAnsi="Verdana" w:cs="Times New Roman"/>
                <w:sz w:val="20"/>
                <w:szCs w:val="20"/>
              </w:rPr>
              <w:t>Additionally,</w:t>
            </w:r>
            <w:r w:rsidRPr="00BE6376">
              <w:rPr>
                <w:rFonts w:ascii="Verdana" w:eastAsia="Calibri" w:hAnsi="Verdana" w:cs="Times New Roman"/>
                <w:sz w:val="20"/>
                <w:szCs w:val="20"/>
              </w:rPr>
              <w:t xml:space="preserve"> the Federation of Dutch Municipalities</w:t>
            </w:r>
            <w:r w:rsidRPr="00BE6376">
              <w:rPr>
                <w:rStyle w:val="FootnoteReference"/>
                <w:rFonts w:ascii="Verdana" w:eastAsia="Calibri" w:hAnsi="Verdana" w:cs="Times New Roman"/>
                <w:sz w:val="20"/>
                <w:szCs w:val="20"/>
                <w:lang w:val="nl-NL"/>
              </w:rPr>
              <w:footnoteReference w:id="47"/>
            </w:r>
            <w:r w:rsidRPr="00BE6376">
              <w:rPr>
                <w:rFonts w:ascii="Verdana" w:eastAsia="Calibri" w:hAnsi="Verdana" w:cs="Times New Roman"/>
                <w:sz w:val="20"/>
                <w:szCs w:val="20"/>
              </w:rPr>
              <w:t xml:space="preserve"> </w:t>
            </w:r>
            <w:r>
              <w:rPr>
                <w:rFonts w:ascii="Verdana" w:eastAsia="Calibri" w:hAnsi="Verdana" w:cs="Times New Roman"/>
                <w:sz w:val="20"/>
                <w:szCs w:val="20"/>
              </w:rPr>
              <w:t>and t</w:t>
            </w:r>
            <w:r w:rsidRPr="00BE6376">
              <w:rPr>
                <w:rFonts w:ascii="Verdana" w:eastAsia="Calibri" w:hAnsi="Verdana" w:cs="Times New Roman"/>
                <w:sz w:val="20"/>
                <w:szCs w:val="20"/>
              </w:rPr>
              <w:t xml:space="preserve">he Council for the Chronically ill and Disabled </w:t>
            </w:r>
            <w:r>
              <w:rPr>
                <w:rFonts w:ascii="Verdana" w:eastAsia="Calibri" w:hAnsi="Verdana" w:cs="Times New Roman"/>
                <w:sz w:val="20"/>
                <w:szCs w:val="20"/>
              </w:rPr>
              <w:t xml:space="preserve">were consulted, as well as desk research was carried out. No </w:t>
            </w:r>
            <w:r w:rsidRPr="00BE6376">
              <w:rPr>
                <w:rFonts w:ascii="Verdana" w:eastAsia="Calibri" w:hAnsi="Verdana" w:cs="Times New Roman"/>
                <w:sz w:val="20"/>
                <w:szCs w:val="20"/>
              </w:rPr>
              <w:t>specific statistics</w:t>
            </w:r>
            <w:r>
              <w:rPr>
                <w:rFonts w:ascii="Verdana" w:eastAsia="Calibri" w:hAnsi="Verdana" w:cs="Times New Roman"/>
                <w:sz w:val="20"/>
                <w:szCs w:val="20"/>
              </w:rPr>
              <w:t xml:space="preserve"> are collected</w:t>
            </w:r>
            <w:r w:rsidRPr="00BE6376">
              <w:rPr>
                <w:rFonts w:ascii="Verdana" w:eastAsia="Calibri" w:hAnsi="Verdana" w:cs="Times New Roman"/>
                <w:sz w:val="20"/>
                <w:szCs w:val="20"/>
              </w:rPr>
              <w:t xml:space="preserve"> on this issue.</w:t>
            </w:r>
            <w:r w:rsidRPr="00BE6376">
              <w:rPr>
                <w:rStyle w:val="FootnoteReference"/>
                <w:rFonts w:ascii="Verdana" w:eastAsia="Calibri" w:hAnsi="Verdana" w:cs="Times New Roman"/>
                <w:sz w:val="20"/>
                <w:szCs w:val="20"/>
              </w:rPr>
              <w:footnoteReference w:id="48"/>
            </w:r>
          </w:p>
        </w:tc>
      </w:tr>
      <w:tr w:rsidR="00D37B92" w:rsidRPr="003B1872" w14:paraId="7CFDD604" w14:textId="1C73B8A5" w:rsidTr="00ED2BB6">
        <w:trPr>
          <w:trHeight w:val="510"/>
        </w:trPr>
        <w:tc>
          <w:tcPr>
            <w:tcW w:w="501" w:type="pct"/>
            <w:vAlign w:val="center"/>
          </w:tcPr>
          <w:p w14:paraId="56DDA4F3"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426121CE"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There is no comprehensive and updated data concerning the total number of all possible public authority national and municipal buildings. Therefore, it is impossible to say what proportion of those buildings is accessible to persons with disabilities.</w:t>
            </w:r>
          </w:p>
          <w:p w14:paraId="235AB348"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However, in 2008 the Government Plenipotentiary for Disabled Persons</w:t>
            </w:r>
            <w:r w:rsidRPr="009638A1" w:rsidDel="007C443E">
              <w:rPr>
                <w:rFonts w:ascii="Verdana" w:hAnsi="Verdana" w:cs="Calibri"/>
                <w:sz w:val="20"/>
                <w:szCs w:val="20"/>
                <w:lang w:val="en-GB"/>
              </w:rPr>
              <w:t xml:space="preserve"> </w:t>
            </w:r>
            <w:r w:rsidRPr="009638A1">
              <w:rPr>
                <w:rFonts w:ascii="Verdana" w:hAnsi="Verdana" w:cs="Calibri"/>
                <w:sz w:val="20"/>
                <w:szCs w:val="20"/>
                <w:lang w:val="en-GB"/>
              </w:rPr>
              <w:t>conducted a Study on the Accessibility of Governmental Administration Building and Central Offices</w:t>
            </w:r>
            <w:r w:rsidRPr="009638A1">
              <w:rPr>
                <w:rStyle w:val="FootnoteReference"/>
                <w:rFonts w:ascii="Verdana" w:hAnsi="Verdana" w:cs="Calibri"/>
                <w:sz w:val="20"/>
                <w:szCs w:val="20"/>
                <w:lang w:val="en-GB"/>
              </w:rPr>
              <w:footnoteReference w:id="49"/>
            </w:r>
            <w:r w:rsidRPr="009638A1">
              <w:rPr>
                <w:rFonts w:ascii="Verdana" w:hAnsi="Verdana" w:cs="Calibri"/>
                <w:sz w:val="20"/>
                <w:szCs w:val="20"/>
                <w:lang w:val="en-GB"/>
              </w:rPr>
              <w:t xml:space="preserve">.  The study was based on a survey addressed to ministries and central offices in Warsaw. Altogether, the study covered 33 respondent ministries and offices, and 62 buildings. </w:t>
            </w:r>
          </w:p>
          <w:p w14:paraId="699C83A8"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In reference to accessibility for persons with physical disabilities, for example:</w:t>
            </w:r>
          </w:p>
          <w:p w14:paraId="3473AE35"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 The paths to surveyed buildings</w:t>
            </w:r>
            <w:r w:rsidRPr="009638A1" w:rsidDel="006B0B71">
              <w:rPr>
                <w:rFonts w:ascii="Verdana" w:hAnsi="Verdana" w:cs="Calibri"/>
                <w:sz w:val="20"/>
                <w:szCs w:val="20"/>
                <w:lang w:val="en-GB"/>
              </w:rPr>
              <w:t xml:space="preserve"> </w:t>
            </w:r>
            <w:r w:rsidRPr="009638A1">
              <w:rPr>
                <w:rFonts w:ascii="Verdana" w:hAnsi="Verdana" w:cs="Calibri"/>
                <w:sz w:val="20"/>
                <w:szCs w:val="20"/>
                <w:lang w:val="en-GB"/>
              </w:rPr>
              <w:t>had hardened, and not soft, surfaces (</w:t>
            </w:r>
            <w:r w:rsidRPr="009638A1">
              <w:rPr>
                <w:rFonts w:ascii="Verdana" w:hAnsi="Verdana" w:cs="Calibri"/>
                <w:i/>
                <w:sz w:val="20"/>
                <w:szCs w:val="20"/>
                <w:lang w:val="en-GB"/>
              </w:rPr>
              <w:t>utwardzone</w:t>
            </w:r>
            <w:r w:rsidRPr="009638A1">
              <w:rPr>
                <w:rFonts w:ascii="Verdana" w:hAnsi="Verdana" w:cs="Calibri"/>
                <w:sz w:val="20"/>
                <w:szCs w:val="20"/>
                <w:lang w:val="en-GB"/>
              </w:rPr>
              <w:t>)</w:t>
            </w:r>
            <w:r>
              <w:rPr>
                <w:rFonts w:ascii="Verdana" w:hAnsi="Verdana" w:cs="Calibri"/>
                <w:sz w:val="20"/>
                <w:szCs w:val="20"/>
                <w:lang w:val="en-GB"/>
              </w:rPr>
              <w:t>,</w:t>
            </w:r>
          </w:p>
          <w:p w14:paraId="54EEE97D"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- 55% had lowered curbs in parking spaces, enabling easy access to the building,</w:t>
            </w:r>
          </w:p>
          <w:p w14:paraId="6C805020"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- 32% had informative signs indicating convenient entrances to buildings.</w:t>
            </w:r>
          </w:p>
          <w:p w14:paraId="118ED529"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In reference to accessibility for persons with sight impairment, for example:</w:t>
            </w:r>
          </w:p>
          <w:p w14:paraId="2F945159"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- 71% had personal assistance of an employee in navigating in and around the building,</w:t>
            </w:r>
          </w:p>
          <w:p w14:paraId="680199CC"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- 37% had tone communication regarding navigation around the building,</w:t>
            </w:r>
          </w:p>
          <w:p w14:paraId="2076187A"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  in 17% of the buildings staircases were marked  correctly.</w:t>
            </w:r>
          </w:p>
          <w:p w14:paraId="6D95D357"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In reference to accessibility for persons with hearing impairments, for example:</w:t>
            </w:r>
          </w:p>
          <w:p w14:paraId="27D99456"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- 63% had legible information boards.</w:t>
            </w:r>
          </w:p>
          <w:p w14:paraId="611C7817"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In reference to accessibility for intellectual disabilities:</w:t>
            </w:r>
          </w:p>
          <w:p w14:paraId="1C37E3D3"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 xml:space="preserve">- 69% of the buildings had provided assistance of the employee. </w:t>
            </w:r>
          </w:p>
          <w:p w14:paraId="272BC47C" w14:textId="77777777" w:rsidR="00A925D8" w:rsidRPr="009638A1" w:rsidRDefault="00A925D8" w:rsidP="00A925D8">
            <w:pPr>
              <w:spacing w:before="240"/>
              <w:contextualSpacing/>
              <w:rPr>
                <w:rFonts w:ascii="Verdana" w:hAnsi="Verdana" w:cs="Calibri"/>
                <w:sz w:val="20"/>
                <w:szCs w:val="20"/>
                <w:lang w:val="en-GB"/>
              </w:rPr>
            </w:pPr>
            <w:r w:rsidRPr="009638A1">
              <w:rPr>
                <w:rFonts w:ascii="Verdana" w:hAnsi="Verdana" w:cs="Calibri"/>
                <w:sz w:val="20"/>
                <w:szCs w:val="20"/>
                <w:lang w:val="en-GB"/>
              </w:rPr>
              <w:t>Moreover, detailed information from ministries and central offices concerning removal of functional barriers, in particular architectural ones, in their buildings has been included in the Annex 9 to the document “Information of the Government of the Republic of Poland on activities undertaken in 2012 to implement provisions of the Polish Sejm Resolution on 1 August 1997 – Charter of Rights of Persons with Disabilities”</w:t>
            </w:r>
            <w:r w:rsidRPr="009638A1">
              <w:rPr>
                <w:rStyle w:val="FootnoteReference"/>
                <w:rFonts w:ascii="Verdana" w:hAnsi="Verdana" w:cs="Calibri"/>
                <w:sz w:val="20"/>
                <w:szCs w:val="20"/>
                <w:lang w:val="en-GB"/>
              </w:rPr>
              <w:footnoteReference w:id="50"/>
            </w:r>
            <w:r>
              <w:rPr>
                <w:rFonts w:ascii="Verdana" w:hAnsi="Verdana" w:cs="Calibri"/>
                <w:sz w:val="20"/>
                <w:szCs w:val="20"/>
                <w:lang w:val="en-GB"/>
              </w:rPr>
              <w:t>.</w:t>
            </w:r>
            <w:r w:rsidRPr="009638A1">
              <w:rPr>
                <w:rFonts w:ascii="Verdana" w:hAnsi="Verdana"/>
                <w:sz w:val="20"/>
                <w:szCs w:val="20"/>
              </w:rPr>
              <w:t xml:space="preserve"> </w:t>
            </w:r>
            <w:r w:rsidRPr="009638A1">
              <w:rPr>
                <w:rFonts w:ascii="Verdana" w:hAnsi="Verdana" w:cs="Calibri"/>
                <w:sz w:val="20"/>
                <w:szCs w:val="20"/>
                <w:lang w:val="en-GB"/>
              </w:rPr>
              <w:t xml:space="preserve"> </w:t>
            </w:r>
          </w:p>
          <w:p w14:paraId="1E7F59CD" w14:textId="551D90AD" w:rsidR="00D37B92" w:rsidRDefault="00A925D8" w:rsidP="00A925D8">
            <w:pPr>
              <w:rPr>
                <w:rFonts w:ascii="Verdana" w:eastAsia="Calibri" w:hAnsi="Verdana" w:cs="Times New Roman"/>
                <w:lang w:val="en-IE" w:eastAsia="en-US" w:bidi="en-US"/>
              </w:rPr>
            </w:pPr>
            <w:r w:rsidRPr="009638A1">
              <w:rPr>
                <w:rFonts w:ascii="Verdana" w:hAnsi="Verdana" w:cs="Calibri"/>
                <w:sz w:val="20"/>
                <w:szCs w:val="20"/>
                <w:lang w:val="en-GB"/>
              </w:rPr>
              <w:t xml:space="preserve">At the regional level, the Main Controlling Chamber conducted a study on accessibility of building in the </w:t>
            </w:r>
            <w:r w:rsidRPr="009638A1">
              <w:rPr>
                <w:rFonts w:ascii="Verdana" w:hAnsi="Verdana" w:cs="Calibri"/>
                <w:i/>
                <w:sz w:val="20"/>
                <w:szCs w:val="20"/>
                <w:lang w:val="en-GB"/>
              </w:rPr>
              <w:t>Podlaskie voivodeship</w:t>
            </w:r>
            <w:r w:rsidRPr="009638A1">
              <w:rPr>
                <w:rFonts w:ascii="Verdana" w:hAnsi="Verdana" w:cs="Calibri"/>
                <w:sz w:val="20"/>
                <w:szCs w:val="20"/>
                <w:lang w:val="en-GB"/>
              </w:rPr>
              <w:t>.</w:t>
            </w:r>
          </w:p>
        </w:tc>
      </w:tr>
      <w:tr w:rsidR="00D37B92" w:rsidRPr="003B1872" w14:paraId="7F0132AE" w14:textId="16A4C85F" w:rsidTr="00ED2BB6">
        <w:trPr>
          <w:trHeight w:val="510"/>
        </w:trPr>
        <w:tc>
          <w:tcPr>
            <w:tcW w:w="501" w:type="pct"/>
            <w:vAlign w:val="center"/>
          </w:tcPr>
          <w:p w14:paraId="31085DCD"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3CAC2567" w14:textId="77777777" w:rsidR="00730918" w:rsidRPr="00666BB5" w:rsidRDefault="00730918" w:rsidP="00730918">
            <w:pPr>
              <w:spacing w:before="240"/>
              <w:contextualSpacing/>
              <w:rPr>
                <w:rFonts w:ascii="Verdana" w:hAnsi="Verdana"/>
                <w:sz w:val="20"/>
                <w:szCs w:val="20"/>
              </w:rPr>
            </w:pPr>
            <w:r w:rsidRPr="00666BB5">
              <w:rPr>
                <w:rFonts w:ascii="Verdana" w:hAnsi="Verdana"/>
                <w:sz w:val="20"/>
                <w:szCs w:val="20"/>
              </w:rPr>
              <w:t xml:space="preserve">This data is not publicly available in national statistics or surveys. </w:t>
            </w:r>
          </w:p>
          <w:p w14:paraId="3323B1B7" w14:textId="77777777" w:rsidR="00730918" w:rsidRPr="00666BB5" w:rsidRDefault="00730918" w:rsidP="00730918">
            <w:pPr>
              <w:spacing w:before="240"/>
              <w:contextualSpacing/>
              <w:rPr>
                <w:rFonts w:ascii="Verdana" w:hAnsi="Verdana"/>
                <w:sz w:val="20"/>
                <w:szCs w:val="20"/>
              </w:rPr>
            </w:pPr>
            <w:r w:rsidRPr="00666BB5">
              <w:rPr>
                <w:rFonts w:ascii="Verdana" w:hAnsi="Verdana"/>
                <w:sz w:val="20"/>
                <w:szCs w:val="20"/>
              </w:rPr>
              <w:t>Following an analysis of the 2011 Census questionnaire, an ad-hoc request for statistical data was sent to Statistics Portugal (</w:t>
            </w:r>
            <w:r w:rsidRPr="00666BB5">
              <w:rPr>
                <w:rFonts w:ascii="Verdana" w:hAnsi="Verdana"/>
                <w:i/>
                <w:sz w:val="20"/>
                <w:szCs w:val="20"/>
              </w:rPr>
              <w:t>Instituto Nacional de Estatística</w:t>
            </w:r>
            <w:r w:rsidRPr="00666BB5">
              <w:rPr>
                <w:rFonts w:ascii="Verdana" w:hAnsi="Verdana"/>
                <w:sz w:val="20"/>
                <w:szCs w:val="20"/>
              </w:rPr>
              <w:t xml:space="preserve">, INE). The reply received indicates that it is not possible to get data corresponding exactly to the question. The proxy data that could be obtained would only be provided against payment of the cost incurred in making that calculation; on the other hand, the data would not be provided in due time, given the deadline for the submission of this ad-hoc report. </w:t>
            </w:r>
          </w:p>
          <w:p w14:paraId="7B659663" w14:textId="77777777" w:rsidR="00730918" w:rsidRPr="00666BB5" w:rsidRDefault="00730918" w:rsidP="00730918">
            <w:pPr>
              <w:spacing w:before="240"/>
              <w:contextualSpacing/>
              <w:rPr>
                <w:rFonts w:ascii="Verdana" w:hAnsi="Verdana"/>
                <w:sz w:val="20"/>
                <w:szCs w:val="20"/>
              </w:rPr>
            </w:pPr>
            <w:r w:rsidRPr="00666BB5">
              <w:rPr>
                <w:rFonts w:ascii="Verdana" w:hAnsi="Verdana"/>
                <w:sz w:val="20"/>
                <w:szCs w:val="20"/>
              </w:rPr>
              <w:t>An ad-hoc request for information was also sent to the INR</w:t>
            </w:r>
            <w:r>
              <w:rPr>
                <w:rFonts w:ascii="Verdana" w:hAnsi="Verdana"/>
                <w:sz w:val="20"/>
                <w:szCs w:val="20"/>
              </w:rPr>
              <w:t xml:space="preserve">, which </w:t>
            </w:r>
            <w:r w:rsidRPr="00666BB5">
              <w:rPr>
                <w:rFonts w:ascii="Verdana" w:hAnsi="Verdana"/>
                <w:sz w:val="20"/>
                <w:szCs w:val="20"/>
              </w:rPr>
              <w:t xml:space="preserve">replied in writing that there </w:t>
            </w:r>
            <w:r>
              <w:rPr>
                <w:rFonts w:ascii="Verdana" w:hAnsi="Verdana"/>
                <w:sz w:val="20"/>
                <w:szCs w:val="20"/>
              </w:rPr>
              <w:t>wa</w:t>
            </w:r>
            <w:r w:rsidRPr="00666BB5">
              <w:rPr>
                <w:rFonts w:ascii="Verdana" w:hAnsi="Verdana"/>
                <w:sz w:val="20"/>
                <w:szCs w:val="20"/>
              </w:rPr>
              <w:t>s no data available on this topic.</w:t>
            </w:r>
          </w:p>
          <w:p w14:paraId="03475D2A" w14:textId="77777777" w:rsidR="00730918" w:rsidRPr="00666BB5" w:rsidRDefault="00730918" w:rsidP="00730918">
            <w:pPr>
              <w:spacing w:before="240"/>
              <w:contextualSpacing/>
              <w:rPr>
                <w:rFonts w:ascii="Verdana" w:hAnsi="Verdana"/>
                <w:sz w:val="20"/>
                <w:szCs w:val="20"/>
              </w:rPr>
            </w:pPr>
            <w:r w:rsidRPr="00666BB5">
              <w:rPr>
                <w:rFonts w:ascii="Verdana" w:hAnsi="Verdana"/>
                <w:sz w:val="20"/>
                <w:szCs w:val="20"/>
              </w:rPr>
              <w:t>The Portuguese Association for Consumer Protection</w:t>
            </w:r>
            <w:r>
              <w:rPr>
                <w:rFonts w:ascii="Verdana" w:hAnsi="Verdana"/>
                <w:sz w:val="20"/>
                <w:szCs w:val="20"/>
              </w:rPr>
              <w:t xml:space="preserve">, </w:t>
            </w:r>
            <w:r w:rsidRPr="00666BB5">
              <w:rPr>
                <w:rFonts w:ascii="Verdana" w:hAnsi="Verdana"/>
                <w:sz w:val="20"/>
                <w:szCs w:val="20"/>
              </w:rPr>
              <w:t xml:space="preserve"> (</w:t>
            </w:r>
            <w:r w:rsidRPr="00666BB5">
              <w:rPr>
                <w:rFonts w:ascii="Verdana" w:hAnsi="Verdana"/>
                <w:i/>
                <w:sz w:val="20"/>
                <w:szCs w:val="20"/>
              </w:rPr>
              <w:t>Associação Portuguesa para a Defesa do Consumidor</w:t>
            </w:r>
            <w:r w:rsidRPr="00666BB5">
              <w:rPr>
                <w:rFonts w:ascii="Verdana" w:hAnsi="Verdana"/>
                <w:sz w:val="20"/>
                <w:szCs w:val="20"/>
              </w:rPr>
              <w:t>, DECO) conducted a study on the accessibility of public authority buildings to persons with disabilities.</w:t>
            </w:r>
            <w:r w:rsidRPr="00666BB5">
              <w:rPr>
                <w:rStyle w:val="FootnoteReference"/>
                <w:rFonts w:ascii="Verdana" w:hAnsi="Verdana"/>
                <w:sz w:val="20"/>
                <w:szCs w:val="20"/>
              </w:rPr>
              <w:footnoteReference w:id="51"/>
            </w:r>
            <w:r w:rsidRPr="00666BB5">
              <w:rPr>
                <w:rFonts w:ascii="Verdana" w:hAnsi="Verdana"/>
                <w:sz w:val="20"/>
                <w:szCs w:val="20"/>
              </w:rPr>
              <w:t xml:space="preserve"> The criteria used to determine whether public authority buildings are accessible for persons with disabilities: </w:t>
            </w:r>
          </w:p>
          <w:p w14:paraId="63CDB7D9" w14:textId="77777777" w:rsidR="00730918" w:rsidRPr="00666BB5" w:rsidRDefault="00730918" w:rsidP="00730918">
            <w:pPr>
              <w:numPr>
                <w:ilvl w:val="0"/>
                <w:numId w:val="3"/>
              </w:numPr>
              <w:spacing w:before="240"/>
              <w:contextualSpacing/>
              <w:rPr>
                <w:rFonts w:ascii="Verdana" w:hAnsi="Verdana"/>
                <w:sz w:val="20"/>
                <w:szCs w:val="20"/>
              </w:rPr>
            </w:pPr>
            <w:r w:rsidRPr="00666BB5">
              <w:rPr>
                <w:rFonts w:ascii="Verdana" w:hAnsi="Verdana"/>
                <w:sz w:val="20"/>
                <w:szCs w:val="20"/>
              </w:rPr>
              <w:t>outside the building: reserved parking places, dimensions, marks, inclination of the ground, and accessibility to the entrance;</w:t>
            </w:r>
          </w:p>
          <w:p w14:paraId="23D37334" w14:textId="77777777" w:rsidR="00730918" w:rsidRDefault="00730918" w:rsidP="00730918">
            <w:pPr>
              <w:numPr>
                <w:ilvl w:val="0"/>
                <w:numId w:val="3"/>
              </w:numPr>
              <w:spacing w:before="240"/>
              <w:contextualSpacing/>
              <w:rPr>
                <w:rFonts w:ascii="Verdana" w:hAnsi="Verdana"/>
                <w:sz w:val="20"/>
                <w:szCs w:val="20"/>
              </w:rPr>
            </w:pPr>
            <w:r w:rsidRPr="00666BB5">
              <w:rPr>
                <w:rFonts w:ascii="Verdana" w:hAnsi="Verdana"/>
                <w:sz w:val="20"/>
                <w:szCs w:val="20"/>
              </w:rPr>
              <w:t xml:space="preserve">inside the building: stairs, ramps, lifts, corridors, obstacles, steps, waiting areas, width of doors, and tactile and acoustic information.   </w:t>
            </w:r>
          </w:p>
          <w:p w14:paraId="4AA78F25" w14:textId="01F75D93" w:rsidR="00D37B92" w:rsidRPr="00730918" w:rsidRDefault="00730918" w:rsidP="00730918">
            <w:pPr>
              <w:numPr>
                <w:ilvl w:val="0"/>
                <w:numId w:val="3"/>
              </w:numPr>
              <w:spacing w:before="240"/>
              <w:contextualSpacing/>
              <w:rPr>
                <w:rFonts w:ascii="Verdana" w:hAnsi="Verdana"/>
                <w:sz w:val="20"/>
                <w:szCs w:val="20"/>
              </w:rPr>
            </w:pPr>
            <w:r w:rsidRPr="00730918">
              <w:rPr>
                <w:rFonts w:ascii="Verdana" w:hAnsi="Verdana"/>
                <w:sz w:val="20"/>
                <w:szCs w:val="20"/>
              </w:rPr>
              <w:t>The evaluation of 33 public buildings in five cities - Braga, Coimbra, Lisboa, Porto and Setúbal - was made between September and October 2010. The study concluded that none of these buildings is fully accessible to persons with disabilities. Major physical barriers were found in 23 of these public authority buildings.</w:t>
            </w:r>
          </w:p>
        </w:tc>
      </w:tr>
      <w:tr w:rsidR="00D37B92" w:rsidRPr="003B1872" w14:paraId="5609A12D" w14:textId="192B65D8" w:rsidTr="00ED2BB6">
        <w:trPr>
          <w:trHeight w:val="510"/>
        </w:trPr>
        <w:tc>
          <w:tcPr>
            <w:tcW w:w="501" w:type="pct"/>
            <w:vAlign w:val="center"/>
          </w:tcPr>
          <w:p w14:paraId="6C024C66"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5F5C7989" w14:textId="77777777" w:rsidR="00730918" w:rsidRDefault="00730918" w:rsidP="00730918">
            <w:pPr>
              <w:pStyle w:val="CommentText"/>
              <w:rPr>
                <w:rFonts w:ascii="Verdana" w:eastAsia="Calibri" w:hAnsi="Verdana" w:cs="Times New Roman"/>
                <w:lang w:val="en-GB"/>
              </w:rPr>
            </w:pPr>
            <w:r w:rsidRPr="001D6B38">
              <w:rPr>
                <w:rFonts w:ascii="Verdana" w:eastAsia="Calibri" w:hAnsi="Verdana" w:cs="Times New Roman"/>
                <w:lang w:val="en-GB"/>
              </w:rPr>
              <w:t>The National Agency for Payments and</w:t>
            </w:r>
            <w:r>
              <w:rPr>
                <w:rFonts w:ascii="Verdana" w:eastAsia="Calibri" w:hAnsi="Verdana" w:cs="Times New Roman"/>
                <w:lang w:val="en-GB"/>
              </w:rPr>
              <w:t xml:space="preserve"> Social Inspection </w:t>
            </w:r>
            <w:r w:rsidRPr="001D6B38">
              <w:rPr>
                <w:rFonts w:ascii="Verdana" w:eastAsia="Calibri" w:hAnsi="Verdana" w:cs="Times New Roman"/>
                <w:lang w:val="en-GB"/>
              </w:rPr>
              <w:t>(</w:t>
            </w:r>
            <w:r w:rsidRPr="001D6B38">
              <w:rPr>
                <w:rFonts w:ascii="Verdana" w:eastAsia="Calibri" w:hAnsi="Verdana" w:cs="Times New Roman"/>
                <w:i/>
                <w:lang w:val="en-GB"/>
              </w:rPr>
              <w:t>Agenţia Naţională pentru Plăţi şi Inspecţie Socială, ANPIS</w:t>
            </w:r>
            <w:r w:rsidRPr="001D6B38">
              <w:rPr>
                <w:rFonts w:ascii="Verdana" w:eastAsia="Calibri" w:hAnsi="Verdana" w:cs="Times New Roman"/>
                <w:lang w:val="en-GB"/>
              </w:rPr>
              <w:t>)</w:t>
            </w:r>
            <w:r w:rsidRPr="001D6B38">
              <w:rPr>
                <w:rStyle w:val="FootnoteReference"/>
                <w:rFonts w:ascii="Verdana" w:eastAsia="Calibri" w:hAnsi="Verdana" w:cs="Times New Roman"/>
                <w:lang w:val="en-GB"/>
              </w:rPr>
              <w:footnoteReference w:id="52"/>
            </w:r>
            <w:r>
              <w:rPr>
                <w:rFonts w:ascii="Verdana" w:eastAsia="Calibri" w:hAnsi="Verdana" w:cs="Times New Roman"/>
                <w:lang w:val="en-GB"/>
              </w:rPr>
              <w:t xml:space="preserve"> </w:t>
            </w:r>
            <w:r w:rsidRPr="001D6B38">
              <w:rPr>
                <w:rFonts w:ascii="Verdana" w:eastAsia="Calibri" w:hAnsi="Verdana" w:cs="Times New Roman"/>
                <w:lang w:val="en-GB"/>
              </w:rPr>
              <w:t xml:space="preserve">provided data on the level of accessibility according to legal standards for certain elements </w:t>
            </w:r>
            <w:r>
              <w:rPr>
                <w:rFonts w:ascii="Verdana" w:eastAsia="Calibri" w:hAnsi="Verdana" w:cs="Times New Roman"/>
                <w:lang w:val="en-GB"/>
              </w:rPr>
              <w:t xml:space="preserve">of the built environment </w:t>
            </w:r>
            <w:r w:rsidRPr="001D6B38">
              <w:rPr>
                <w:rFonts w:ascii="Verdana" w:eastAsia="Calibri" w:hAnsi="Verdana" w:cs="Times New Roman"/>
                <w:lang w:val="en-GB"/>
              </w:rPr>
              <w:t>(ramp, wall rail, entrance door, lifts) in a number of institutions.</w:t>
            </w:r>
          </w:p>
          <w:p w14:paraId="79AF5B40" w14:textId="77777777" w:rsidR="00730918" w:rsidRDefault="00730918" w:rsidP="00730918">
            <w:pPr>
              <w:pStyle w:val="CommentText"/>
              <w:rPr>
                <w:rFonts w:ascii="Verdana" w:eastAsia="Calibri" w:hAnsi="Verdana" w:cs="Times New Roman"/>
                <w:lang w:val="en-GB"/>
              </w:rPr>
            </w:pPr>
            <w:r w:rsidRPr="001D6B38">
              <w:rPr>
                <w:rFonts w:ascii="Verdana" w:eastAsia="Calibri" w:hAnsi="Verdana" w:cs="Times New Roman"/>
                <w:lang w:val="en-GB"/>
              </w:rPr>
              <w:t xml:space="preserve">In 2012, of 832 town halls verified, 431 had </w:t>
            </w:r>
            <w:r>
              <w:rPr>
                <w:rFonts w:ascii="Verdana" w:eastAsia="Calibri" w:hAnsi="Verdana" w:cs="Times New Roman"/>
                <w:lang w:val="en-GB"/>
              </w:rPr>
              <w:t xml:space="preserve">an </w:t>
            </w:r>
            <w:r w:rsidRPr="001D6B38">
              <w:rPr>
                <w:rFonts w:ascii="Verdana" w:eastAsia="Calibri" w:hAnsi="Verdana" w:cs="Times New Roman"/>
                <w:lang w:val="en-GB"/>
              </w:rPr>
              <w:t>access ramp or did not need one (the entrance was already at ground level), 387 had wall rail or did not need one, 683 had an adequate entrance door, and one had a lift.</w:t>
            </w:r>
          </w:p>
          <w:p w14:paraId="30EEDC6C" w14:textId="574CA853" w:rsidR="00D37B92" w:rsidRDefault="00730918" w:rsidP="00730918">
            <w:pPr>
              <w:rPr>
                <w:rFonts w:ascii="Verdana" w:eastAsia="Calibri" w:hAnsi="Verdana" w:cs="Times New Roman"/>
                <w:lang w:val="en-IE" w:eastAsia="en-US" w:bidi="en-US"/>
              </w:rPr>
            </w:pPr>
            <w:r w:rsidRPr="00730918">
              <w:rPr>
                <w:rFonts w:ascii="Verdana" w:eastAsia="Calibri" w:hAnsi="Verdana" w:cs="Times New Roman"/>
                <w:sz w:val="20"/>
                <w:lang w:val="en-GB"/>
              </w:rPr>
              <w:t xml:space="preserve">Of the 9 tribunals (one type of courts of law - </w:t>
            </w:r>
            <w:r w:rsidRPr="00730918">
              <w:rPr>
                <w:rFonts w:ascii="Verdana" w:hAnsi="Verdana" w:cs="Times New Roman"/>
                <w:sz w:val="20"/>
              </w:rPr>
              <w:t>There are three types, depending on competence and area covered: county courts (judecatorii), tribunals (tribunale) and courts of appeal (Curti de apel)</w:t>
            </w:r>
            <w:r w:rsidRPr="00730918">
              <w:rPr>
                <w:rFonts w:ascii="Verdana" w:eastAsia="Calibri" w:hAnsi="Verdana" w:cs="Times New Roman"/>
                <w:sz w:val="20"/>
                <w:lang w:val="en-GB"/>
              </w:rPr>
              <w:t>) verified, 8 had a ramp, 8 had a wall rail, 7 an adequate entrance door, none had a lift. Taken together, police sections, postal offices and local labour agencies, of 229 entities, 142 had a ramp or did not need one, 120 a wall rail or did not need one, 214 an adequate door, and none had a lift. Of 8 hospitals checked, 5 had a ramp or did not need one, 5 a wall rail or did not need one, 7 had an adequate entrance door, none had a lift. Of 25 financial administration units, 12 had a ramp or did not need one, 12 had a wall rail or did not need one, 20 had an adequate entrance door, none had a lift or did not need one. Of 808 teaching units checked (kindergartens, schools, high-schools, universities), 405 had a ramp or did not need one, 388 had a wall rail or did not need one, 705 had an adequate entrance door, and 2 had a lift.</w:t>
            </w:r>
            <w:r w:rsidRPr="00730918">
              <w:rPr>
                <w:rStyle w:val="FootnoteReference"/>
                <w:rFonts w:ascii="Verdana" w:eastAsia="Calibri" w:hAnsi="Verdana" w:cs="Times New Roman"/>
                <w:sz w:val="20"/>
                <w:lang w:val="en-GB"/>
              </w:rPr>
              <w:t xml:space="preserve"> </w:t>
            </w:r>
            <w:r w:rsidRPr="00730918">
              <w:rPr>
                <w:rStyle w:val="FootnoteReference"/>
                <w:rFonts w:ascii="Verdana" w:eastAsia="Calibri" w:hAnsi="Verdana" w:cs="Times New Roman"/>
                <w:sz w:val="20"/>
                <w:lang w:val="en-GB"/>
              </w:rPr>
              <w:footnoteReference w:id="53"/>
            </w:r>
          </w:p>
        </w:tc>
      </w:tr>
      <w:tr w:rsidR="00D37B92" w:rsidRPr="003B1872" w14:paraId="426614FF" w14:textId="568AE39D" w:rsidTr="00ED2BB6">
        <w:trPr>
          <w:trHeight w:val="510"/>
        </w:trPr>
        <w:tc>
          <w:tcPr>
            <w:tcW w:w="501" w:type="pct"/>
            <w:vAlign w:val="center"/>
          </w:tcPr>
          <w:p w14:paraId="4A7930FC"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4483308A" w14:textId="77777777" w:rsidR="00730918" w:rsidRDefault="00730918" w:rsidP="00730918">
            <w:pPr>
              <w:pStyle w:val="Heading4"/>
              <w:shd w:val="clear" w:color="auto" w:fill="FFFFFF"/>
              <w:spacing w:before="240" w:line="300" w:lineRule="atLeast"/>
              <w:outlineLvl w:val="3"/>
              <w:rPr>
                <w:rFonts w:ascii="Verdana" w:hAnsi="Verdana" w:cstheme="minorHAnsi"/>
                <w:b w:val="0"/>
                <w:i w:val="0"/>
                <w:color w:val="auto"/>
                <w:sz w:val="20"/>
                <w:szCs w:val="20"/>
                <w:lang w:val="en-GB"/>
              </w:rPr>
            </w:pPr>
            <w:r w:rsidRPr="00FD2DAD">
              <w:rPr>
                <w:rFonts w:ascii="Verdana" w:hAnsi="Verdana" w:cstheme="minorHAnsi"/>
                <w:b w:val="0"/>
                <w:i w:val="0"/>
                <w:color w:val="000000"/>
                <w:sz w:val="20"/>
                <w:szCs w:val="20"/>
                <w:lang w:val="en-GB"/>
              </w:rPr>
              <w:t xml:space="preserve">The </w:t>
            </w:r>
            <w:r w:rsidRPr="00FD2DAD">
              <w:rPr>
                <w:rFonts w:ascii="Verdana" w:hAnsi="Verdana" w:cstheme="minorHAnsi"/>
                <w:b w:val="0"/>
                <w:i w:val="0"/>
                <w:color w:val="auto"/>
                <w:sz w:val="20"/>
                <w:szCs w:val="20"/>
                <w:lang w:val="en-GB"/>
              </w:rPr>
              <w:t>Swedish Agency for Disability Policy Co-ordination (</w:t>
            </w:r>
            <w:r w:rsidRPr="00FD2DAD">
              <w:rPr>
                <w:rFonts w:ascii="Verdana" w:hAnsi="Verdana" w:cstheme="minorHAnsi"/>
                <w:b w:val="0"/>
                <w:color w:val="auto"/>
                <w:sz w:val="20"/>
                <w:szCs w:val="20"/>
                <w:lang w:val="en-GB"/>
              </w:rPr>
              <w:t>Handisam</w:t>
            </w:r>
            <w:r>
              <w:rPr>
                <w:rFonts w:ascii="Verdana" w:hAnsi="Verdana" w:cstheme="minorHAnsi"/>
                <w:b w:val="0"/>
                <w:i w:val="0"/>
                <w:color w:val="auto"/>
                <w:sz w:val="20"/>
                <w:szCs w:val="20"/>
                <w:lang w:val="en-GB"/>
              </w:rPr>
              <w:t>)</w:t>
            </w:r>
            <w:r w:rsidRPr="00FD2DAD">
              <w:rPr>
                <w:rFonts w:ascii="Verdana" w:hAnsi="Verdana" w:cstheme="minorHAnsi"/>
                <w:b w:val="0"/>
                <w:i w:val="0"/>
                <w:color w:val="auto"/>
                <w:sz w:val="20"/>
                <w:szCs w:val="20"/>
                <w:lang w:val="en-GB"/>
              </w:rPr>
              <w:t xml:space="preserve"> published a study about the participation in political life in Sweden for persons with disability in municipalities and county councils (</w:t>
            </w:r>
            <w:r w:rsidRPr="00FD2DAD">
              <w:rPr>
                <w:rFonts w:ascii="Verdana" w:hAnsi="Verdana" w:cstheme="minorHAnsi"/>
                <w:b w:val="0"/>
                <w:color w:val="auto"/>
                <w:sz w:val="20"/>
                <w:szCs w:val="20"/>
                <w:lang w:val="en-GB"/>
              </w:rPr>
              <w:t>Kommunfullmäktige</w:t>
            </w:r>
            <w:r w:rsidRPr="00FD2DAD">
              <w:rPr>
                <w:rFonts w:ascii="Verdana" w:hAnsi="Verdana" w:cstheme="minorHAnsi"/>
                <w:b w:val="0"/>
                <w:i w:val="0"/>
                <w:color w:val="auto"/>
                <w:sz w:val="20"/>
                <w:szCs w:val="20"/>
                <w:lang w:val="en-GB"/>
              </w:rPr>
              <w:t>).</w:t>
            </w:r>
            <w:r w:rsidRPr="00FD2DAD">
              <w:rPr>
                <w:rStyle w:val="FootnoteReference"/>
                <w:rFonts w:ascii="Verdana" w:hAnsi="Verdana" w:cstheme="minorHAnsi"/>
                <w:b w:val="0"/>
                <w:i w:val="0"/>
                <w:color w:val="auto"/>
                <w:sz w:val="20"/>
                <w:szCs w:val="20"/>
                <w:lang w:val="en-GB"/>
              </w:rPr>
              <w:footnoteReference w:id="54"/>
            </w:r>
            <w:r>
              <w:rPr>
                <w:rFonts w:ascii="Verdana" w:hAnsi="Verdana" w:cstheme="minorHAnsi"/>
                <w:b w:val="0"/>
                <w:i w:val="0"/>
                <w:color w:val="auto"/>
                <w:sz w:val="20"/>
                <w:szCs w:val="20"/>
                <w:lang w:val="en-GB"/>
              </w:rPr>
              <w:t xml:space="preserve"> </w:t>
            </w:r>
          </w:p>
          <w:p w14:paraId="77E9F9EB" w14:textId="77777777" w:rsidR="00730918" w:rsidRPr="00FD2DAD" w:rsidRDefault="00730918" w:rsidP="00730918">
            <w:pPr>
              <w:rPr>
                <w:rFonts w:ascii="Verdana" w:hAnsi="Verdana" w:cstheme="minorHAnsi"/>
                <w:sz w:val="20"/>
                <w:szCs w:val="20"/>
                <w:lang w:val="en-GB"/>
              </w:rPr>
            </w:pPr>
            <w:r w:rsidRPr="00FD2DAD">
              <w:rPr>
                <w:rFonts w:ascii="Verdana" w:hAnsi="Verdana" w:cstheme="minorHAnsi"/>
                <w:sz w:val="20"/>
                <w:szCs w:val="20"/>
              </w:rPr>
              <w:t>The response rate was 77 percent for municipalities (222 out of 290 municipalities) and 71 percent of county councils (15 out of 21 counties).</w:t>
            </w:r>
            <w:r>
              <w:rPr>
                <w:rFonts w:ascii="Verdana" w:hAnsi="Verdana" w:cstheme="minorHAnsi"/>
                <w:sz w:val="20"/>
                <w:szCs w:val="20"/>
              </w:rPr>
              <w:t xml:space="preserve"> According to the study, </w:t>
            </w:r>
            <w:r w:rsidRPr="00FD2DAD">
              <w:rPr>
                <w:rFonts w:ascii="Verdana" w:hAnsi="Verdana" w:cstheme="minorHAnsi"/>
                <w:color w:val="000000"/>
                <w:sz w:val="20"/>
                <w:szCs w:val="20"/>
                <w:lang w:val="en-GB"/>
              </w:rPr>
              <w:t xml:space="preserve">64 percent of local governments have inventoried all premises used for committee meetings from an accessibility perspective. </w:t>
            </w:r>
          </w:p>
          <w:p w14:paraId="662599C4" w14:textId="77777777" w:rsidR="00730918" w:rsidRPr="00FD2DAD" w:rsidRDefault="00730918" w:rsidP="00730918">
            <w:pPr>
              <w:rPr>
                <w:rFonts w:ascii="Verdana" w:hAnsi="Verdana" w:cstheme="minorHAnsi"/>
                <w:color w:val="000000"/>
                <w:sz w:val="20"/>
                <w:szCs w:val="20"/>
                <w:lang w:val="en-GB"/>
              </w:rPr>
            </w:pPr>
            <w:r>
              <w:rPr>
                <w:rFonts w:ascii="Verdana" w:hAnsi="Verdana" w:cstheme="minorHAnsi"/>
                <w:color w:val="000000"/>
                <w:sz w:val="20"/>
                <w:szCs w:val="20"/>
                <w:lang w:val="en-GB"/>
              </w:rPr>
              <w:t xml:space="preserve">Three out of ten municipalities </w:t>
            </w:r>
            <w:r w:rsidRPr="00FD2DAD">
              <w:rPr>
                <w:rFonts w:ascii="Verdana" w:hAnsi="Verdana" w:cstheme="minorHAnsi"/>
                <w:color w:val="000000"/>
                <w:sz w:val="20"/>
                <w:szCs w:val="20"/>
                <w:lang w:val="en-GB"/>
              </w:rPr>
              <w:t xml:space="preserve">and four out of 10 County Councils </w:t>
            </w:r>
            <w:r>
              <w:rPr>
                <w:rFonts w:ascii="Verdana" w:hAnsi="Verdana" w:cstheme="minorHAnsi"/>
                <w:color w:val="000000"/>
                <w:sz w:val="20"/>
                <w:szCs w:val="20"/>
                <w:lang w:val="en-GB"/>
              </w:rPr>
              <w:t>(</w:t>
            </w:r>
            <w:r w:rsidRPr="00FD2DAD">
              <w:rPr>
                <w:rFonts w:ascii="Verdana" w:hAnsi="Verdana" w:cstheme="minorHAnsi"/>
                <w:i/>
                <w:color w:val="000000"/>
                <w:sz w:val="20"/>
                <w:szCs w:val="20"/>
                <w:lang w:val="en-GB"/>
              </w:rPr>
              <w:t>landsting</w:t>
            </w:r>
            <w:r>
              <w:rPr>
                <w:rFonts w:ascii="Verdana" w:hAnsi="Verdana" w:cstheme="minorHAnsi"/>
                <w:color w:val="000000"/>
                <w:sz w:val="20"/>
                <w:szCs w:val="20"/>
                <w:lang w:val="en-GB"/>
              </w:rPr>
              <w:t>) -</w:t>
            </w:r>
            <w:r w:rsidRPr="00FD2DAD">
              <w:rPr>
                <w:rFonts w:ascii="Verdana" w:hAnsi="Verdana" w:cstheme="minorHAnsi"/>
                <w:color w:val="000000"/>
                <w:sz w:val="20"/>
                <w:szCs w:val="20"/>
                <w:lang w:val="en-GB"/>
              </w:rPr>
              <w:t xml:space="preserve"> elected assemblies in the counties concerned with issues </w:t>
            </w:r>
            <w:r>
              <w:rPr>
                <w:rFonts w:ascii="Verdana" w:hAnsi="Verdana" w:cstheme="minorHAnsi"/>
                <w:color w:val="000000"/>
                <w:sz w:val="20"/>
                <w:szCs w:val="20"/>
                <w:lang w:val="en-GB"/>
              </w:rPr>
              <w:t>like</w:t>
            </w:r>
            <w:r w:rsidRPr="00FD2DAD">
              <w:rPr>
                <w:rFonts w:ascii="Verdana" w:hAnsi="Verdana" w:cstheme="minorHAnsi"/>
                <w:color w:val="000000"/>
                <w:sz w:val="20"/>
                <w:szCs w:val="20"/>
                <w:lang w:val="en-GB"/>
              </w:rPr>
              <w:t xml:space="preserve"> primarily health care and public transport </w:t>
            </w:r>
            <w:r>
              <w:rPr>
                <w:rFonts w:ascii="Verdana" w:hAnsi="Verdana" w:cstheme="minorHAnsi"/>
                <w:color w:val="000000"/>
                <w:sz w:val="20"/>
                <w:szCs w:val="20"/>
                <w:lang w:val="en-GB"/>
              </w:rPr>
              <w:t xml:space="preserve">- </w:t>
            </w:r>
            <w:r w:rsidRPr="00FD2DAD">
              <w:rPr>
                <w:rFonts w:ascii="Verdana" w:hAnsi="Verdana" w:cstheme="minorHAnsi"/>
                <w:color w:val="000000"/>
                <w:sz w:val="20"/>
                <w:szCs w:val="20"/>
                <w:lang w:val="en-GB"/>
              </w:rPr>
              <w:t xml:space="preserve">have </w:t>
            </w:r>
            <w:r>
              <w:rPr>
                <w:rFonts w:ascii="Verdana" w:hAnsi="Verdana" w:cstheme="minorHAnsi"/>
                <w:color w:val="000000"/>
                <w:sz w:val="20"/>
                <w:szCs w:val="20"/>
                <w:lang w:val="en-GB"/>
              </w:rPr>
              <w:t>contrast</w:t>
            </w:r>
            <w:r w:rsidRPr="00FD2DAD">
              <w:rPr>
                <w:rFonts w:ascii="Verdana" w:hAnsi="Verdana" w:cstheme="minorHAnsi"/>
                <w:color w:val="000000"/>
                <w:sz w:val="20"/>
                <w:szCs w:val="20"/>
                <w:lang w:val="en-GB"/>
              </w:rPr>
              <w:t xml:space="preserve"> marked stairs and</w:t>
            </w:r>
            <w:r>
              <w:rPr>
                <w:rFonts w:ascii="Verdana" w:hAnsi="Verdana" w:cstheme="minorHAnsi"/>
                <w:color w:val="000000"/>
                <w:sz w:val="20"/>
                <w:szCs w:val="20"/>
                <w:lang w:val="en-GB"/>
              </w:rPr>
              <w:t xml:space="preserve"> doors.</w:t>
            </w:r>
            <w:r w:rsidRPr="00FD2DAD">
              <w:rPr>
                <w:rFonts w:ascii="Verdana" w:hAnsi="Verdana" w:cstheme="minorHAnsi"/>
                <w:color w:val="000000"/>
                <w:sz w:val="20"/>
                <w:szCs w:val="20"/>
                <w:lang w:val="en-GB"/>
              </w:rPr>
              <w:t xml:space="preserve"> Nine out of ten municipalities have flat floors without obstacles in the premises where meetings are held. Four out of 10 municipalities and six out of 10 County Councils had well-lit signs with brightness contrast</w:t>
            </w:r>
            <w:r>
              <w:rPr>
                <w:rFonts w:ascii="Verdana" w:hAnsi="Verdana" w:cstheme="minorHAnsi"/>
                <w:color w:val="000000"/>
                <w:sz w:val="20"/>
                <w:szCs w:val="20"/>
                <w:lang w:val="en-GB"/>
              </w:rPr>
              <w:t>,</w:t>
            </w:r>
            <w:r w:rsidRPr="00FD2DAD">
              <w:rPr>
                <w:rFonts w:ascii="Verdana" w:hAnsi="Verdana" w:cstheme="minorHAnsi"/>
                <w:color w:val="000000"/>
                <w:sz w:val="20"/>
                <w:szCs w:val="20"/>
                <w:lang w:val="en-GB"/>
              </w:rPr>
              <w:t xml:space="preserve"> and letters or symbols in raised relief or Braille on the premises</w:t>
            </w:r>
            <w:r>
              <w:rPr>
                <w:rFonts w:ascii="Verdana" w:hAnsi="Verdana" w:cstheme="minorHAnsi"/>
                <w:color w:val="000000"/>
                <w:sz w:val="20"/>
                <w:szCs w:val="20"/>
                <w:lang w:val="en-GB"/>
              </w:rPr>
              <w:t>.</w:t>
            </w:r>
            <w:r w:rsidRPr="00FD2DAD">
              <w:rPr>
                <w:rFonts w:ascii="Verdana" w:hAnsi="Verdana" w:cstheme="minorHAnsi"/>
                <w:color w:val="000000"/>
                <w:sz w:val="20"/>
                <w:szCs w:val="20"/>
                <w:lang w:val="en-GB"/>
              </w:rPr>
              <w:t xml:space="preserve"> In 36 percent of the municipalities</w:t>
            </w:r>
            <w:r>
              <w:rPr>
                <w:rFonts w:ascii="Verdana" w:hAnsi="Verdana" w:cstheme="minorHAnsi"/>
                <w:color w:val="000000"/>
                <w:sz w:val="20"/>
                <w:szCs w:val="20"/>
                <w:lang w:val="en-GB"/>
              </w:rPr>
              <w:t xml:space="preserve"> </w:t>
            </w:r>
            <w:r w:rsidRPr="00FD2DAD">
              <w:rPr>
                <w:rFonts w:ascii="Verdana" w:hAnsi="Verdana" w:cstheme="minorHAnsi"/>
                <w:color w:val="000000"/>
                <w:sz w:val="20"/>
                <w:szCs w:val="20"/>
                <w:lang w:val="en-GB"/>
              </w:rPr>
              <w:t>and 47 percent of the County Councils, elected officials who use wheelchairs could not reach the seats in the boardroom.</w:t>
            </w:r>
            <w:r w:rsidRPr="00FD2DAD">
              <w:rPr>
                <w:rStyle w:val="FootnoteReference"/>
                <w:rFonts w:ascii="Verdana" w:hAnsi="Verdana" w:cstheme="minorHAnsi"/>
                <w:sz w:val="20"/>
                <w:szCs w:val="20"/>
                <w:lang w:val="en-GB"/>
              </w:rPr>
              <w:t xml:space="preserve"> </w:t>
            </w:r>
            <w:r w:rsidRPr="00FD2DAD">
              <w:rPr>
                <w:rFonts w:ascii="Verdana" w:hAnsi="Verdana" w:cstheme="minorHAnsi"/>
                <w:color w:val="000000"/>
                <w:sz w:val="20"/>
                <w:szCs w:val="20"/>
                <w:lang w:val="en-GB"/>
              </w:rPr>
              <w:t xml:space="preserve">93 percent of the municipalities and County Councils have hearing equipment that covers all or part of the room where the council meets. People with cognitive disabilities can get help with getting to the premises and participate in meetings; escort was necessary for one of the premises </w:t>
            </w:r>
            <w:r>
              <w:rPr>
                <w:rFonts w:ascii="Verdana" w:hAnsi="Verdana" w:cstheme="minorHAnsi"/>
                <w:color w:val="000000"/>
                <w:sz w:val="20"/>
                <w:szCs w:val="20"/>
                <w:lang w:val="en-GB"/>
              </w:rPr>
              <w:t>(For more information, see annex.)</w:t>
            </w:r>
          </w:p>
          <w:p w14:paraId="4B88D589" w14:textId="77777777" w:rsidR="00730918" w:rsidRDefault="00730918" w:rsidP="00730918">
            <w:pPr>
              <w:spacing w:before="120" w:after="120"/>
              <w:rPr>
                <w:rFonts w:ascii="Verdana" w:eastAsia="Calibri" w:hAnsi="Verdana" w:cstheme="minorHAnsi"/>
                <w:sz w:val="20"/>
                <w:szCs w:val="20"/>
              </w:rPr>
            </w:pPr>
            <w:r w:rsidRPr="00FD2DAD">
              <w:rPr>
                <w:rFonts w:ascii="Verdana" w:eastAsia="Calibri" w:hAnsi="Verdana" w:cstheme="minorHAnsi"/>
                <w:sz w:val="20"/>
                <w:szCs w:val="20"/>
                <w:lang w:val="en-GB"/>
              </w:rPr>
              <w:t xml:space="preserve">The Swedish Agency for Disability Policy Coordination also </w:t>
            </w:r>
            <w:r>
              <w:rPr>
                <w:rFonts w:ascii="Verdana" w:eastAsia="Calibri" w:hAnsi="Verdana" w:cstheme="minorHAnsi"/>
                <w:sz w:val="20"/>
                <w:szCs w:val="20"/>
                <w:lang w:val="en-GB"/>
              </w:rPr>
              <w:t xml:space="preserve">follows </w:t>
            </w:r>
            <w:r w:rsidRPr="00FD2DAD">
              <w:rPr>
                <w:rFonts w:ascii="Verdana" w:eastAsia="Calibri" w:hAnsi="Verdana" w:cstheme="minorHAnsi"/>
                <w:sz w:val="20"/>
                <w:szCs w:val="20"/>
                <w:lang w:val="en-GB"/>
              </w:rPr>
              <w:t xml:space="preserve">the development of accessibility in governmental agencies. </w:t>
            </w:r>
            <w:r w:rsidRPr="00FD2DAD">
              <w:rPr>
                <w:rFonts w:ascii="Verdana" w:eastAsia="Calibri" w:hAnsi="Verdana" w:cstheme="minorHAnsi"/>
                <w:sz w:val="20"/>
                <w:szCs w:val="20"/>
              </w:rPr>
              <w:t>Twelve years ago, the government stated in an ordinance that governmental agencies have a responsibility to ensure that their premises, operations and information are accessibl</w:t>
            </w:r>
            <w:r>
              <w:rPr>
                <w:rFonts w:ascii="Verdana" w:eastAsia="Calibri" w:hAnsi="Verdana" w:cstheme="minorHAnsi"/>
                <w:sz w:val="20"/>
                <w:szCs w:val="20"/>
              </w:rPr>
              <w:t xml:space="preserve">e to persons with disabilities. </w:t>
            </w:r>
            <w:r w:rsidRPr="00FD2DAD">
              <w:rPr>
                <w:rFonts w:ascii="Verdana" w:eastAsia="Calibri" w:hAnsi="Verdana" w:cstheme="minorHAnsi"/>
                <w:sz w:val="20"/>
                <w:szCs w:val="20"/>
              </w:rPr>
              <w:t>Handisam is doing yearly follow ups of the development.</w:t>
            </w:r>
          </w:p>
          <w:p w14:paraId="5B74C0BC" w14:textId="77777777" w:rsidR="00730918" w:rsidRDefault="00730918" w:rsidP="00730918">
            <w:pPr>
              <w:spacing w:before="120" w:after="120"/>
              <w:rPr>
                <w:rFonts w:ascii="Verdana" w:eastAsia="Calibri" w:hAnsi="Verdana" w:cstheme="minorHAnsi"/>
                <w:sz w:val="20"/>
                <w:szCs w:val="20"/>
              </w:rPr>
            </w:pPr>
            <w:r w:rsidRPr="00FD2DAD">
              <w:rPr>
                <w:rFonts w:ascii="Verdana" w:eastAsia="Calibri" w:hAnsi="Verdana" w:cstheme="minorHAnsi"/>
                <w:sz w:val="20"/>
                <w:szCs w:val="20"/>
              </w:rPr>
              <w:t xml:space="preserve">Twelve out of 289 agencies fulfil the criteria for basic accessibility set </w:t>
            </w:r>
            <w:r>
              <w:rPr>
                <w:rFonts w:ascii="Verdana" w:eastAsia="Calibri" w:hAnsi="Verdana" w:cstheme="minorHAnsi"/>
                <w:sz w:val="20"/>
                <w:szCs w:val="20"/>
              </w:rPr>
              <w:t>out</w:t>
            </w:r>
            <w:r w:rsidRPr="00FD2DAD">
              <w:rPr>
                <w:rFonts w:ascii="Verdana" w:eastAsia="Calibri" w:hAnsi="Verdana" w:cstheme="minorHAnsi"/>
                <w:sz w:val="20"/>
                <w:szCs w:val="20"/>
              </w:rPr>
              <w:t xml:space="preserve"> by Handisam. 54 agencies have </w:t>
            </w:r>
            <w:r>
              <w:rPr>
                <w:rFonts w:ascii="Verdana" w:eastAsia="Calibri" w:hAnsi="Verdana" w:cstheme="minorHAnsi"/>
                <w:sz w:val="20"/>
                <w:szCs w:val="20"/>
              </w:rPr>
              <w:t>deteriorated compared to the previous year,</w:t>
            </w:r>
            <w:r w:rsidRPr="00FD2DAD">
              <w:rPr>
                <w:rFonts w:ascii="Verdana" w:eastAsia="Calibri" w:hAnsi="Verdana" w:cstheme="minorHAnsi"/>
                <w:sz w:val="20"/>
                <w:szCs w:val="20"/>
              </w:rPr>
              <w:t xml:space="preserve"> and 68 agencies do not meet even half of the criteria. </w:t>
            </w:r>
            <w:r>
              <w:rPr>
                <w:rFonts w:ascii="Verdana" w:eastAsia="Calibri" w:hAnsi="Verdana" w:cstheme="minorHAnsi"/>
                <w:sz w:val="20"/>
                <w:szCs w:val="20"/>
              </w:rPr>
              <w:t xml:space="preserve"> </w:t>
            </w:r>
            <w:r w:rsidRPr="00FD2DAD">
              <w:rPr>
                <w:rFonts w:ascii="Verdana" w:eastAsia="Calibri" w:hAnsi="Verdana" w:cstheme="minorHAnsi"/>
                <w:sz w:val="20"/>
                <w:szCs w:val="20"/>
              </w:rPr>
              <w:t xml:space="preserve">A growing number of agencies indicate that their websites meet international standards for accessibility. More agencies conducted training of its staff in accessibility and legislation. More agencies removed </w:t>
            </w:r>
            <w:r>
              <w:rPr>
                <w:rFonts w:ascii="Verdana" w:eastAsia="Calibri" w:hAnsi="Verdana" w:cstheme="minorHAnsi"/>
                <w:sz w:val="20"/>
                <w:szCs w:val="20"/>
              </w:rPr>
              <w:t>barriers</w:t>
            </w:r>
            <w:r w:rsidRPr="00FD2DAD">
              <w:rPr>
                <w:rFonts w:ascii="Verdana" w:eastAsia="Calibri" w:hAnsi="Verdana" w:cstheme="minorHAnsi"/>
                <w:sz w:val="20"/>
                <w:szCs w:val="20"/>
              </w:rPr>
              <w:t xml:space="preserve"> in their premises. This applies to both the public areas and staff areas. </w:t>
            </w:r>
            <w:r>
              <w:rPr>
                <w:rFonts w:ascii="Verdana" w:eastAsia="Calibri" w:hAnsi="Verdana" w:cstheme="minorHAnsi"/>
                <w:sz w:val="20"/>
                <w:szCs w:val="20"/>
              </w:rPr>
              <w:t>A</w:t>
            </w:r>
            <w:r w:rsidRPr="00FD2DAD">
              <w:rPr>
                <w:rFonts w:ascii="Verdana" w:eastAsia="Calibri" w:hAnsi="Verdana" w:cstheme="minorHAnsi"/>
                <w:sz w:val="20"/>
                <w:szCs w:val="20"/>
              </w:rPr>
              <w:t>gencies have especially focused on measures that improve accessibility for people with visual and cognitive disabilities</w:t>
            </w:r>
            <w:r w:rsidRPr="00FD2DAD">
              <w:rPr>
                <w:rStyle w:val="FootnoteReference"/>
                <w:rFonts w:ascii="Verdana" w:eastAsia="Calibri" w:hAnsi="Verdana" w:cstheme="minorHAnsi"/>
                <w:sz w:val="20"/>
                <w:szCs w:val="20"/>
              </w:rPr>
              <w:footnoteReference w:id="55"/>
            </w:r>
            <w:r w:rsidRPr="00FD2DAD">
              <w:rPr>
                <w:rFonts w:ascii="Verdana" w:eastAsia="Calibri" w:hAnsi="Verdana" w:cstheme="minorHAnsi"/>
                <w:sz w:val="20"/>
                <w:szCs w:val="20"/>
              </w:rPr>
              <w:t>.</w:t>
            </w:r>
          </w:p>
          <w:p w14:paraId="294AE9B5" w14:textId="2912CF94" w:rsidR="00D37B92" w:rsidRDefault="00730918" w:rsidP="00730918">
            <w:pPr>
              <w:rPr>
                <w:rFonts w:ascii="Verdana" w:eastAsia="Calibri" w:hAnsi="Verdana" w:cs="Times New Roman"/>
                <w:lang w:val="en-IE" w:eastAsia="en-US" w:bidi="en-US"/>
              </w:rPr>
            </w:pPr>
            <w:r w:rsidRPr="00D47F98">
              <w:rPr>
                <w:rFonts w:ascii="Verdana" w:hAnsi="Verdana"/>
                <w:sz w:val="20"/>
                <w:szCs w:val="20"/>
                <w:lang w:val="en-GB"/>
              </w:rPr>
              <w:t>According to the report published by the Swedish Agency for Disability Policy Co-ordination (</w:t>
            </w:r>
            <w:r w:rsidRPr="00D47F98">
              <w:rPr>
                <w:rFonts w:ascii="Verdana" w:hAnsi="Verdana"/>
                <w:i/>
                <w:iCs/>
                <w:sz w:val="20"/>
                <w:szCs w:val="20"/>
                <w:lang w:val="en-GB"/>
              </w:rPr>
              <w:t>Handisam</w:t>
            </w:r>
            <w:r w:rsidRPr="00D47F98">
              <w:rPr>
                <w:rFonts w:ascii="Verdana" w:hAnsi="Verdana"/>
                <w:sz w:val="20"/>
                <w:szCs w:val="20"/>
                <w:lang w:val="en-GB"/>
              </w:rPr>
              <w:t>) six out of 21 County Boards (</w:t>
            </w:r>
            <w:r w:rsidRPr="00D47F98">
              <w:rPr>
                <w:rFonts w:ascii="Verdana" w:hAnsi="Verdana"/>
                <w:i/>
                <w:iCs/>
                <w:sz w:val="20"/>
                <w:szCs w:val="20"/>
                <w:lang w:val="en-GB"/>
              </w:rPr>
              <w:t>Länsstyrelser</w:t>
            </w:r>
            <w:r w:rsidRPr="00D47F98">
              <w:rPr>
                <w:rFonts w:ascii="Verdana" w:hAnsi="Verdana"/>
                <w:sz w:val="20"/>
                <w:szCs w:val="20"/>
                <w:lang w:val="en-GB"/>
              </w:rPr>
              <w:t>) received complaints in the 2010 elections relating to election and voting places that do not meet the requirement of accessibility. In total, it was about 111 polling stations, 55 polling premises and 4 buses that did not meet accessibility requirements.</w:t>
            </w:r>
          </w:p>
        </w:tc>
      </w:tr>
      <w:tr w:rsidR="00D37B92" w:rsidRPr="003B1872" w14:paraId="3DD6C8BB" w14:textId="39F49F45" w:rsidTr="00ED2BB6">
        <w:trPr>
          <w:trHeight w:val="510"/>
        </w:trPr>
        <w:tc>
          <w:tcPr>
            <w:tcW w:w="501" w:type="pct"/>
            <w:vAlign w:val="center"/>
          </w:tcPr>
          <w:p w14:paraId="614060C3"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6DE38162" w14:textId="77777777" w:rsidR="002749A6" w:rsidRPr="00F325E0" w:rsidRDefault="002749A6" w:rsidP="002749A6">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The Statistical Office of the Republic of Slovenia (</w:t>
            </w:r>
            <w:r w:rsidRPr="00F325E0">
              <w:rPr>
                <w:rFonts w:ascii="Verdana" w:eastAsia="Calibri" w:hAnsi="Verdana" w:cs="Times New Roman"/>
                <w:i/>
                <w:sz w:val="20"/>
                <w:szCs w:val="20"/>
                <w:lang w:val="en-GB"/>
              </w:rPr>
              <w:t>Statistični urad Republike Slovenije</w:t>
            </w:r>
            <w:r w:rsidRPr="00F325E0">
              <w:rPr>
                <w:rFonts w:ascii="Verdana" w:eastAsia="Calibri" w:hAnsi="Verdana" w:cs="Times New Roman"/>
                <w:sz w:val="20"/>
                <w:szCs w:val="20"/>
                <w:lang w:val="en-GB"/>
              </w:rPr>
              <w:t>, SURS), the national statistical agency, does not collect these data.</w:t>
            </w:r>
            <w:r w:rsidRPr="00F325E0">
              <w:rPr>
                <w:rStyle w:val="FootnoteReference"/>
                <w:rFonts w:ascii="Verdana" w:eastAsia="Calibri" w:hAnsi="Verdana" w:cs="Times New Roman"/>
                <w:sz w:val="20"/>
                <w:szCs w:val="20"/>
                <w:lang w:val="en-GB"/>
              </w:rPr>
              <w:footnoteReference w:id="56"/>
            </w:r>
          </w:p>
          <w:p w14:paraId="4BE77294" w14:textId="77777777" w:rsidR="002749A6" w:rsidRPr="00F325E0" w:rsidRDefault="002749A6" w:rsidP="002749A6">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The ministry responsible for public administration, similarly, does not have these data.</w:t>
            </w:r>
            <w:r w:rsidRPr="00F325E0">
              <w:rPr>
                <w:rStyle w:val="FootnoteReference"/>
                <w:rFonts w:ascii="Verdana" w:eastAsia="Calibri" w:hAnsi="Verdana" w:cs="Times New Roman"/>
                <w:sz w:val="20"/>
                <w:szCs w:val="20"/>
                <w:lang w:val="en-GB"/>
              </w:rPr>
              <w:footnoteReference w:id="57"/>
            </w:r>
          </w:p>
          <w:p w14:paraId="092379DA" w14:textId="77777777" w:rsidR="002749A6" w:rsidRPr="00F325E0" w:rsidRDefault="002749A6" w:rsidP="002749A6">
            <w:pPr>
              <w:spacing w:before="240"/>
              <w:contextualSpacing/>
              <w:jc w:val="both"/>
              <w:rPr>
                <w:rFonts w:ascii="Verdana" w:eastAsia="Calibri" w:hAnsi="Verdana" w:cs="Times New Roman"/>
                <w:sz w:val="20"/>
                <w:szCs w:val="20"/>
                <w:lang w:val="en-GB"/>
              </w:rPr>
            </w:pPr>
          </w:p>
          <w:p w14:paraId="31064AC1" w14:textId="77777777" w:rsidR="002749A6" w:rsidRPr="00F325E0" w:rsidRDefault="002749A6" w:rsidP="002749A6">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A three-year research projects, lasting from 2008 to 2011, focused on the accessibility of physical environment and public building for the persons with disabilities in Slovenia. The project entitled </w:t>
            </w:r>
            <w:r>
              <w:rPr>
                <w:rFonts w:ascii="Verdana" w:eastAsia="Calibri" w:hAnsi="Verdana" w:cs="Times New Roman"/>
                <w:sz w:val="20"/>
                <w:szCs w:val="20"/>
                <w:lang w:val="en-GB"/>
              </w:rPr>
              <w:t>“</w:t>
            </w:r>
            <w:r w:rsidRPr="00F325E0">
              <w:rPr>
                <w:rFonts w:ascii="Verdana" w:eastAsia="Calibri" w:hAnsi="Verdana" w:cs="Times New Roman"/>
                <w:sz w:val="20"/>
                <w:szCs w:val="20"/>
                <w:lang w:val="en-GB"/>
              </w:rPr>
              <w:t>Measures for the realisation of the rights of the disabled to barrier-free access</w:t>
            </w:r>
            <w:r>
              <w:rPr>
                <w:rFonts w:ascii="Verdana" w:eastAsia="Calibri" w:hAnsi="Verdana" w:cs="Times New Roman"/>
                <w:sz w:val="20"/>
                <w:szCs w:val="20"/>
                <w:lang w:val="en-GB"/>
              </w:rPr>
              <w:t>”</w:t>
            </w:r>
            <w:r w:rsidRPr="00F325E0">
              <w:rPr>
                <w:rFonts w:ascii="Verdana" w:eastAsia="Calibri" w:hAnsi="Verdana" w:cs="Times New Roman"/>
                <w:sz w:val="20"/>
                <w:szCs w:val="20"/>
                <w:lang w:val="en-GB"/>
              </w:rPr>
              <w:t xml:space="preserve"> (</w:t>
            </w:r>
            <w:r w:rsidRPr="00F325E0">
              <w:rPr>
                <w:rFonts w:ascii="Verdana" w:eastAsia="Calibri" w:hAnsi="Verdana" w:cs="Times New Roman"/>
                <w:i/>
                <w:sz w:val="20"/>
                <w:szCs w:val="20"/>
                <w:lang w:val="en-GB"/>
              </w:rPr>
              <w:t>Ukrepi za uresničevanje pravic invalidov do dostopa brez ovir</w:t>
            </w:r>
            <w:r w:rsidRPr="00F325E0">
              <w:rPr>
                <w:rFonts w:ascii="Verdana" w:eastAsia="Calibri" w:hAnsi="Verdana" w:cs="Times New Roman"/>
                <w:sz w:val="20"/>
                <w:szCs w:val="20"/>
                <w:lang w:val="en-GB"/>
              </w:rPr>
              <w:t>) was conducted by the Urban Planning Institute of the Republic of Slovenia (</w:t>
            </w:r>
            <w:r w:rsidRPr="00F325E0">
              <w:rPr>
                <w:rFonts w:ascii="Verdana" w:eastAsia="Calibri" w:hAnsi="Verdana" w:cs="Times New Roman"/>
                <w:i/>
                <w:sz w:val="20"/>
                <w:szCs w:val="20"/>
                <w:lang w:val="en-GB"/>
              </w:rPr>
              <w:t>Urbanistični inštitut Republike Slovenije</w:t>
            </w:r>
            <w:r w:rsidRPr="00F325E0">
              <w:rPr>
                <w:rFonts w:ascii="Verdana" w:eastAsia="Calibri" w:hAnsi="Verdana" w:cs="Times New Roman"/>
                <w:sz w:val="20"/>
                <w:szCs w:val="20"/>
                <w:lang w:val="en-GB"/>
              </w:rPr>
              <w:t>) and the Social Protection Institute of the Republic of Slovenia (</w:t>
            </w:r>
            <w:r w:rsidRPr="00F325E0">
              <w:rPr>
                <w:rFonts w:ascii="Verdana" w:eastAsia="Calibri" w:hAnsi="Verdana" w:cs="Times New Roman"/>
                <w:i/>
                <w:sz w:val="20"/>
                <w:szCs w:val="20"/>
                <w:lang w:val="en-GB"/>
              </w:rPr>
              <w:t>Inštitut Republike Slovenije za socialno varstvo</w:t>
            </w:r>
            <w:r w:rsidRPr="00F325E0">
              <w:rPr>
                <w:rFonts w:ascii="Verdana" w:eastAsia="Calibri" w:hAnsi="Verdana" w:cs="Times New Roman"/>
                <w:sz w:val="20"/>
                <w:szCs w:val="20"/>
                <w:lang w:val="en-GB"/>
              </w:rPr>
              <w:t>). It was funded by the Slovenian Research Agency (</w:t>
            </w:r>
            <w:r w:rsidRPr="00F325E0">
              <w:rPr>
                <w:rFonts w:ascii="Verdana" w:eastAsia="Calibri" w:hAnsi="Verdana" w:cs="Times New Roman"/>
                <w:i/>
                <w:sz w:val="20"/>
                <w:szCs w:val="20"/>
                <w:lang w:val="en-GB"/>
              </w:rPr>
              <w:t>Javna agencija za raziskovalno dejavnost Republike Slovenije</w:t>
            </w:r>
            <w:r w:rsidRPr="00F325E0">
              <w:rPr>
                <w:rFonts w:ascii="Verdana" w:eastAsia="Calibri" w:hAnsi="Verdana" w:cs="Times New Roman"/>
                <w:sz w:val="20"/>
                <w:szCs w:val="20"/>
                <w:lang w:val="en-GB"/>
              </w:rPr>
              <w:t>) and the then Ministry of Labour, Family and Social Affairs (</w:t>
            </w:r>
            <w:r w:rsidRPr="00F325E0">
              <w:rPr>
                <w:rFonts w:ascii="Verdana" w:eastAsia="Calibri" w:hAnsi="Verdana" w:cs="Times New Roman"/>
                <w:i/>
                <w:sz w:val="20"/>
                <w:szCs w:val="20"/>
                <w:lang w:val="en-GB"/>
              </w:rPr>
              <w:t>Ministrstvo za delo, družino in socialne zadeve</w:t>
            </w:r>
            <w:r w:rsidRPr="00F325E0">
              <w:rPr>
                <w:rFonts w:ascii="Verdana" w:eastAsia="Calibri" w:hAnsi="Verdana" w:cs="Times New Roman"/>
                <w:sz w:val="20"/>
                <w:szCs w:val="20"/>
                <w:lang w:val="en-GB"/>
              </w:rPr>
              <w:t>). The project was implemented in three phases, the first in 2008/2009, the second in 2009/2010, while the last phase of the project took place in 2010/2011.</w:t>
            </w:r>
            <w:r w:rsidRPr="00F325E0">
              <w:rPr>
                <w:rStyle w:val="FootnoteReference"/>
                <w:rFonts w:ascii="Verdana" w:eastAsia="Calibri" w:hAnsi="Verdana" w:cs="Times New Roman"/>
                <w:sz w:val="20"/>
                <w:szCs w:val="20"/>
                <w:lang w:val="en-GB"/>
              </w:rPr>
              <w:footnoteReference w:id="58"/>
            </w:r>
            <w:r w:rsidRPr="00F325E0">
              <w:rPr>
                <w:rFonts w:ascii="Verdana" w:eastAsia="Calibri" w:hAnsi="Verdana" w:cs="Times New Roman"/>
                <w:sz w:val="20"/>
                <w:szCs w:val="20"/>
                <w:lang w:val="en-GB"/>
              </w:rPr>
              <w:t xml:space="preserve"> This research project was based on the two surveys targeting the individuals with disabilities and the organisation representing the persons with disabilities. It also included a fieldwork research. </w:t>
            </w:r>
          </w:p>
          <w:p w14:paraId="596EAE8B" w14:textId="77777777" w:rsidR="002749A6" w:rsidRPr="00F325E0" w:rsidRDefault="002749A6" w:rsidP="002749A6">
            <w:pPr>
              <w:spacing w:before="240"/>
              <w:contextualSpacing/>
              <w:jc w:val="both"/>
              <w:rPr>
                <w:rFonts w:ascii="Verdana" w:eastAsia="Calibri" w:hAnsi="Verdana" w:cs="Times New Roman"/>
                <w:sz w:val="20"/>
                <w:szCs w:val="20"/>
                <w:lang w:val="en-GB"/>
              </w:rPr>
            </w:pPr>
          </w:p>
          <w:p w14:paraId="788EDDB9" w14:textId="062B01F0" w:rsidR="00D37B92" w:rsidRDefault="002749A6" w:rsidP="002749A6">
            <w:pPr>
              <w:rPr>
                <w:rFonts w:ascii="Verdana" w:eastAsia="Calibri" w:hAnsi="Verdana" w:cs="Times New Roman"/>
                <w:lang w:val="en-IE" w:eastAsia="en-US" w:bidi="en-US"/>
              </w:rPr>
            </w:pPr>
            <w:r w:rsidRPr="00F325E0">
              <w:rPr>
                <w:rFonts w:ascii="Verdana" w:eastAsia="Calibri" w:hAnsi="Verdana" w:cs="Times New Roman"/>
                <w:sz w:val="20"/>
                <w:szCs w:val="20"/>
                <w:lang w:val="en-GB"/>
              </w:rPr>
              <w:t xml:space="preserve">The survey sample included 181 individual respondents with disabilities and 41 organisations representing this population. The respondents were asked about their experiences with the built-environment and the communication barriers in a variety of sectors, including, among other things, transportation, education, employment and the public administration services. The survey results showed a rather unfavourable picture. For example, 30% of individuals stated that they experienced many or a lot of built-environment and communication barriers regarding the access to city buses, respectively. The figures for </w:t>
            </w:r>
            <w:r>
              <w:rPr>
                <w:rFonts w:ascii="Verdana" w:eastAsia="Calibri" w:hAnsi="Verdana" w:cs="Times New Roman"/>
                <w:sz w:val="20"/>
                <w:szCs w:val="20"/>
                <w:lang w:val="en-GB"/>
              </w:rPr>
              <w:t>access to</w:t>
            </w:r>
            <w:r w:rsidRPr="00F325E0">
              <w:rPr>
                <w:rFonts w:ascii="Verdana" w:eastAsia="Calibri" w:hAnsi="Verdana" w:cs="Times New Roman"/>
                <w:sz w:val="20"/>
                <w:szCs w:val="20"/>
                <w:lang w:val="en-GB"/>
              </w:rPr>
              <w:t xml:space="preserve"> organisations were 48 and 45%. Regarding the access to elementary schools, 39.6% of the individual respondents tend to face the built-environment barriers and 30.4% of them also experienced the communication barriers. The access to hospitals was assessed rather favourably by the individual respondents, whereas the figures on individual respondents experiencing barriers stood at 13.2% and 31.6%, respectively. The first percentage is related to individual respondents who experienced built-environment barriers in access to hospitals, while the second figure shows the percentage of individual respondents who experienced communication barriers with regard to their access to hospitals. However, the access to the public services tends to be among the most problematic area. The representatives of the organisations included in the survey, 51% of them, stated that they experience many or a lot of built-environment barriers in the access to the public administration services, while the figure for the communication barriers was 53%. Similarly, 45.5% of the individual respondents claimed that they were subject to the built-environment barriers when accessing the municipality building, while the percentage for the communication barriers was 43.3%.</w:t>
            </w:r>
            <w:r w:rsidRPr="00F325E0">
              <w:rPr>
                <w:rStyle w:val="FootnoteReference"/>
                <w:rFonts w:ascii="Verdana" w:eastAsia="Calibri" w:hAnsi="Verdana" w:cs="Times New Roman"/>
                <w:sz w:val="20"/>
                <w:szCs w:val="20"/>
                <w:lang w:val="en-GB"/>
              </w:rPr>
              <w:footnoteReference w:id="59"/>
            </w:r>
          </w:p>
        </w:tc>
      </w:tr>
      <w:tr w:rsidR="00D37B92" w:rsidRPr="003B1872" w14:paraId="58A9087F" w14:textId="1BDD033C" w:rsidTr="00ED2BB6">
        <w:trPr>
          <w:trHeight w:val="510"/>
        </w:trPr>
        <w:tc>
          <w:tcPr>
            <w:tcW w:w="501" w:type="pct"/>
            <w:vAlign w:val="center"/>
          </w:tcPr>
          <w:p w14:paraId="73DF934F"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08D1E68C" w14:textId="6F3075B2" w:rsidR="00D37B92" w:rsidRDefault="00C56AD4" w:rsidP="00ED2BB6">
            <w:pPr>
              <w:rPr>
                <w:rFonts w:ascii="Verdana" w:eastAsia="Calibri" w:hAnsi="Verdana" w:cs="Times New Roman"/>
                <w:lang w:val="en-IE" w:eastAsia="en-US" w:bidi="en-US"/>
              </w:rPr>
            </w:pPr>
            <w:r w:rsidRPr="002241C0">
              <w:rPr>
                <w:rFonts w:ascii="Verdana" w:hAnsi="Verdana" w:cs="Times New Roman"/>
                <w:sz w:val="20"/>
                <w:szCs w:val="20"/>
                <w:lang w:val="en-GB"/>
              </w:rPr>
              <w:t>This type of statistics is not kept in the SR, and therefore the information is not available.</w:t>
            </w:r>
            <w:r w:rsidRPr="002241C0">
              <w:rPr>
                <w:rStyle w:val="FootnoteReference"/>
                <w:rFonts w:ascii="Verdana" w:hAnsi="Verdana" w:cs="Times New Roman"/>
                <w:sz w:val="20"/>
                <w:szCs w:val="20"/>
                <w:lang w:val="en-GB"/>
              </w:rPr>
              <w:footnoteReference w:id="60"/>
            </w:r>
          </w:p>
        </w:tc>
      </w:tr>
      <w:tr w:rsidR="00D37B92" w:rsidRPr="003B1872" w14:paraId="671A4EE6" w14:textId="778642DA" w:rsidTr="00ED2BB6">
        <w:trPr>
          <w:trHeight w:val="510"/>
        </w:trPr>
        <w:tc>
          <w:tcPr>
            <w:tcW w:w="501" w:type="pct"/>
            <w:vAlign w:val="center"/>
          </w:tcPr>
          <w:p w14:paraId="67B7D1B1" w14:textId="77777777" w:rsidR="00D37B92" w:rsidRPr="003B1872" w:rsidRDefault="00D37B92" w:rsidP="0015196A">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256BB37B" w14:textId="77777777" w:rsidR="00E6547D" w:rsidRPr="0085435F" w:rsidRDefault="00E6547D" w:rsidP="00E6547D">
            <w:pPr>
              <w:spacing w:before="240"/>
              <w:contextualSpacing/>
              <w:rPr>
                <w:rFonts w:ascii="Verdana" w:eastAsia="Calibri" w:hAnsi="Verdana" w:cs="Times New Roman"/>
                <w:sz w:val="20"/>
                <w:szCs w:val="20"/>
              </w:rPr>
            </w:pPr>
            <w:r w:rsidRPr="0085435F">
              <w:rPr>
                <w:rFonts w:ascii="Verdana" w:eastAsia="Calibri" w:hAnsi="Verdana" w:cs="Times New Roman"/>
                <w:sz w:val="20"/>
                <w:szCs w:val="20"/>
                <w:lang w:val="en-GB"/>
              </w:rPr>
              <w:t>The following is the only information that is available. The Office for National Statistics Opinions and Lifestyle Survey collects data relating to the Disability Equality Factor – Difficulty in Accessing Goods and Services. Under the Equality Act 2010, reasonable adjustments have to be made to all buildings, not only to public buildings, to ensure the accessibility of goods and services. Therefore the following data refers to difficulties reported by disabled persons in accessing facilities at a private club, going to the cinema/theatre/concert, going to the library/art galleries/museums, shopping, pubs/restaurants, sporting events, using public telephone, using websites, using a bank or building society, arranging insurance, arranging accommodation in a hotel/guest house, accessing health services/Local Authority services, Central Government services, law enforcement services, or any other leisure, commercial or public good or service. In 2012, 32 % of the disabled population reported having difficulties accessing goods and services. This figure has decreased significantly from the baseline year (2005) where 40% of the disabled population reported difficulty in accessing goods and services</w:t>
            </w:r>
            <w:r>
              <w:rPr>
                <w:rStyle w:val="FootnoteReference"/>
                <w:rFonts w:ascii="Verdana" w:eastAsia="Calibri" w:hAnsi="Verdana" w:cs="Times New Roman"/>
                <w:sz w:val="20"/>
                <w:szCs w:val="20"/>
                <w:lang w:val="en-GB"/>
              </w:rPr>
              <w:footnoteReference w:id="61"/>
            </w:r>
            <w:r w:rsidRPr="0085435F">
              <w:rPr>
                <w:rFonts w:ascii="Verdana" w:eastAsia="Calibri" w:hAnsi="Verdana" w:cs="Times New Roman"/>
                <w:sz w:val="20"/>
                <w:szCs w:val="20"/>
                <w:lang w:val="en-GB"/>
              </w:rPr>
              <w:t>.</w:t>
            </w:r>
          </w:p>
          <w:p w14:paraId="2FD13034" w14:textId="77777777" w:rsidR="00E6547D" w:rsidRPr="0085435F" w:rsidRDefault="00E6547D" w:rsidP="00E6547D">
            <w:pPr>
              <w:spacing w:before="240"/>
              <w:contextualSpacing/>
              <w:rPr>
                <w:rFonts w:ascii="Verdana" w:eastAsia="Calibri" w:hAnsi="Verdana" w:cs="Times New Roman"/>
                <w:sz w:val="20"/>
                <w:szCs w:val="20"/>
                <w:lang w:val="en-GB"/>
              </w:rPr>
            </w:pPr>
          </w:p>
          <w:p w14:paraId="07330F6A" w14:textId="77777777" w:rsidR="00E6547D" w:rsidRPr="0085435F" w:rsidRDefault="00E6547D" w:rsidP="00E6547D">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Equality Act 2010 [Section 20 and Schedule 2 Paragraph 2]</w:t>
            </w:r>
            <w:r w:rsidRPr="0085435F">
              <w:rPr>
                <w:rStyle w:val="FootnoteReference"/>
                <w:rFonts w:ascii="Verdana" w:eastAsia="Calibri" w:hAnsi="Verdana" w:cs="Times New Roman"/>
                <w:sz w:val="20"/>
                <w:szCs w:val="20"/>
                <w:lang w:val="en-GB"/>
              </w:rPr>
              <w:footnoteReference w:id="62"/>
            </w:r>
            <w:r w:rsidRPr="0085435F">
              <w:rPr>
                <w:rFonts w:ascii="Verdana" w:eastAsia="Calibri" w:hAnsi="Verdana" w:cs="Times New Roman"/>
                <w:sz w:val="20"/>
                <w:szCs w:val="20"/>
                <w:lang w:val="en-GB"/>
              </w:rPr>
              <w:t xml:space="preserve"> and the Equality Act (Disability) Regulations 2010</w:t>
            </w:r>
            <w:r w:rsidRPr="0085435F">
              <w:rPr>
                <w:rStyle w:val="FootnoteReference"/>
                <w:rFonts w:ascii="Verdana" w:eastAsia="Calibri" w:hAnsi="Verdana" w:cs="Times New Roman"/>
                <w:sz w:val="20"/>
                <w:szCs w:val="20"/>
                <w:lang w:val="en-GB"/>
              </w:rPr>
              <w:footnoteReference w:id="63"/>
            </w:r>
            <w:r w:rsidRPr="0085435F">
              <w:rPr>
                <w:rFonts w:ascii="Verdana" w:eastAsia="Calibri" w:hAnsi="Verdana" w:cs="Times New Roman"/>
                <w:sz w:val="20"/>
                <w:szCs w:val="20"/>
                <w:lang w:val="en-GB"/>
              </w:rPr>
              <w:t xml:space="preserve"> require local authorities to make changes (‘reasonable adjustments’), free of charge, to the built environment where needed, for disabled users or potential users. Where the built environment cannot be made accessible, it is reasonable for the service to be provided at an alternative venue. Reasonable changes are required wherever there would be a substantial disadvantage (more than a minor or trivial disadvantage) compared with non-disabled people. The reasonableness of the changes will depend upon all the circumstances, including the cost of an adjustment, the potential benefit it might bring to other customers, the resources an organisation has and how practical the changes are. The Equality Act 2010 requires that service providers must think ahead and take steps to address barriers that impede disabled people.</w:t>
            </w:r>
            <w:r w:rsidRPr="0085435F">
              <w:rPr>
                <w:rStyle w:val="FootnoteReference"/>
                <w:rFonts w:ascii="Verdana" w:eastAsia="Calibri" w:hAnsi="Verdana" w:cs="Times New Roman"/>
                <w:sz w:val="20"/>
                <w:szCs w:val="20"/>
                <w:lang w:val="en-GB"/>
              </w:rPr>
              <w:footnoteReference w:id="64"/>
            </w:r>
          </w:p>
          <w:p w14:paraId="4CE304C9" w14:textId="77777777" w:rsidR="00E6547D" w:rsidRPr="0085435F" w:rsidRDefault="00E6547D" w:rsidP="00E6547D">
            <w:pPr>
              <w:spacing w:before="240"/>
              <w:contextualSpacing/>
              <w:rPr>
                <w:rFonts w:ascii="Verdana" w:eastAsia="Calibri" w:hAnsi="Verdana" w:cs="Times New Roman"/>
                <w:sz w:val="20"/>
                <w:szCs w:val="20"/>
                <w:lang w:val="en-GB"/>
              </w:rPr>
            </w:pPr>
          </w:p>
          <w:p w14:paraId="74BF95A9" w14:textId="27B1C63B" w:rsidR="00D37B92" w:rsidRPr="00E6547D" w:rsidRDefault="00E6547D" w:rsidP="00E6547D">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Equality Act (Amendment) Bill 2013 had its first reading in May 2013. The Bill would amend the Equality Act 2010 to improve access to public buildings; and to introduce six and twelve inch rules for step free access.</w:t>
            </w:r>
            <w:r w:rsidRPr="0085435F">
              <w:rPr>
                <w:rStyle w:val="FootnoteReference"/>
                <w:rFonts w:ascii="Verdana" w:hAnsi="Verdana" w:cs="Times New Roman"/>
                <w:color w:val="000000"/>
                <w:sz w:val="20"/>
                <w:szCs w:val="20"/>
                <w:shd w:val="clear" w:color="auto" w:fill="FFFFFF"/>
              </w:rPr>
              <w:footnoteReference w:id="65"/>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27F980E7" w14:textId="77777777" w:rsidR="00F80038" w:rsidRPr="00840CC6" w:rsidRDefault="00F80038" w:rsidP="00F80038">
      <w:pPr>
        <w:pStyle w:val="FootnoteText"/>
        <w:contextualSpacing/>
        <w:rPr>
          <w:lang w:val="de-AT"/>
        </w:rPr>
      </w:pPr>
      <w:r w:rsidRPr="00840CC6">
        <w:rPr>
          <w:rStyle w:val="FootnoteReference"/>
        </w:rPr>
        <w:footnoteRef/>
      </w:r>
      <w:r w:rsidRPr="00840CC6">
        <w:rPr>
          <w:lang w:val="de-AT"/>
        </w:rPr>
        <w:t xml:space="preserve"> Austria, Federal Disability Equality Act  (</w:t>
      </w:r>
      <w:r w:rsidRPr="00840CC6">
        <w:rPr>
          <w:i/>
          <w:lang w:val="de-AT"/>
        </w:rPr>
        <w:t>Bundesgesetz über die Gleichstellung von Menschen mit Behinderung – Bundes - Behindertengleichstellungsgesetz – BGStG</w:t>
      </w:r>
      <w:r w:rsidRPr="00840CC6">
        <w:rPr>
          <w:lang w:val="de-AT"/>
        </w:rPr>
        <w:t xml:space="preserve">), BGBl. No. 82/2005, available at: </w:t>
      </w:r>
      <w:hyperlink r:id="rId1" w:history="1">
        <w:r w:rsidRPr="00840CC6">
          <w:rPr>
            <w:rStyle w:val="Hyperlink"/>
            <w:lang w:val="de-AT"/>
          </w:rPr>
          <w:t>www.ris.bka.gv.at/GeltendeFassung.wxe?Abfrage=Bundesnormen&amp;Gesetzesnummer=20004228</w:t>
        </w:r>
      </w:hyperlink>
      <w:r w:rsidRPr="00840CC6">
        <w:rPr>
          <w:lang w:val="de-AT"/>
        </w:rPr>
        <w:t>.</w:t>
      </w:r>
    </w:p>
  </w:footnote>
  <w:footnote w:id="2">
    <w:p w14:paraId="29D2D631" w14:textId="77777777" w:rsidR="00F80038" w:rsidRPr="00DC477B" w:rsidRDefault="00F80038" w:rsidP="00F80038">
      <w:pPr>
        <w:pStyle w:val="FootnoteText"/>
        <w:rPr>
          <w:sz w:val="18"/>
          <w:szCs w:val="18"/>
        </w:rPr>
      </w:pPr>
      <w:r w:rsidRPr="00840CC6">
        <w:rPr>
          <w:rStyle w:val="FootnoteReference"/>
        </w:rPr>
        <w:footnoteRef/>
      </w:r>
      <w:r w:rsidRPr="00840CC6">
        <w:t xml:space="preserve"> Austria, help.gv.at, available at: </w:t>
      </w:r>
      <w:hyperlink r:id="rId2" w:history="1">
        <w:r w:rsidRPr="00840CC6">
          <w:rPr>
            <w:rStyle w:val="Hyperlink"/>
          </w:rPr>
          <w:t>www.help.gv.at/Portal.Node/hlpd/public/content/127/Seite.1270100.html#B1610</w:t>
        </w:r>
      </w:hyperlink>
      <w:r w:rsidRPr="00840CC6">
        <w:t>.</w:t>
      </w:r>
    </w:p>
  </w:footnote>
  <w:footnote w:id="3">
    <w:p w14:paraId="186FD917" w14:textId="77777777" w:rsidR="00F80038" w:rsidRPr="00840CC6" w:rsidRDefault="00F80038" w:rsidP="00F80038">
      <w:pPr>
        <w:pStyle w:val="FootnoteText"/>
        <w:rPr>
          <w:lang w:val="de-AT"/>
        </w:rPr>
      </w:pPr>
      <w:r w:rsidRPr="00DC477B">
        <w:rPr>
          <w:rStyle w:val="FootnoteReference"/>
          <w:sz w:val="18"/>
          <w:szCs w:val="18"/>
        </w:rPr>
        <w:footnoteRef/>
      </w:r>
      <w:r w:rsidRPr="00DC477B">
        <w:rPr>
          <w:sz w:val="18"/>
          <w:szCs w:val="18"/>
        </w:rPr>
        <w:t xml:space="preserve"> </w:t>
      </w:r>
      <w:r w:rsidRPr="00840CC6">
        <w:rPr>
          <w:lang w:val="en-US"/>
        </w:rPr>
        <w:t xml:space="preserve">Austria, </w:t>
      </w:r>
      <w:r w:rsidRPr="00840CC6">
        <w:rPr>
          <w:rFonts w:eastAsia="Calibri" w:cs="Times New Roman"/>
          <w:lang w:val="en-US"/>
        </w:rPr>
        <w:t>BMASK (2012), National Action Plan on Disability 2012-2020. Strategy of the Austrian Federal Government for the Implementation of the UN Disability Rights Convention (</w:t>
      </w:r>
      <w:r w:rsidRPr="00840CC6">
        <w:rPr>
          <w:rFonts w:eastAsia="Calibri" w:cs="Times New Roman"/>
          <w:i/>
          <w:lang w:val="en-US"/>
        </w:rPr>
        <w:t xml:space="preserve">Nationaler Aktionsplan Behinderung 2012-2020. </w:t>
      </w:r>
      <w:r w:rsidRPr="00840CC6">
        <w:rPr>
          <w:rFonts w:eastAsia="Calibri" w:cs="Times New Roman"/>
          <w:i/>
          <w:lang w:val="de-AT"/>
        </w:rPr>
        <w:t>Strategie der Österreichischen Bundesregierung zur Umsetzung der UN-Behindertenrechtskonvention</w:t>
      </w:r>
      <w:r w:rsidRPr="00840CC6">
        <w:rPr>
          <w:rFonts w:eastAsia="Calibri" w:cs="Times New Roman"/>
          <w:lang w:val="de-AT"/>
        </w:rPr>
        <w:t xml:space="preserve">), [Vienna, BMASK, [ 57 - 58], available at: </w:t>
      </w:r>
      <w:hyperlink r:id="rId3" w:history="1">
        <w:r w:rsidRPr="00840CC6">
          <w:rPr>
            <w:rStyle w:val="Hyperlink"/>
            <w:rFonts w:eastAsia="Calibri" w:cs="Times New Roman"/>
            <w:lang w:val="de-AT"/>
          </w:rPr>
          <w:t>www.bmask.gv.at/cms/site/attachments/7/4/9/CH2092/CMS1359980335644/nap_behinderung-web_2013-01-30_eng.pdf</w:t>
        </w:r>
      </w:hyperlink>
      <w:r w:rsidRPr="00840CC6">
        <w:rPr>
          <w:rFonts w:eastAsia="Calibri" w:cs="Times New Roman"/>
          <w:lang w:val="de-AT"/>
        </w:rPr>
        <w:t>, p. 59.</w:t>
      </w:r>
    </w:p>
  </w:footnote>
  <w:footnote w:id="4">
    <w:p w14:paraId="15E7FF2E" w14:textId="77777777" w:rsidR="00F80038" w:rsidRPr="00840CC6" w:rsidRDefault="00F80038" w:rsidP="00F80038">
      <w:pPr>
        <w:pStyle w:val="FootnoteText"/>
        <w:contextualSpacing/>
      </w:pPr>
      <w:r w:rsidRPr="00840CC6">
        <w:rPr>
          <w:rStyle w:val="FootnoteReference"/>
        </w:rPr>
        <w:footnoteRef/>
      </w:r>
      <w:r w:rsidRPr="00840CC6">
        <w:t xml:space="preserve"> </w:t>
      </w:r>
      <w:r w:rsidRPr="00840CC6">
        <w:rPr>
          <w:lang w:val="en-US"/>
        </w:rPr>
        <w:t xml:space="preserve">Information provided by the Austrian Association of Municipalities </w:t>
      </w:r>
      <w:r w:rsidRPr="00840CC6">
        <w:rPr>
          <w:i/>
          <w:lang w:val="en-US"/>
        </w:rPr>
        <w:t>(Österreichischer Gemeindebund)</w:t>
      </w:r>
      <w:r w:rsidRPr="00840CC6">
        <w:rPr>
          <w:lang w:val="en-US"/>
        </w:rPr>
        <w:t xml:space="preserve"> on 2 July 2013 in a response to an information request.</w:t>
      </w:r>
    </w:p>
  </w:footnote>
  <w:footnote w:id="5">
    <w:p w14:paraId="4B7A9F8E" w14:textId="77777777" w:rsidR="00F80038" w:rsidRPr="00980245" w:rsidRDefault="00F80038" w:rsidP="00F80038">
      <w:pPr>
        <w:pStyle w:val="FootnoteText"/>
        <w:rPr>
          <w:lang w:val="en-GB"/>
        </w:rPr>
      </w:pPr>
      <w:r w:rsidRPr="00980245">
        <w:rPr>
          <w:rStyle w:val="FootnoteReference"/>
        </w:rPr>
        <w:footnoteRef/>
      </w:r>
      <w:r w:rsidRPr="00980245">
        <w:t xml:space="preserve"> Belgium, Articles 14 and 27 of the Anti-Discrimination Act of 10 May 2007 (</w:t>
      </w:r>
      <w:r w:rsidRPr="00980245">
        <w:rPr>
          <w:i/>
        </w:rPr>
        <w:t>Loi du 10 mai 2007 tendant à lutter contre certaines formes de discrimination – Wet van 10 mei 2007 ter bestrijding van bepaalde vormen van discriminatie</w:t>
      </w:r>
      <w:r w:rsidRPr="00980245">
        <w:t xml:space="preserve">), available at: </w:t>
      </w:r>
      <w:hyperlink r:id="rId4" w:history="1">
        <w:r w:rsidRPr="00980245">
          <w:rPr>
            <w:rStyle w:val="Hyperlink"/>
          </w:rPr>
          <w:t>http://www.ejustice.just.fgov.be/loi/loi.htm</w:t>
        </w:r>
      </w:hyperlink>
      <w:r w:rsidRPr="00980245">
        <w:t xml:space="preserve"> and Article 143 of the Electoral Code (</w:t>
      </w:r>
      <w:r w:rsidRPr="00980245">
        <w:rPr>
          <w:i/>
        </w:rPr>
        <w:t>Le Code électoral; Algemeen Kieswetboek</w:t>
      </w:r>
      <w:r w:rsidRPr="00980245">
        <w:t xml:space="preserve">), available at: </w:t>
      </w:r>
      <w:hyperlink r:id="rId5" w:history="1">
        <w:r w:rsidRPr="00980245">
          <w:rPr>
            <w:rStyle w:val="Hyperlink"/>
          </w:rPr>
          <w:t>http://www.ejustice.just.fgov.be/loi/loi.htm</w:t>
        </w:r>
      </w:hyperlink>
      <w:r w:rsidRPr="00980245">
        <w:t>.</w:t>
      </w:r>
    </w:p>
  </w:footnote>
  <w:footnote w:id="6">
    <w:p w14:paraId="3A47EE8A" w14:textId="77777777" w:rsidR="00F80038" w:rsidRPr="00980245" w:rsidRDefault="00F80038" w:rsidP="00F80038">
      <w:pPr>
        <w:pStyle w:val="FootnoteText"/>
        <w:rPr>
          <w:lang w:val="en-GB"/>
        </w:rPr>
      </w:pPr>
      <w:r w:rsidRPr="00980245">
        <w:rPr>
          <w:rStyle w:val="FootnoteReference"/>
        </w:rPr>
        <w:footnoteRef/>
      </w:r>
      <w:r w:rsidRPr="00980245">
        <w:t xml:space="preserve"> Belgium, List of legislation available in the annex of the following document: CEOOR, ‘Accessibility of public buildings’, available at: http://www.diversiteit.be/?action=publicatie_detail&amp;id=14&amp;thema=3&amp;setLanguage=1.</w:t>
      </w:r>
    </w:p>
  </w:footnote>
  <w:footnote w:id="7">
    <w:p w14:paraId="3A8ED8F9" w14:textId="77777777" w:rsidR="00F80038" w:rsidRPr="00450A08" w:rsidRDefault="00F80038" w:rsidP="00F80038">
      <w:pPr>
        <w:pStyle w:val="FootnoteText"/>
        <w:jc w:val="both"/>
        <w:rPr>
          <w:rFonts w:cs="Times New Roman"/>
          <w:lang w:val="en-GB"/>
        </w:rPr>
      </w:pPr>
      <w:r w:rsidRPr="00450A08">
        <w:rPr>
          <w:rStyle w:val="FootnoteReference"/>
          <w:rFonts w:cs="Times New Roman"/>
        </w:rPr>
        <w:footnoteRef/>
      </w:r>
      <w:r w:rsidRPr="00450A08">
        <w:rPr>
          <w:rFonts w:cs="Times New Roman"/>
          <w:lang w:val="en-US"/>
        </w:rPr>
        <w:t xml:space="preserve"> Information obtained from the </w:t>
      </w:r>
      <w:r w:rsidRPr="00450A08">
        <w:rPr>
          <w:rFonts w:eastAsia="Calibri" w:cs="Times New Roman"/>
          <w:lang w:val="en-GB"/>
        </w:rPr>
        <w:t>Department for Social Inclusion of persons with disabilities, (Τμήμα Κοινωνικής Ενσωμάτωσης Ατόμων με Αναπηρίες).</w:t>
      </w:r>
    </w:p>
  </w:footnote>
  <w:footnote w:id="8">
    <w:p w14:paraId="1526999B" w14:textId="77777777" w:rsidR="00F80038" w:rsidRPr="00450A08" w:rsidRDefault="00F80038" w:rsidP="00F80038">
      <w:pPr>
        <w:pStyle w:val="FootnoteText"/>
        <w:jc w:val="both"/>
        <w:rPr>
          <w:lang w:val="en-GB"/>
        </w:rPr>
      </w:pPr>
      <w:r w:rsidRPr="00450A08">
        <w:rPr>
          <w:rStyle w:val="FootnoteReference"/>
        </w:rPr>
        <w:footnoteRef/>
      </w:r>
      <w:r w:rsidRPr="00450A08">
        <w:rPr>
          <w:lang w:val="en-US"/>
        </w:rPr>
        <w:t xml:space="preserve"> Cyprus, Regulation 61H “Use of buildings by disabled persons” (K.</w:t>
      </w:r>
      <w:r w:rsidRPr="00450A08">
        <w:t>Δ</w:t>
      </w:r>
      <w:r w:rsidRPr="00450A08">
        <w:rPr>
          <w:lang w:val="en-US"/>
        </w:rPr>
        <w:t>.</w:t>
      </w:r>
      <w:r w:rsidRPr="00450A08">
        <w:t>Π</w:t>
      </w:r>
      <w:r w:rsidRPr="00450A08">
        <w:rPr>
          <w:lang w:val="en-US"/>
        </w:rPr>
        <w:t>. 86/99) of the “Streets and Buildings Law” of 1999, (</w:t>
      </w:r>
      <w:r w:rsidRPr="00450A08">
        <w:t>Κανονισμός</w:t>
      </w:r>
      <w:r w:rsidRPr="00450A08">
        <w:rPr>
          <w:lang w:val="en-GB"/>
        </w:rPr>
        <w:t xml:space="preserve"> </w:t>
      </w:r>
      <w:r w:rsidRPr="00450A08">
        <w:rPr>
          <w:lang w:val="en-US"/>
        </w:rPr>
        <w:t>61.H του Περί Οδών και Οικοδομών Νόμου για την χρήση κτηρίων από ανάπηρα πρόσωπα</w:t>
      </w:r>
      <w:r w:rsidRPr="00450A08">
        <w:rPr>
          <w:lang w:val="en-GB"/>
        </w:rPr>
        <w:t>).</w:t>
      </w:r>
    </w:p>
  </w:footnote>
  <w:footnote w:id="9">
    <w:p w14:paraId="0496F8C2" w14:textId="77777777" w:rsidR="00F80038" w:rsidRPr="00A73F5B" w:rsidRDefault="00F80038" w:rsidP="00F80038">
      <w:pPr>
        <w:pStyle w:val="FootnoteText"/>
        <w:jc w:val="both"/>
      </w:pPr>
      <w:r w:rsidRPr="00A73F5B">
        <w:rPr>
          <w:rStyle w:val="FootnoteReference"/>
        </w:rPr>
        <w:footnoteRef/>
      </w:r>
      <w:r w:rsidRPr="00A73F5B">
        <w:t xml:space="preserve"> </w:t>
      </w:r>
      <w:r w:rsidRPr="00A73F5B">
        <w:rPr>
          <w:lang w:val="en-US"/>
        </w:rPr>
        <w:t>Sources: Government Board for People with Disabilities and the Czech National Disability Council, personal communication.</w:t>
      </w:r>
    </w:p>
  </w:footnote>
  <w:footnote w:id="10">
    <w:p w14:paraId="2ED1E273" w14:textId="77777777" w:rsidR="00F80038" w:rsidRPr="00A73F5B" w:rsidRDefault="00F80038" w:rsidP="00F80038">
      <w:pPr>
        <w:pStyle w:val="FootnoteText"/>
        <w:jc w:val="both"/>
      </w:pPr>
      <w:r w:rsidRPr="00A73F5B">
        <w:rPr>
          <w:rStyle w:val="FootnoteReference"/>
        </w:rPr>
        <w:footnoteRef/>
      </w:r>
      <w:r w:rsidRPr="00A73F5B">
        <w:t xml:space="preserve"> Data from 2004 and 2005 are available at http://verejna-sprava.kr-moravskoslezsky.cz/cz/pruzkum-bezbarierove-pristupnosti-staveb-obcanske-vybavenosti-10234/</w:t>
      </w:r>
    </w:p>
  </w:footnote>
  <w:footnote w:id="11">
    <w:p w14:paraId="5A8BA0E9" w14:textId="77777777" w:rsidR="00F80038" w:rsidRPr="00D465C1" w:rsidRDefault="00F80038" w:rsidP="00F80038">
      <w:pPr>
        <w:pStyle w:val="FootnoteText"/>
      </w:pPr>
      <w:r w:rsidRPr="00D465C1">
        <w:rPr>
          <w:rStyle w:val="FootnoteReference"/>
        </w:rPr>
        <w:footnoteRef/>
      </w:r>
      <w:r w:rsidRPr="00D465C1">
        <w:t xml:space="preserve"> The </w:t>
      </w:r>
      <w:r w:rsidRPr="00D465C1">
        <w:rPr>
          <w:rFonts w:eastAsia="Times New Roman" w:cs="Calibri"/>
          <w:lang w:val="en-GB"/>
        </w:rPr>
        <w:t>federal ministry of labour and social affairs and the CRPD - focal points of all states were consulted.</w:t>
      </w:r>
    </w:p>
  </w:footnote>
  <w:footnote w:id="12">
    <w:p w14:paraId="6DBBFC9A" w14:textId="77777777" w:rsidR="00F80038" w:rsidRPr="001F4FBF" w:rsidRDefault="00F80038" w:rsidP="00F80038">
      <w:pPr>
        <w:pStyle w:val="FootnoteText"/>
        <w:jc w:val="both"/>
        <w:rPr>
          <w:lang w:val="en-US"/>
        </w:rPr>
      </w:pPr>
      <w:r w:rsidRPr="001F4FBF">
        <w:rPr>
          <w:rStyle w:val="FootnoteReference"/>
        </w:rPr>
        <w:footnoteRef/>
      </w:r>
      <w:r w:rsidRPr="001F4FBF">
        <w:rPr>
          <w:lang w:val="en-US"/>
        </w:rPr>
        <w:t xml:space="preserve"> Statens Byggeforskningsinstitut (Danish Building Research Institute), University of Allborg, 2007. Hyperlink found 24 July 2013:  http://www.sbi.dk/tilgaengelighed/bygningsindretning/kendskab-til-tilgengelighedsbestemmelser/tilgengelighed-i-offentlige-bygninger-forbedret. </w:t>
      </w:r>
    </w:p>
  </w:footnote>
  <w:footnote w:id="13">
    <w:p w14:paraId="5E42EB67" w14:textId="77777777" w:rsidR="00F80038" w:rsidRDefault="00F80038" w:rsidP="00F80038">
      <w:pPr>
        <w:pStyle w:val="FootnoteText"/>
        <w:jc w:val="both"/>
        <w:rPr>
          <w:rFonts w:eastAsia="Calibri" w:cs="Times New Roman"/>
          <w:color w:val="000000"/>
          <w:lang w:val="en-GB"/>
        </w:rPr>
      </w:pPr>
      <w:r w:rsidRPr="007811A4">
        <w:rPr>
          <w:rStyle w:val="FootnoteCharacters"/>
        </w:rPr>
        <w:footnoteRef/>
      </w:r>
      <w:r w:rsidRPr="007811A4">
        <w:rPr>
          <w:rFonts w:cs="Times New Roman"/>
          <w:color w:val="000000"/>
        </w:rPr>
        <w:tab/>
        <w:t>Estonia, Minister of Economic Affairs and Communications (Majandus- ja kommunikatsiooniminister) (2002),</w:t>
      </w:r>
      <w:r w:rsidRPr="007811A4">
        <w:rPr>
          <w:rFonts w:eastAsia="Calibri" w:cs="Times New Roman"/>
          <w:color w:val="000000"/>
          <w:lang w:val="en-GB"/>
        </w:rPr>
        <w:t xml:space="preserve"> Requirements for ensuring mobility options for people with </w:t>
      </w:r>
    </w:p>
    <w:p w14:paraId="484DB90A" w14:textId="77777777" w:rsidR="00F80038" w:rsidRDefault="00F80038" w:rsidP="00F80038">
      <w:pPr>
        <w:pStyle w:val="FootnoteText"/>
        <w:jc w:val="both"/>
        <w:rPr>
          <w:rFonts w:cs="Times New Roman"/>
          <w:color w:val="000000"/>
        </w:rPr>
      </w:pPr>
      <w:r w:rsidRPr="007811A4">
        <w:rPr>
          <w:rFonts w:eastAsia="Calibri" w:cs="Times New Roman"/>
          <w:color w:val="000000"/>
          <w:lang w:val="en-GB"/>
        </w:rPr>
        <w:t>mobility, visual, and hearing disabilities in public buildings [</w:t>
      </w:r>
      <w:r w:rsidRPr="007811A4">
        <w:rPr>
          <w:rFonts w:cs="Times New Roman"/>
          <w:color w:val="000000"/>
        </w:rPr>
        <w:t xml:space="preserve">Nõuded liikumis-, nägemis- ja kuulmispuudega inimeste liikumisvõimaluste tagamiseks üldkasutatavates </w:t>
      </w:r>
    </w:p>
    <w:p w14:paraId="68C0A0AD" w14:textId="77777777" w:rsidR="00F80038" w:rsidRPr="007811A4" w:rsidRDefault="00F80038" w:rsidP="00F80038">
      <w:pPr>
        <w:pStyle w:val="FootnoteText"/>
        <w:jc w:val="both"/>
      </w:pPr>
      <w:r w:rsidRPr="007811A4">
        <w:rPr>
          <w:rFonts w:cs="Times New Roman"/>
          <w:color w:val="000000"/>
        </w:rPr>
        <w:t xml:space="preserve">ehitistes], Riigi Teataja Lisa 2002, 145, 2120, available at:  </w:t>
      </w:r>
      <w:hyperlink r:id="rId6" w:history="1">
        <w:r w:rsidRPr="007811A4">
          <w:rPr>
            <w:rStyle w:val="Hyperlink"/>
          </w:rPr>
          <w:t>https://www.riigiteataja.ee/akt/226420</w:t>
        </w:r>
      </w:hyperlink>
      <w:r w:rsidRPr="007811A4">
        <w:t xml:space="preserve"> </w:t>
      </w:r>
    </w:p>
  </w:footnote>
  <w:footnote w:id="14">
    <w:p w14:paraId="40E10A34" w14:textId="77777777" w:rsidR="00F80038" w:rsidRPr="007811A4" w:rsidRDefault="00F80038" w:rsidP="00F80038">
      <w:pPr>
        <w:pStyle w:val="FootnoteText"/>
        <w:jc w:val="both"/>
      </w:pPr>
      <w:r w:rsidRPr="007811A4">
        <w:rPr>
          <w:rStyle w:val="FootnoteCharacters"/>
        </w:rPr>
        <w:footnoteRef/>
      </w:r>
      <w:r w:rsidRPr="007811A4">
        <w:tab/>
        <w:t xml:space="preserve">Information obtained from the Estonian Chamber of Disabled People [Eesti Puuetega Inimeste Koda], also see </w:t>
      </w:r>
      <w:hyperlink r:id="rId7" w:history="1">
        <w:r w:rsidRPr="007811A4">
          <w:rPr>
            <w:rStyle w:val="Hyperlink"/>
          </w:rPr>
          <w:t>http://liikumisvabadus.invainfo.ee/?go=index&amp;lang=eng</w:t>
        </w:r>
      </w:hyperlink>
      <w:r w:rsidRPr="007811A4">
        <w:t xml:space="preserve"> </w:t>
      </w:r>
    </w:p>
  </w:footnote>
  <w:footnote w:id="15">
    <w:p w14:paraId="3B6E923C" w14:textId="77777777" w:rsidR="00270890" w:rsidRPr="005237E0" w:rsidRDefault="00270890" w:rsidP="00270890">
      <w:pPr>
        <w:pStyle w:val="FootnoteText"/>
        <w:jc w:val="both"/>
      </w:pPr>
      <w:r w:rsidRPr="005237E0">
        <w:rPr>
          <w:rStyle w:val="FootnoteReference"/>
        </w:rPr>
        <w:footnoteRef/>
      </w:r>
      <w:r w:rsidRPr="005237E0">
        <w:t xml:space="preserve"> </w:t>
      </w:r>
      <w:r w:rsidRPr="005237E0">
        <w:rPr>
          <w:lang w:val="en-US"/>
        </w:rPr>
        <w:t xml:space="preserve">Circular </w:t>
      </w:r>
      <w:r w:rsidRPr="005237E0">
        <w:rPr>
          <w:lang w:val="el-GR"/>
        </w:rPr>
        <w:t>ΔΙΑΔΠ</w:t>
      </w:r>
      <w:r w:rsidRPr="005237E0">
        <w:rPr>
          <w:lang w:val="en-GB"/>
        </w:rPr>
        <w:t>/</w:t>
      </w:r>
      <w:r w:rsidRPr="005237E0">
        <w:rPr>
          <w:lang w:val="el-GR"/>
        </w:rPr>
        <w:t>Π</w:t>
      </w:r>
      <w:r w:rsidRPr="005237E0">
        <w:rPr>
          <w:lang w:val="en-GB"/>
        </w:rPr>
        <w:t>.</w:t>
      </w:r>
      <w:r w:rsidRPr="005237E0">
        <w:rPr>
          <w:lang w:val="el-GR"/>
        </w:rPr>
        <w:t>ΑμεΑ</w:t>
      </w:r>
      <w:r w:rsidRPr="005237E0">
        <w:rPr>
          <w:lang w:val="en-GB"/>
        </w:rPr>
        <w:t>.</w:t>
      </w:r>
      <w:r w:rsidRPr="005237E0">
        <w:rPr>
          <w:lang w:val="el-GR"/>
        </w:rPr>
        <w:t>Φ</w:t>
      </w:r>
      <w:r w:rsidRPr="005237E0">
        <w:rPr>
          <w:lang w:val="en-GB"/>
        </w:rPr>
        <w:t>.3/2.6644/11.03.2008 on Accessibility of public buildings for people with disabilities (</w:t>
      </w:r>
      <w:r w:rsidRPr="005237E0">
        <w:rPr>
          <w:i/>
          <w:lang w:val="el-GR"/>
        </w:rPr>
        <w:t>Εξασφάλιση</w:t>
      </w:r>
      <w:r w:rsidRPr="005237E0">
        <w:rPr>
          <w:i/>
          <w:lang w:val="en-GB"/>
        </w:rPr>
        <w:t xml:space="preserve"> </w:t>
      </w:r>
      <w:r w:rsidRPr="005237E0">
        <w:rPr>
          <w:i/>
          <w:lang w:val="el-GR"/>
        </w:rPr>
        <w:t>της</w:t>
      </w:r>
      <w:r w:rsidRPr="005237E0">
        <w:rPr>
          <w:i/>
          <w:lang w:val="en-GB"/>
        </w:rPr>
        <w:t xml:space="preserve"> </w:t>
      </w:r>
      <w:r w:rsidRPr="005237E0">
        <w:rPr>
          <w:i/>
          <w:lang w:val="el-GR"/>
        </w:rPr>
        <w:t>προσβασιμότητας</w:t>
      </w:r>
      <w:r w:rsidRPr="005237E0">
        <w:rPr>
          <w:i/>
          <w:lang w:val="en-GB"/>
        </w:rPr>
        <w:t xml:space="preserve"> </w:t>
      </w:r>
      <w:r w:rsidRPr="005237E0">
        <w:rPr>
          <w:i/>
          <w:lang w:val="el-GR"/>
        </w:rPr>
        <w:t>των</w:t>
      </w:r>
      <w:r w:rsidRPr="005237E0">
        <w:rPr>
          <w:i/>
          <w:lang w:val="en-GB"/>
        </w:rPr>
        <w:t xml:space="preserve"> </w:t>
      </w:r>
      <w:r w:rsidRPr="005237E0">
        <w:rPr>
          <w:i/>
          <w:lang w:val="el-GR"/>
        </w:rPr>
        <w:t>κτιρίων</w:t>
      </w:r>
      <w:r w:rsidRPr="005237E0">
        <w:rPr>
          <w:i/>
          <w:lang w:val="en-GB"/>
        </w:rPr>
        <w:t xml:space="preserve"> </w:t>
      </w:r>
      <w:r w:rsidRPr="005237E0">
        <w:rPr>
          <w:i/>
          <w:lang w:val="el-GR"/>
        </w:rPr>
        <w:t>των</w:t>
      </w:r>
      <w:r w:rsidRPr="005237E0">
        <w:rPr>
          <w:i/>
          <w:lang w:val="en-GB"/>
        </w:rPr>
        <w:t xml:space="preserve"> </w:t>
      </w:r>
      <w:r w:rsidRPr="005237E0">
        <w:rPr>
          <w:i/>
          <w:lang w:val="el-GR"/>
        </w:rPr>
        <w:t>δημοσίων</w:t>
      </w:r>
      <w:r w:rsidRPr="005237E0">
        <w:rPr>
          <w:i/>
          <w:lang w:val="en-GB"/>
        </w:rPr>
        <w:t xml:space="preserve"> </w:t>
      </w:r>
      <w:r w:rsidRPr="005237E0">
        <w:rPr>
          <w:i/>
          <w:lang w:val="el-GR"/>
        </w:rPr>
        <w:t>υπηρεσιών</w:t>
      </w:r>
      <w:r w:rsidRPr="005237E0">
        <w:rPr>
          <w:i/>
          <w:lang w:val="en-GB"/>
        </w:rPr>
        <w:t xml:space="preserve"> </w:t>
      </w:r>
      <w:r w:rsidRPr="005237E0">
        <w:rPr>
          <w:i/>
          <w:lang w:val="el-GR"/>
        </w:rPr>
        <w:t>στα</w:t>
      </w:r>
      <w:r w:rsidRPr="005237E0">
        <w:rPr>
          <w:i/>
          <w:lang w:val="en-GB"/>
        </w:rPr>
        <w:t xml:space="preserve"> </w:t>
      </w:r>
      <w:r w:rsidRPr="005237E0">
        <w:rPr>
          <w:i/>
          <w:lang w:val="el-GR"/>
        </w:rPr>
        <w:t>Άτομα</w:t>
      </w:r>
      <w:r w:rsidRPr="005237E0">
        <w:rPr>
          <w:i/>
          <w:lang w:val="en-GB"/>
        </w:rPr>
        <w:t xml:space="preserve"> </w:t>
      </w:r>
      <w:r w:rsidRPr="005237E0">
        <w:rPr>
          <w:i/>
          <w:lang w:val="el-GR"/>
        </w:rPr>
        <w:t>με</w:t>
      </w:r>
      <w:r w:rsidRPr="005237E0">
        <w:rPr>
          <w:i/>
          <w:lang w:val="en-GB"/>
        </w:rPr>
        <w:t xml:space="preserve"> </w:t>
      </w:r>
      <w:r w:rsidRPr="005237E0">
        <w:rPr>
          <w:i/>
          <w:lang w:val="el-GR"/>
        </w:rPr>
        <w:t>Αναπηρία</w:t>
      </w:r>
      <w:r w:rsidRPr="005237E0">
        <w:rPr>
          <w:lang w:val="en-GB"/>
        </w:rPr>
        <w:t>)</w:t>
      </w:r>
    </w:p>
  </w:footnote>
  <w:footnote w:id="16">
    <w:p w14:paraId="1BECCBD6" w14:textId="77777777" w:rsidR="00270890" w:rsidRPr="005237E0" w:rsidRDefault="00270890" w:rsidP="00270890">
      <w:pPr>
        <w:pStyle w:val="FootnoteText"/>
        <w:jc w:val="both"/>
        <w:rPr>
          <w:lang w:val="en-US"/>
        </w:rPr>
      </w:pPr>
      <w:r w:rsidRPr="005237E0">
        <w:rPr>
          <w:rStyle w:val="FootnoteReference"/>
        </w:rPr>
        <w:footnoteRef/>
      </w:r>
      <w:r w:rsidRPr="005237E0">
        <w:rPr>
          <w:lang w:val="en-GB"/>
        </w:rPr>
        <w:t xml:space="preserve"> </w:t>
      </w:r>
      <w:r w:rsidRPr="005237E0">
        <w:rPr>
          <w:lang w:val="en-US"/>
        </w:rPr>
        <w:t xml:space="preserve">At that time legislation in force was Law 1577/1985 General Construction Regulations </w:t>
      </w:r>
      <w:r w:rsidRPr="005237E0">
        <w:rPr>
          <w:i/>
          <w:lang w:val="en-US"/>
        </w:rPr>
        <w:t>(</w:t>
      </w:r>
      <w:r w:rsidRPr="005237E0">
        <w:rPr>
          <w:i/>
          <w:lang w:val="el-GR"/>
        </w:rPr>
        <w:t>Γενικός</w:t>
      </w:r>
      <w:r w:rsidRPr="005237E0">
        <w:rPr>
          <w:i/>
          <w:lang w:val="en-GB"/>
        </w:rPr>
        <w:t xml:space="preserve"> </w:t>
      </w:r>
      <w:r w:rsidRPr="005237E0">
        <w:rPr>
          <w:i/>
          <w:lang w:val="el-GR"/>
        </w:rPr>
        <w:t>Οικοδομικός</w:t>
      </w:r>
      <w:r w:rsidRPr="005237E0">
        <w:rPr>
          <w:i/>
          <w:lang w:val="en-GB"/>
        </w:rPr>
        <w:t xml:space="preserve"> </w:t>
      </w:r>
      <w:r w:rsidRPr="005237E0">
        <w:rPr>
          <w:i/>
          <w:lang w:val="el-GR"/>
        </w:rPr>
        <w:t>Κανονισμός</w:t>
      </w:r>
      <w:r w:rsidRPr="005237E0">
        <w:rPr>
          <w:i/>
          <w:lang w:val="en-GB"/>
        </w:rPr>
        <w:t>)</w:t>
      </w:r>
      <w:r w:rsidRPr="005237E0">
        <w:rPr>
          <w:lang w:val="en-GB"/>
        </w:rPr>
        <w:t xml:space="preserve">. </w:t>
      </w:r>
      <w:r w:rsidRPr="005237E0">
        <w:rPr>
          <w:lang w:val="el-GR"/>
        </w:rPr>
        <w:t>Τ</w:t>
      </w:r>
      <w:r w:rsidRPr="005237E0">
        <w:rPr>
          <w:lang w:val="en-US"/>
        </w:rPr>
        <w:t>his legislation was replaced by Law 4067/2012 (OG A79/9.3/2012) New Construction Regulations (</w:t>
      </w:r>
      <w:r w:rsidRPr="005237E0">
        <w:rPr>
          <w:i/>
          <w:lang w:val="en-US"/>
        </w:rPr>
        <w:t xml:space="preserve">Νέος Οικοδομικός Κανονισμός) </w:t>
      </w:r>
      <w:r w:rsidRPr="005237E0">
        <w:rPr>
          <w:lang w:val="en-US"/>
        </w:rPr>
        <w:t xml:space="preserve">that includes a number of provisions on accessibility of buildings and built environment. </w:t>
      </w:r>
    </w:p>
  </w:footnote>
  <w:footnote w:id="17">
    <w:p w14:paraId="7317E84F" w14:textId="77777777" w:rsidR="003A03F9" w:rsidRPr="00E907B1" w:rsidRDefault="003A03F9" w:rsidP="003A03F9">
      <w:pPr>
        <w:pStyle w:val="FootnoteText"/>
        <w:rPr>
          <w:noProof/>
          <w:lang w:val="en-GB"/>
        </w:rPr>
      </w:pPr>
      <w:r w:rsidRPr="00E907B1">
        <w:rPr>
          <w:rStyle w:val="FootnoteReference"/>
          <w:noProof/>
          <w:lang w:val="en-GB"/>
        </w:rPr>
        <w:footnoteRef/>
      </w:r>
      <w:r w:rsidRPr="00E907B1">
        <w:rPr>
          <w:noProof/>
          <w:lang w:val="es-ES"/>
        </w:rPr>
        <w:t xml:space="preserve"> Royal Decree 505/2007, of 20 April, approving the basic conditions for accessibility and non-discrimination for persons with disabilities with regard to the access and use of urbanized public spaces and buildings [</w:t>
      </w:r>
      <w:r w:rsidRPr="00E907B1">
        <w:rPr>
          <w:i/>
          <w:noProof/>
          <w:lang w:val="es-ES"/>
        </w:rPr>
        <w:t>Real Decreto 505/2007, de 20 de abril, por el que se aprueban las condiciones básicas de accesibilidad y no discriminación de las personas con discapacidad para el acceso y utilización de los espacios públicos urbanizados y edificaciones</w:t>
      </w:r>
      <w:r w:rsidRPr="00E907B1">
        <w:rPr>
          <w:noProof/>
          <w:lang w:val="es-ES"/>
        </w:rPr>
        <w:t xml:space="preserve">]. </w:t>
      </w:r>
      <w:r w:rsidRPr="00E907B1">
        <w:rPr>
          <w:noProof/>
          <w:lang w:val="en-GB"/>
        </w:rPr>
        <w:t xml:space="preserve">Consolidated version in Spanish: </w:t>
      </w:r>
      <w:hyperlink r:id="rId8" w:history="1">
        <w:r w:rsidRPr="00E907B1">
          <w:rPr>
            <w:rStyle w:val="Hyperlink"/>
            <w:noProof/>
            <w:lang w:val="en-GB"/>
          </w:rPr>
          <w:t>http://noticias.juridicas.com/base_datos/Admin/rd505-2007.html</w:t>
        </w:r>
      </w:hyperlink>
      <w:r w:rsidRPr="00E907B1">
        <w:rPr>
          <w:noProof/>
          <w:lang w:val="en-GB"/>
        </w:rPr>
        <w:t xml:space="preserve"> (accessed on 20.07.2013). </w:t>
      </w:r>
    </w:p>
  </w:footnote>
  <w:footnote w:id="18">
    <w:p w14:paraId="77380CE1" w14:textId="77777777" w:rsidR="003A03F9" w:rsidRPr="00E907B1" w:rsidRDefault="003A03F9" w:rsidP="003A03F9">
      <w:pPr>
        <w:pStyle w:val="FootnoteText"/>
        <w:rPr>
          <w:noProof/>
          <w:lang w:val="en-GB"/>
        </w:rPr>
      </w:pPr>
      <w:r w:rsidRPr="00E907B1">
        <w:rPr>
          <w:rStyle w:val="FootnoteReference"/>
          <w:noProof/>
          <w:lang w:val="en-GB"/>
        </w:rPr>
        <w:footnoteRef/>
      </w:r>
      <w:r w:rsidRPr="00E907B1">
        <w:rPr>
          <w:noProof/>
          <w:lang w:val="en-GB"/>
        </w:rPr>
        <w:t xml:space="preserve"> Technical Code of Construction [</w:t>
      </w:r>
      <w:r w:rsidRPr="00E907B1">
        <w:rPr>
          <w:i/>
          <w:noProof/>
          <w:lang w:val="en-GB"/>
        </w:rPr>
        <w:t>Código Técnico de Edificación (CTE)</w:t>
      </w:r>
      <w:r w:rsidRPr="00E907B1">
        <w:rPr>
          <w:noProof/>
          <w:lang w:val="en-GB"/>
        </w:rPr>
        <w:t xml:space="preserve">]: </w:t>
      </w:r>
      <w:hyperlink r:id="rId9" w:history="1">
        <w:r w:rsidRPr="00E907B1">
          <w:rPr>
            <w:rStyle w:val="Hyperlink"/>
            <w:noProof/>
            <w:lang w:val="en-GB"/>
          </w:rPr>
          <w:t>www.codigotecnico.org/web/recursos/documentos/dbsu/su9/010.html</w:t>
        </w:r>
      </w:hyperlink>
      <w:r w:rsidRPr="00E907B1">
        <w:rPr>
          <w:noProof/>
          <w:lang w:val="en-GB"/>
        </w:rPr>
        <w:t xml:space="preserve"> (accessed on 06/09/2013).</w:t>
      </w:r>
    </w:p>
  </w:footnote>
  <w:footnote w:id="19">
    <w:p w14:paraId="3C5304CE" w14:textId="77777777" w:rsidR="003A03F9" w:rsidRPr="00E907B1" w:rsidRDefault="003A03F9" w:rsidP="003A03F9">
      <w:pPr>
        <w:pStyle w:val="FootnoteText"/>
        <w:rPr>
          <w:noProof/>
          <w:lang w:val="en-GB"/>
        </w:rPr>
      </w:pPr>
      <w:r w:rsidRPr="00E907B1">
        <w:rPr>
          <w:rStyle w:val="FootnoteReference"/>
          <w:noProof/>
          <w:lang w:val="en-GB"/>
        </w:rPr>
        <w:footnoteRef/>
      </w:r>
      <w:r w:rsidRPr="00E907B1">
        <w:rPr>
          <w:noProof/>
          <w:lang w:val="en-GB"/>
        </w:rPr>
        <w:t xml:space="preserve"> See: </w:t>
      </w:r>
      <w:hyperlink r:id="rId10" w:anchor="5" w:history="1">
        <w:r w:rsidRPr="00E907B1">
          <w:rPr>
            <w:rStyle w:val="Hyperlink"/>
            <w:noProof/>
            <w:lang w:val="en-GB"/>
          </w:rPr>
          <w:t>www.ine.es/inebmenu/mnu_construc.htm#5</w:t>
        </w:r>
      </w:hyperlink>
      <w:r w:rsidRPr="00E907B1">
        <w:rPr>
          <w:noProof/>
          <w:lang w:val="en-GB"/>
        </w:rPr>
        <w:t xml:space="preserve"> (accessed on 20/07/2013).</w:t>
      </w:r>
    </w:p>
  </w:footnote>
  <w:footnote w:id="20">
    <w:p w14:paraId="29C29E0E" w14:textId="77777777" w:rsidR="003A03F9" w:rsidRPr="00C320A6" w:rsidRDefault="003A03F9" w:rsidP="003A03F9">
      <w:pPr>
        <w:pStyle w:val="FootnoteText"/>
        <w:jc w:val="both"/>
        <w:rPr>
          <w:lang w:val="en-GB"/>
        </w:rPr>
      </w:pPr>
      <w:r w:rsidRPr="00C320A6">
        <w:rPr>
          <w:rStyle w:val="FootnoteReference"/>
        </w:rPr>
        <w:footnoteRef/>
      </w:r>
      <w:r w:rsidRPr="00C320A6">
        <w:t xml:space="preserve"> </w:t>
      </w:r>
      <w:r>
        <w:t>Information obtained from the</w:t>
      </w:r>
      <w:r w:rsidRPr="00C320A6">
        <w:t xml:space="preserve"> Design for All -programme, The National I</w:t>
      </w:r>
      <w:r>
        <w:t>nstitute for Health and We</w:t>
      </w:r>
      <w:r w:rsidRPr="00DD1056">
        <w:t>lfare</w:t>
      </w:r>
      <w:r w:rsidRPr="00BA4C7C">
        <w:t xml:space="preserve"> </w:t>
      </w:r>
      <w:r w:rsidRPr="00507636">
        <w:rPr>
          <w:rFonts w:eastAsia="Calibri" w:cs="Times New Roman"/>
          <w:lang w:val="en-GB" w:bidi="en-US"/>
        </w:rPr>
        <w:t>(</w:t>
      </w:r>
      <w:r w:rsidRPr="00507636">
        <w:rPr>
          <w:rFonts w:eastAsia="Calibri" w:cs="Times New Roman"/>
          <w:i/>
          <w:lang w:val="en-GB" w:bidi="en-US"/>
        </w:rPr>
        <w:t>Terveyden ja hyvinvoinnen laitos, THL/Institutet för Hälsa och Välfärd, THL</w:t>
      </w:r>
      <w:r w:rsidRPr="00507636">
        <w:rPr>
          <w:rFonts w:eastAsia="Calibri" w:cs="Times New Roman"/>
          <w:lang w:val="en-GB" w:bidi="en-US"/>
        </w:rPr>
        <w:t>)</w:t>
      </w:r>
      <w:r w:rsidRPr="00DD1056">
        <w:t>.</w:t>
      </w:r>
    </w:p>
  </w:footnote>
  <w:footnote w:id="21">
    <w:p w14:paraId="2A365781" w14:textId="77777777" w:rsidR="003A03F9" w:rsidRPr="006E30A5" w:rsidRDefault="003A03F9" w:rsidP="003A03F9">
      <w:pPr>
        <w:pStyle w:val="FootnoteText"/>
        <w:jc w:val="both"/>
        <w:rPr>
          <w:lang w:val="en-US"/>
        </w:rPr>
      </w:pPr>
      <w:r w:rsidRPr="006E30A5">
        <w:rPr>
          <w:rStyle w:val="FootnoteReference"/>
        </w:rPr>
        <w:footnoteRef/>
      </w:r>
      <w:r w:rsidRPr="006E30A5">
        <w:t xml:space="preserve"> The Ministry of the Environment (</w:t>
      </w:r>
      <w:r w:rsidRPr="006E30A5">
        <w:rPr>
          <w:i/>
        </w:rPr>
        <w:t>Ympäristöministeriö/Miljöministeriet</w:t>
      </w:r>
      <w:r w:rsidRPr="006E30A5">
        <w:t>), F1, Finland’s building regulations collection, accessible buildings (F1 SUOMEN RAKENTAMISMÄÄRÄYSKOKOELMA, esteetön rakennus), published in 2005, available in Finnish at (accessed 28.8.2013):</w:t>
      </w:r>
      <w:r w:rsidRPr="006E30A5">
        <w:rPr>
          <w:rFonts w:cs="Times New Roman"/>
          <w:lang w:val="en-US"/>
        </w:rPr>
        <w:t xml:space="preserve"> http://www.finlex.fi/data/normit/28203-F1su2005.pdf</w:t>
      </w:r>
    </w:p>
  </w:footnote>
  <w:footnote w:id="22">
    <w:p w14:paraId="01C7B03B" w14:textId="77777777" w:rsidR="003A03F9" w:rsidRPr="006E30A5" w:rsidRDefault="003A03F9" w:rsidP="006E30A5">
      <w:pPr>
        <w:spacing w:after="0"/>
        <w:rPr>
          <w:sz w:val="20"/>
          <w:szCs w:val="20"/>
          <w:lang w:val="en-GB"/>
        </w:rPr>
      </w:pPr>
      <w:r w:rsidRPr="006E30A5">
        <w:rPr>
          <w:rStyle w:val="FootnoteReference"/>
          <w:sz w:val="20"/>
          <w:szCs w:val="20"/>
        </w:rPr>
        <w:footnoteRef/>
      </w:r>
      <w:r w:rsidRPr="006E30A5">
        <w:rPr>
          <w:sz w:val="20"/>
          <w:szCs w:val="20"/>
        </w:rPr>
        <w:t xml:space="preserve"> Finland’s Disability Policy Programme 2010–2015 ( </w:t>
      </w:r>
      <w:r w:rsidRPr="006E30A5">
        <w:rPr>
          <w:i/>
          <w:sz w:val="20"/>
          <w:szCs w:val="20"/>
        </w:rPr>
        <w:t>Vammaispoliittinen ohjelma 2010–2015,VAMPO/ Finlands handikappolitiska program 2010–2015, VAMPO</w:t>
      </w:r>
      <w:r w:rsidRPr="006E30A5">
        <w:rPr>
          <w:sz w:val="20"/>
          <w:szCs w:val="20"/>
        </w:rPr>
        <w:t xml:space="preserve">). Available at (accessed 29.7.2013): </w:t>
      </w:r>
      <w:hyperlink r:id="rId11" w:history="1">
        <w:r w:rsidRPr="006E30A5">
          <w:rPr>
            <w:rStyle w:val="Hyperlink"/>
            <w:sz w:val="20"/>
            <w:szCs w:val="20"/>
          </w:rPr>
          <w:t>http://www.stm.fi/c/document_library/get_file?folderId=1087414&amp;name=DLFE-12157.pdf</w:t>
        </w:r>
      </w:hyperlink>
      <w:r w:rsidRPr="006E30A5">
        <w:rPr>
          <w:rStyle w:val="Hyperlink"/>
          <w:sz w:val="20"/>
          <w:szCs w:val="20"/>
        </w:rPr>
        <w:t xml:space="preserve"> </w:t>
      </w:r>
      <w:r w:rsidRPr="006E30A5">
        <w:rPr>
          <w:sz w:val="20"/>
          <w:szCs w:val="20"/>
        </w:rPr>
        <w:t>and Konttinen, Juha-Pekka (ed.): The first evaluation report of Finland’s Disability Policy Programme 2010–2015 (</w:t>
      </w:r>
      <w:r w:rsidRPr="006E30A5">
        <w:rPr>
          <w:i/>
          <w:sz w:val="20"/>
          <w:szCs w:val="20"/>
        </w:rPr>
        <w:t>VAMPO-seurantaraportti I, Katsaus Suomen vammaispoliittisen ohjelman (VAMPO) 2010–2015 toimeenpanon tilanteeseen</w:t>
      </w:r>
      <w:r w:rsidRPr="006E30A5">
        <w:rPr>
          <w:sz w:val="20"/>
          <w:szCs w:val="20"/>
        </w:rPr>
        <w:t xml:space="preserve">), working paper (työpaperi), published in 2013, pages 28-29. Available in Finnish at (accessed 8.8.2013): </w:t>
      </w:r>
      <w:hyperlink r:id="rId12" w:history="1">
        <w:r w:rsidRPr="006E30A5">
          <w:rPr>
            <w:rStyle w:val="Hyperlink"/>
            <w:rFonts w:eastAsia="Calibri" w:cs="Times New Roman"/>
            <w:sz w:val="20"/>
            <w:szCs w:val="20"/>
            <w:lang w:bidi="en-US"/>
          </w:rPr>
          <w:t>www.julkari.fi/bitstream/handle/10024/110226/URN_ISBN_978-952-245-955-8.pdf?sequence=1</w:t>
        </w:r>
      </w:hyperlink>
    </w:p>
  </w:footnote>
  <w:footnote w:id="23">
    <w:p w14:paraId="145BBFDF" w14:textId="77777777" w:rsidR="006E30A5" w:rsidRPr="006E30A5" w:rsidRDefault="006E30A5" w:rsidP="006E30A5">
      <w:pPr>
        <w:spacing w:after="0"/>
        <w:rPr>
          <w:sz w:val="20"/>
          <w:szCs w:val="20"/>
        </w:rPr>
      </w:pPr>
      <w:r w:rsidRPr="006E30A5">
        <w:rPr>
          <w:rStyle w:val="FootnoteReference"/>
          <w:sz w:val="20"/>
          <w:szCs w:val="20"/>
        </w:rPr>
        <w:footnoteRef/>
      </w:r>
      <w:r w:rsidRPr="006E30A5">
        <w:rPr>
          <w:sz w:val="20"/>
          <w:szCs w:val="20"/>
        </w:rPr>
        <w:t xml:space="preserve"> Report on the application of the accessibility rules for people with disabilities to buildings, General Inspector of Social Affairs (</w:t>
      </w:r>
      <w:r w:rsidRPr="006E30A5">
        <w:rPr>
          <w:i/>
          <w:sz w:val="20"/>
          <w:szCs w:val="20"/>
        </w:rPr>
        <w:t xml:space="preserve">Inspection générale des affaires sociales, </w:t>
      </w:r>
      <w:r w:rsidRPr="006E30A5">
        <w:rPr>
          <w:sz w:val="20"/>
          <w:szCs w:val="20"/>
        </w:rPr>
        <w:t>IGAS), 2012. Available at: www.ladocumentationfrancaise.fr/rapports-publics/124000498/index.shtml</w:t>
      </w:r>
      <w:r w:rsidRPr="006E30A5" w:rsidDel="009710D0">
        <w:rPr>
          <w:rFonts w:ascii="Verdana" w:hAnsi="Verdana"/>
          <w:sz w:val="20"/>
          <w:szCs w:val="20"/>
        </w:rPr>
        <w:t xml:space="preserve"> </w:t>
      </w:r>
    </w:p>
  </w:footnote>
  <w:footnote w:id="24">
    <w:p w14:paraId="1EDC7C3F" w14:textId="77777777" w:rsidR="006E30A5" w:rsidRPr="006E30A5" w:rsidRDefault="006E30A5" w:rsidP="006E30A5">
      <w:pPr>
        <w:spacing w:after="0"/>
        <w:rPr>
          <w:sz w:val="20"/>
          <w:szCs w:val="20"/>
        </w:rPr>
      </w:pPr>
      <w:r w:rsidRPr="006E30A5">
        <w:rPr>
          <w:rStyle w:val="FootnoteReference"/>
          <w:sz w:val="20"/>
          <w:szCs w:val="20"/>
        </w:rPr>
        <w:footnoteRef/>
      </w:r>
      <w:r w:rsidRPr="006E30A5">
        <w:rPr>
          <w:rFonts w:eastAsia="Calibri" w:cs="Times New Roman"/>
          <w:sz w:val="20"/>
          <w:szCs w:val="20"/>
          <w:lang w:val="en-GB"/>
        </w:rPr>
        <w:t xml:space="preserve"> Report of the Interministerial Observatory on accessibility and universal design, for the Prime Minister, 2012. Available at:  </w:t>
      </w:r>
      <w:hyperlink r:id="rId13" w:history="1">
        <w:r w:rsidRPr="006E30A5">
          <w:rPr>
            <w:rStyle w:val="Hyperlink"/>
            <w:sz w:val="20"/>
            <w:szCs w:val="20"/>
          </w:rPr>
          <w:t>www.territoires.gouv.fr/IMG/pdf/Rapport_Obiacu_2012.pdf</w:t>
        </w:r>
      </w:hyperlink>
    </w:p>
  </w:footnote>
  <w:footnote w:id="25">
    <w:p w14:paraId="0B973EA4" w14:textId="77777777" w:rsidR="006E30A5" w:rsidRPr="00592E46" w:rsidRDefault="006E30A5" w:rsidP="006E30A5">
      <w:pPr>
        <w:pStyle w:val="FootnoteText"/>
        <w:jc w:val="both"/>
      </w:pPr>
      <w:r w:rsidRPr="006E30A5">
        <w:rPr>
          <w:rStyle w:val="FootnoteReference"/>
        </w:rPr>
        <w:footnoteRef/>
      </w:r>
      <w:r w:rsidRPr="006E30A5">
        <w:t>Interministerial Circular (to local officers) about accessibility for people with disabilities, 3 January 2013, available at: www.circulaire.legifrance.gouv.fr/pdf/2013/01/cir_36392.pdf.</w:t>
      </w:r>
    </w:p>
  </w:footnote>
  <w:footnote w:id="26">
    <w:p w14:paraId="246DFB27" w14:textId="77777777" w:rsidR="006E30A5" w:rsidRPr="00C531D7" w:rsidRDefault="006E30A5" w:rsidP="006E30A5">
      <w:pPr>
        <w:pStyle w:val="FootnoteText"/>
        <w:jc w:val="both"/>
        <w:rPr>
          <w:rFonts w:cs="Times New Roman"/>
          <w:lang w:val="en-GB"/>
        </w:rPr>
      </w:pPr>
      <w:r w:rsidRPr="00C531D7">
        <w:rPr>
          <w:rStyle w:val="FootnoteReference"/>
          <w:rFonts w:cs="Times New Roman"/>
        </w:rPr>
        <w:footnoteRef/>
      </w:r>
      <w:r>
        <w:rPr>
          <w:rFonts w:cs="Times New Roman"/>
        </w:rPr>
        <w:t xml:space="preserve"> Information obtained from the</w:t>
      </w:r>
      <w:r w:rsidRPr="00C531D7">
        <w:rPr>
          <w:rFonts w:cs="Times New Roman"/>
        </w:rPr>
        <w:t xml:space="preserve"> </w:t>
      </w:r>
      <w:r w:rsidRPr="00C531D7">
        <w:rPr>
          <w:rFonts w:cs="Times New Roman"/>
          <w:lang w:val="en-GB"/>
        </w:rPr>
        <w:t>Ministry of Public Administration (</w:t>
      </w:r>
      <w:r w:rsidRPr="00C531D7">
        <w:rPr>
          <w:rFonts w:cs="Times New Roman"/>
          <w:i/>
          <w:lang w:val="en-GB"/>
        </w:rPr>
        <w:t>Ministarstvo javne uprave</w:t>
      </w:r>
      <w:r w:rsidRPr="00C531D7">
        <w:rPr>
          <w:rFonts w:cs="Times New Roman"/>
          <w:lang w:val="en-GB"/>
        </w:rPr>
        <w:t xml:space="preserve">) (2013). </w:t>
      </w:r>
    </w:p>
  </w:footnote>
  <w:footnote w:id="27">
    <w:p w14:paraId="2A48D638" w14:textId="77777777" w:rsidR="006E30A5" w:rsidRPr="00C531D7" w:rsidRDefault="006E30A5" w:rsidP="006E30A5">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Information obtained from the</w:t>
      </w:r>
      <w:r w:rsidRPr="00C531D7">
        <w:rPr>
          <w:rFonts w:eastAsia="Calibri" w:cs="Times New Roman"/>
          <w:lang w:val="en-GB"/>
        </w:rPr>
        <w:t xml:space="preserve"> Croatian Union of Counties (</w:t>
      </w:r>
      <w:r w:rsidRPr="00C531D7">
        <w:rPr>
          <w:rFonts w:eastAsia="Calibri" w:cs="Times New Roman"/>
          <w:i/>
          <w:lang w:val="en-GB"/>
        </w:rPr>
        <w:t>Hrvatska zajednica županija</w:t>
      </w:r>
      <w:r w:rsidRPr="00C531D7">
        <w:rPr>
          <w:rFonts w:eastAsia="Calibri" w:cs="Times New Roman"/>
          <w:lang w:val="en-GB"/>
        </w:rPr>
        <w:t xml:space="preserve">) (2013). </w:t>
      </w:r>
    </w:p>
  </w:footnote>
  <w:footnote w:id="28">
    <w:p w14:paraId="474EEE05" w14:textId="77777777" w:rsidR="006E30A5" w:rsidRPr="00C531D7" w:rsidRDefault="006E30A5" w:rsidP="006E30A5">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Information obtained from the</w:t>
      </w:r>
      <w:r w:rsidRPr="00C531D7">
        <w:rPr>
          <w:rFonts w:eastAsia="Calibri" w:cs="Times New Roman"/>
          <w:lang w:val="en-GB"/>
        </w:rPr>
        <w:t xml:space="preserve"> Association of towns in the Republic of Croatia (</w:t>
      </w:r>
      <w:r w:rsidRPr="00C531D7">
        <w:rPr>
          <w:rFonts w:eastAsia="Calibri" w:cs="Times New Roman"/>
          <w:i/>
          <w:lang w:val="en-GB"/>
        </w:rPr>
        <w:t>Udruga gradova u Republici Hrvatskoj</w:t>
      </w:r>
      <w:r w:rsidRPr="00C531D7">
        <w:rPr>
          <w:rFonts w:eastAsia="Calibri" w:cs="Times New Roman"/>
          <w:lang w:val="en-GB"/>
        </w:rPr>
        <w:t xml:space="preserve">) (2013) </w:t>
      </w:r>
    </w:p>
  </w:footnote>
  <w:footnote w:id="29">
    <w:p w14:paraId="3A0E2130" w14:textId="77777777" w:rsidR="006E30A5" w:rsidRPr="00C531D7" w:rsidRDefault="006E30A5" w:rsidP="006E30A5">
      <w:pPr>
        <w:pStyle w:val="FootnoteText"/>
        <w:jc w:val="both"/>
        <w:rPr>
          <w:lang w:val="hr-HR"/>
        </w:rPr>
      </w:pPr>
      <w:r w:rsidRPr="00C531D7">
        <w:rPr>
          <w:rStyle w:val="FootnoteReference"/>
        </w:rPr>
        <w:footnoteRef/>
      </w:r>
      <w:r w:rsidRPr="00C531D7">
        <w:t xml:space="preserve"> </w:t>
      </w:r>
      <w:r w:rsidRPr="00C531D7">
        <w:rPr>
          <w:rFonts w:cs="Times New Roman"/>
          <w:lang w:val="en-GB"/>
        </w:rPr>
        <w:t>Please note that the term accessibility is typically colloquially understood to refer to wheelchair access, and that data reported likely also refers, at least in part, to accessibility to persons with physical/motoric impairment.</w:t>
      </w:r>
    </w:p>
  </w:footnote>
  <w:footnote w:id="30">
    <w:p w14:paraId="4B1C1371" w14:textId="77777777" w:rsidR="006E30A5" w:rsidRPr="00C531D7" w:rsidRDefault="006E30A5" w:rsidP="006E30A5">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sidRPr="00C531D7">
        <w:rPr>
          <w:rFonts w:cs="Times New Roman"/>
          <w:lang w:val="en-GB"/>
        </w:rPr>
        <w:t>Data on municipalities available at: http://www.uprava.hr/default.aspx?id=12.</w:t>
      </w:r>
    </w:p>
  </w:footnote>
  <w:footnote w:id="31">
    <w:p w14:paraId="0F22AA33" w14:textId="77777777" w:rsidR="006E30A5" w:rsidRPr="00C531D7" w:rsidRDefault="006E30A5" w:rsidP="006E30A5">
      <w:pPr>
        <w:pStyle w:val="FootnoteText"/>
        <w:contextualSpacing/>
        <w:jc w:val="both"/>
      </w:pPr>
      <w:r w:rsidRPr="00C531D7">
        <w:rPr>
          <w:rStyle w:val="FootnoteReference"/>
        </w:rPr>
        <w:footnoteRef/>
      </w:r>
      <w:r w:rsidRPr="00C531D7">
        <w:t xml:space="preserve"> According to Art. 7 of the Ordinance on ensuring accessibility of buildings to persons with disability and persons with limited mobility (</w:t>
      </w:r>
      <w:r w:rsidRPr="00C531D7">
        <w:rPr>
          <w:rStyle w:val="Strong"/>
          <w:i/>
        </w:rPr>
        <w:t xml:space="preserve">Pravilnik o osiguranju pristupačnosti </w:t>
      </w:r>
      <w:r w:rsidRPr="007B7876">
        <w:t xml:space="preserve">građevina osobama s invaliditetom i smanjenom pokretljivosti), Official Gazzete (Narodne novine) Nos. </w:t>
      </w:r>
      <w:r w:rsidRPr="00C531D7">
        <w:t xml:space="preserve">151/05, 61/07, </w:t>
      </w:r>
      <w:r w:rsidRPr="007B7876">
        <w:t>mandatory elements of accessibility include: elements of accessibility in terms of overcoming differences in elevation; elements of accessibility connected to independent living; and, elements of accessibility related to public transport.</w:t>
      </w:r>
    </w:p>
  </w:footnote>
  <w:footnote w:id="32">
    <w:p w14:paraId="3FE81954" w14:textId="77777777" w:rsidR="006E30A5" w:rsidRPr="00C531D7" w:rsidRDefault="006E30A5" w:rsidP="006E30A5">
      <w:pPr>
        <w:pStyle w:val="FootnoteText"/>
        <w:contextualSpacing/>
        <w:jc w:val="both"/>
        <w:rPr>
          <w:rFonts w:cs="Times New Roman"/>
          <w:lang w:val="en-GB"/>
        </w:rPr>
      </w:pPr>
      <w:r w:rsidRPr="007B7876">
        <w:rPr>
          <w:rStyle w:val="FootnoteReference"/>
        </w:rPr>
        <w:footnoteRef/>
      </w:r>
      <w:r w:rsidRPr="007B7876">
        <w:rPr>
          <w:rStyle w:val="FootnoteReference"/>
        </w:rPr>
        <w:t xml:space="preserve"> </w:t>
      </w:r>
      <w:r>
        <w:t>I</w:t>
      </w:r>
      <w:r w:rsidRPr="007B7876">
        <w:t>nformation</w:t>
      </w:r>
      <w:r>
        <w:rPr>
          <w:rFonts w:cs="Times New Roman"/>
        </w:rPr>
        <w:t xml:space="preserve"> obtained from the </w:t>
      </w:r>
      <w:r w:rsidRPr="00C531D7">
        <w:rPr>
          <w:rFonts w:cs="Times New Roman"/>
          <w:lang w:val="en-GB"/>
        </w:rPr>
        <w:t>Association of Municipalities (</w:t>
      </w:r>
      <w:r w:rsidRPr="00C531D7">
        <w:rPr>
          <w:rFonts w:cs="Times New Roman"/>
          <w:i/>
          <w:lang w:val="en-GB"/>
        </w:rPr>
        <w:t>Udruga općina</w:t>
      </w:r>
      <w:r w:rsidRPr="00C531D7">
        <w:rPr>
          <w:rFonts w:cs="Times New Roman"/>
          <w:lang w:val="en-GB"/>
        </w:rPr>
        <w:t xml:space="preserve">) (2013). </w:t>
      </w:r>
    </w:p>
  </w:footnote>
  <w:footnote w:id="33">
    <w:p w14:paraId="2273975C" w14:textId="77777777" w:rsidR="006E30A5" w:rsidRPr="00AA3A39" w:rsidRDefault="006E30A5" w:rsidP="006E30A5">
      <w:pPr>
        <w:pStyle w:val="FootnoteText"/>
        <w:jc w:val="both"/>
        <w:rPr>
          <w:bCs/>
          <w:lang w:val="hu-HU"/>
        </w:rPr>
      </w:pPr>
      <w:r w:rsidRPr="00AA3A39">
        <w:rPr>
          <w:rStyle w:val="FootnoteReference"/>
          <w:lang w:val="en-GB"/>
        </w:rPr>
        <w:footnoteRef/>
      </w:r>
      <w:r w:rsidRPr="00AA3A39">
        <w:rPr>
          <w:lang w:val="hu-HU"/>
        </w:rPr>
        <w:t xml:space="preserve"> Hungary, </w:t>
      </w:r>
      <w:hyperlink r:id="rId14" w:history="1">
        <w:r w:rsidRPr="00AA3A39">
          <w:rPr>
            <w:rStyle w:val="Hyperlink"/>
            <w:lang w:val="hu-HU"/>
          </w:rPr>
          <w:t>HVG.hu</w:t>
        </w:r>
      </w:hyperlink>
      <w:r w:rsidRPr="00AA3A39">
        <w:rPr>
          <w:lang w:val="hu-HU"/>
        </w:rPr>
        <w:t xml:space="preserve"> (14 May 2013) </w:t>
      </w:r>
      <w:r w:rsidRPr="00AA3A39">
        <w:rPr>
          <w:lang w:val="en-US"/>
        </w:rPr>
        <w:t>Deadlines for complying with accessibility requirements are not set out by an Act of Parliament (</w:t>
      </w:r>
      <w:r w:rsidRPr="00AA3A39">
        <w:rPr>
          <w:bCs/>
          <w:i/>
          <w:lang w:val="hu-HU"/>
        </w:rPr>
        <w:t>Nem törvényben rögzítik az akadálymentesítési határidőket)</w:t>
      </w:r>
      <w:r w:rsidRPr="00AA3A39">
        <w:rPr>
          <w:bCs/>
          <w:lang w:val="hu-HU"/>
        </w:rPr>
        <w:t>,</w:t>
      </w:r>
      <w:r w:rsidRPr="00AA3A39">
        <w:rPr>
          <w:lang w:val="hu-HU"/>
        </w:rPr>
        <w:t xml:space="preserve"> </w:t>
      </w:r>
      <w:hyperlink r:id="rId15" w:history="1">
        <w:r w:rsidRPr="00AA3A39">
          <w:rPr>
            <w:rStyle w:val="Hyperlink"/>
            <w:lang w:val="hu-HU"/>
          </w:rPr>
          <w:t>www.vg.hu/vallalatok/egeszsegugy/nem-torvenyben-rogzitik-az-akadalymentesitesi-hataridoket-403588</w:t>
        </w:r>
      </w:hyperlink>
      <w:r w:rsidRPr="00AA3A39">
        <w:rPr>
          <w:lang w:val="hu-HU"/>
        </w:rPr>
        <w:t xml:space="preserve">. </w:t>
      </w:r>
      <w:r w:rsidRPr="00AA3A39">
        <w:t>There is no official data available, this is an estimation only.</w:t>
      </w:r>
    </w:p>
  </w:footnote>
  <w:footnote w:id="34">
    <w:p w14:paraId="47826084" w14:textId="77777777" w:rsidR="006E30A5" w:rsidRPr="00AA3A39" w:rsidRDefault="006E30A5" w:rsidP="006E30A5">
      <w:pPr>
        <w:pStyle w:val="FootnoteText"/>
        <w:jc w:val="both"/>
        <w:rPr>
          <w:lang w:val="en-GB"/>
        </w:rPr>
      </w:pPr>
      <w:r w:rsidRPr="00AA3A39">
        <w:rPr>
          <w:rStyle w:val="FootnoteReference"/>
        </w:rPr>
        <w:footnoteRef/>
      </w:r>
      <w:r w:rsidRPr="00AA3A39">
        <w:t xml:space="preserve"> Hungary, Hungarian Disability Caucus, </w:t>
      </w:r>
      <w:r w:rsidRPr="00AA3A39">
        <w:rPr>
          <w:i/>
          <w:lang w:val="en-GB"/>
        </w:rPr>
        <w:t>Additional information about Hungary’s compliance with the UN Convention on the Rights of Persons with Disabilities, with respect to the List of Issues and Replies from the Government of Hungary to the List of issues</w:t>
      </w:r>
      <w:r w:rsidRPr="00AA3A39">
        <w:rPr>
          <w:lang w:val="en-GB"/>
        </w:rPr>
        <w:t>, 5 September 2012, p. 6., available at:</w:t>
      </w:r>
    </w:p>
    <w:p w14:paraId="6FBD755A" w14:textId="77777777" w:rsidR="006E30A5" w:rsidRPr="00AA3A39" w:rsidRDefault="00B65FC4" w:rsidP="006E30A5">
      <w:pPr>
        <w:pStyle w:val="FootnoteText"/>
        <w:jc w:val="both"/>
        <w:rPr>
          <w:lang w:val="hu-HU"/>
        </w:rPr>
      </w:pPr>
      <w:hyperlink r:id="rId16" w:history="1">
        <w:r w:rsidR="006E30A5" w:rsidRPr="00AA3A39">
          <w:rPr>
            <w:rStyle w:val="Hyperlink"/>
            <w:lang w:val="en-GB"/>
          </w:rPr>
          <w:t>www.ohchr.org/EN/HRBodies/CRPD/Pages/Session8.aspx</w:t>
        </w:r>
      </w:hyperlink>
      <w:r w:rsidR="006E30A5" w:rsidRPr="00AA3A39">
        <w:rPr>
          <w:lang w:val="en-GB"/>
        </w:rPr>
        <w:t>.</w:t>
      </w:r>
    </w:p>
  </w:footnote>
  <w:footnote w:id="35">
    <w:p w14:paraId="524BEFE3" w14:textId="77777777" w:rsidR="006E30A5" w:rsidRPr="00AA3A39" w:rsidRDefault="006E30A5" w:rsidP="006E30A5">
      <w:pPr>
        <w:pStyle w:val="FootnoteText"/>
        <w:jc w:val="both"/>
        <w:rPr>
          <w:lang w:val="en-GB"/>
        </w:rPr>
      </w:pPr>
      <w:r w:rsidRPr="00AA3A39">
        <w:rPr>
          <w:rStyle w:val="FootnoteReference"/>
          <w:lang w:val="en-GB"/>
        </w:rPr>
        <w:footnoteRef/>
      </w:r>
      <w:r w:rsidRPr="00AA3A39">
        <w:rPr>
          <w:lang w:val="en-GB"/>
        </w:rPr>
        <w:t>Replies submitted by the Government of Hungary to the list of issues (CRPD/C/HUN/Q/1) to be taken up during the consideration of the initial report of Hungary (CRPD/C/HUN/1), 6 July 2012, p. 5., available at</w:t>
      </w:r>
      <w:r w:rsidRPr="00AA3A39">
        <w:t>;:</w:t>
      </w:r>
      <w:hyperlink r:id="rId17" w:history="1">
        <w:r w:rsidRPr="00AA3A39">
          <w:rPr>
            <w:rStyle w:val="Hyperlink"/>
            <w:lang w:val="en-GB"/>
          </w:rPr>
          <w:t>www.ohchr.org/EN/HRBodies/CRPD/Pages/Session8.aspx</w:t>
        </w:r>
      </w:hyperlink>
      <w:r w:rsidRPr="00AA3A39">
        <w:rPr>
          <w:lang w:val="en-GB"/>
        </w:rPr>
        <w:t>.</w:t>
      </w:r>
    </w:p>
  </w:footnote>
  <w:footnote w:id="36">
    <w:p w14:paraId="521B7CD1" w14:textId="77777777" w:rsidR="006E30A5" w:rsidRPr="000A1566" w:rsidRDefault="006E30A5" w:rsidP="006E30A5">
      <w:pPr>
        <w:pStyle w:val="FootnoteText"/>
        <w:jc w:val="both"/>
      </w:pPr>
      <w:r w:rsidRPr="000A1566">
        <w:rPr>
          <w:rStyle w:val="FootnoteReference"/>
        </w:rPr>
        <w:footnoteRef/>
      </w:r>
      <w:r w:rsidRPr="000A1566">
        <w:t xml:space="preserve"> See further Department of Environment Building Standards available at  </w:t>
      </w:r>
      <w:hyperlink r:id="rId18" w:history="1">
        <w:r w:rsidRPr="000A1566">
          <w:rPr>
            <w:rStyle w:val="Hyperlink"/>
          </w:rPr>
          <w:t>www.environ.ie/en/developmenthousing/buildingstandards</w:t>
        </w:r>
      </w:hyperlink>
      <w:r w:rsidRPr="000A1566">
        <w:t xml:space="preserve"> (accessed on 13 September 2013).</w:t>
      </w:r>
    </w:p>
  </w:footnote>
  <w:footnote w:id="37">
    <w:p w14:paraId="3C5E6904" w14:textId="77777777" w:rsidR="00D37B92" w:rsidRPr="0064227B" w:rsidRDefault="00D37B92" w:rsidP="0064227B">
      <w:pPr>
        <w:pStyle w:val="FootnoteText"/>
      </w:pPr>
      <w:r w:rsidRPr="0064227B">
        <w:rPr>
          <w:rStyle w:val="FootnoteReference"/>
        </w:rPr>
        <w:footnoteRef/>
      </w:r>
      <w:r w:rsidRPr="0064227B">
        <w:t xml:space="preserve"> F.I.A.B.A confirmed that there are no comparable data. FIABA is an Italian NGO active in promoting </w:t>
      </w:r>
      <w:r>
        <w:t>removal</w:t>
      </w:r>
      <w:r w:rsidRPr="0064227B">
        <w:t xml:space="preserve"> of architect</w:t>
      </w:r>
      <w:r>
        <w:t>ural</w:t>
      </w:r>
      <w:r w:rsidRPr="0064227B">
        <w:t xml:space="preserve"> barriers in Italy. A few regions and cities </w:t>
      </w:r>
      <w:r>
        <w:t xml:space="preserve">monitor </w:t>
      </w:r>
      <w:r w:rsidRPr="0064227B">
        <w:t xml:space="preserve">accessibility. Also national and local associations are committed </w:t>
      </w:r>
      <w:r>
        <w:t>to such</w:t>
      </w:r>
      <w:r w:rsidRPr="0064227B">
        <w:t xml:space="preserve"> monitoring, but data are not merged </w:t>
      </w:r>
      <w:r>
        <w:t>for</w:t>
      </w:r>
      <w:r w:rsidRPr="0064227B">
        <w:t xml:space="preserve"> a </w:t>
      </w:r>
      <w:r>
        <w:t>comprehensive national picture</w:t>
      </w:r>
      <w:r w:rsidRPr="0064227B">
        <w:t>.</w:t>
      </w:r>
    </w:p>
  </w:footnote>
  <w:footnote w:id="38">
    <w:p w14:paraId="0CEF8AA9" w14:textId="77777777" w:rsidR="00D37B92" w:rsidRDefault="00D37B92" w:rsidP="001A6513">
      <w:pPr>
        <w:pStyle w:val="FootnoteText"/>
      </w:pPr>
      <w:r w:rsidRPr="0064227B">
        <w:rPr>
          <w:rStyle w:val="FootnoteReference"/>
        </w:rPr>
        <w:footnoteRef/>
      </w:r>
      <w:r w:rsidRPr="0064227B">
        <w:t xml:space="preserve"> </w:t>
      </w:r>
      <w:r>
        <w:t>I</w:t>
      </w:r>
      <w:r w:rsidRPr="0064227B">
        <w:t xml:space="preserve">nformation provided by the Italian </w:t>
      </w:r>
      <w:r>
        <w:t>Union</w:t>
      </w:r>
      <w:r w:rsidRPr="0064227B">
        <w:t xml:space="preserve"> </w:t>
      </w:r>
      <w:r>
        <w:t xml:space="preserve">of the </w:t>
      </w:r>
      <w:r w:rsidRPr="0064227B">
        <w:t>Blind and Visual</w:t>
      </w:r>
      <w:r>
        <w:t>ly</w:t>
      </w:r>
      <w:r w:rsidRPr="0064227B">
        <w:t xml:space="preserve"> Impaired </w:t>
      </w:r>
      <w:r>
        <w:t xml:space="preserve">upon </w:t>
      </w:r>
      <w:r w:rsidRPr="0064227B">
        <w:t>request</w:t>
      </w:r>
      <w:r>
        <w:t xml:space="preserve">. </w:t>
      </w:r>
      <w:r w:rsidRPr="0064227B">
        <w:t xml:space="preserve"> </w:t>
      </w:r>
    </w:p>
  </w:footnote>
  <w:footnote w:id="39">
    <w:p w14:paraId="779E838D" w14:textId="77777777" w:rsidR="00D37B92" w:rsidRPr="00410AAD" w:rsidRDefault="00D37B92" w:rsidP="006E30A5">
      <w:pPr>
        <w:pStyle w:val="FootnoteText"/>
      </w:pPr>
      <w:r w:rsidRPr="00410AAD">
        <w:rPr>
          <w:rStyle w:val="FootnoteReference"/>
          <w:szCs w:val="18"/>
        </w:rPr>
        <w:footnoteRef/>
      </w:r>
      <w:r w:rsidRPr="00410AAD">
        <w:t xml:space="preserve"> Lithuanian Government (2012), Final report of the survey „Financial (economic means) analysis of the adaptation of public premises to the needs of persons with disabilities“, available at: </w:t>
      </w:r>
      <w:hyperlink r:id="rId19" w:history="1">
        <w:r w:rsidRPr="00410AAD">
          <w:rPr>
            <w:rStyle w:val="Hyperlink"/>
          </w:rPr>
          <w:t>http://www.lrv.lt/bylos/LESSED%20projektas/Dokumentai/galutine_ataskaita_sadm_2012-05-25.pdf</w:t>
        </w:r>
      </w:hyperlink>
      <w:r w:rsidRPr="00410AAD">
        <w:t>, last accesse</w:t>
      </w:r>
      <w:r>
        <w:t>d</w:t>
      </w:r>
      <w:r w:rsidRPr="00410AAD">
        <w:t xml:space="preserve"> on 2 August, 2013.</w:t>
      </w:r>
    </w:p>
  </w:footnote>
  <w:footnote w:id="40">
    <w:p w14:paraId="1729A7A5" w14:textId="77777777" w:rsidR="00D37B92" w:rsidRPr="00410AAD" w:rsidRDefault="00D37B92" w:rsidP="006E30A5">
      <w:pPr>
        <w:pStyle w:val="FootnoteText"/>
      </w:pPr>
      <w:r w:rsidRPr="00410AAD">
        <w:rPr>
          <w:rStyle w:val="FootnoteReference"/>
          <w:szCs w:val="18"/>
        </w:rPr>
        <w:footnoteRef/>
      </w:r>
      <w:r w:rsidRPr="00410AAD">
        <w:t xml:space="preserve"> Virginija Motiejūnienė</w:t>
      </w:r>
      <w:r>
        <w:t>, Persons with disabilities can</w:t>
      </w:r>
      <w:r w:rsidRPr="00410AAD">
        <w:t>not access half of the buildings („</w:t>
      </w:r>
      <w:r w:rsidRPr="00764FE0">
        <w:rPr>
          <w:i/>
        </w:rPr>
        <w:t>Neigaliesiems neįmanoma patekti į pusę pastatų</w:t>
      </w:r>
      <w:r w:rsidRPr="00410AAD">
        <w:t xml:space="preserve">“ ), L TV „Šiandien“, </w:t>
      </w:r>
      <w:r w:rsidRPr="00410AAD">
        <w:rPr>
          <w:rStyle w:val="Hyperlink"/>
        </w:rPr>
        <w:t>www.lrt.lt</w:t>
      </w:r>
      <w:r w:rsidRPr="00410AAD">
        <w:t>, 13 December 2011.</w:t>
      </w:r>
    </w:p>
  </w:footnote>
  <w:footnote w:id="41">
    <w:p w14:paraId="5FC812EB" w14:textId="77777777" w:rsidR="00D37B92" w:rsidRPr="00A72506" w:rsidRDefault="00D37B92" w:rsidP="00D37B92">
      <w:pPr>
        <w:pStyle w:val="FootnoteText"/>
      </w:pPr>
      <w:r w:rsidRPr="00A72506">
        <w:rPr>
          <w:rStyle w:val="FootnoteReference"/>
        </w:rPr>
        <w:footnoteRef/>
      </w:r>
      <w:r w:rsidRPr="00A72506">
        <w:t xml:space="preserve"> </w:t>
      </w:r>
      <w:r w:rsidRPr="00FE0EE9">
        <w:rPr>
          <w:rFonts w:cs="Arial"/>
        </w:rPr>
        <w:t>See the Accessibility Act of the 29th of March 2001 regarding the accessibility of public places (</w:t>
      </w:r>
      <w:r w:rsidRPr="00A72506">
        <w:rPr>
          <w:rFonts w:cs="Arial"/>
          <w:szCs w:val="24"/>
        </w:rPr>
        <w:t>loi du 29 mars 2001 portant sur l’accessibilité des lieux ouvert au public)</w:t>
      </w:r>
      <w:r w:rsidRPr="00FE0EE9">
        <w:rPr>
          <w:rFonts w:cs="Arial"/>
        </w:rPr>
        <w:t>.</w:t>
      </w:r>
    </w:p>
  </w:footnote>
  <w:footnote w:id="42">
    <w:p w14:paraId="198AAF72" w14:textId="77777777" w:rsidR="00D37B92" w:rsidRPr="0027014A" w:rsidRDefault="00D37B92" w:rsidP="00D37B92">
      <w:pPr>
        <w:pStyle w:val="FootnoteText"/>
      </w:pPr>
      <w:r w:rsidRPr="0027014A">
        <w:rPr>
          <w:rStyle w:val="FootnoteReference"/>
        </w:rPr>
        <w:footnoteRef/>
      </w:r>
      <w:r w:rsidRPr="0027014A">
        <w:t xml:space="preserve"> </w:t>
      </w:r>
      <w:r w:rsidRPr="0027014A">
        <w:rPr>
          <w:lang w:val="en-GB"/>
        </w:rPr>
        <w:t>See list of buildings in the GDD of March 2008</w:t>
      </w:r>
    </w:p>
  </w:footnote>
  <w:footnote w:id="43">
    <w:p w14:paraId="25B55020" w14:textId="77777777" w:rsidR="00D37B92" w:rsidRPr="0079022F" w:rsidRDefault="00D37B92" w:rsidP="00D37B92">
      <w:pPr>
        <w:pStyle w:val="FootnoteText"/>
        <w:jc w:val="both"/>
      </w:pPr>
      <w:r w:rsidRPr="0079022F">
        <w:rPr>
          <w:rStyle w:val="FootnoteReference"/>
        </w:rPr>
        <w:footnoteRef/>
      </w:r>
      <w:r w:rsidRPr="0079022F">
        <w:t xml:space="preserve"> Information provided by the Central Statistical Bureau of Latvia on 29 July 2013.  </w:t>
      </w:r>
    </w:p>
  </w:footnote>
  <w:footnote w:id="44">
    <w:p w14:paraId="72BCC7D0" w14:textId="77777777" w:rsidR="00D37B92" w:rsidRPr="00415BF7" w:rsidRDefault="00D37B92" w:rsidP="00D37B92">
      <w:pPr>
        <w:pStyle w:val="FootnoteText"/>
      </w:pPr>
      <w:r>
        <w:rPr>
          <w:rStyle w:val="FootnoteReference"/>
        </w:rPr>
        <w:footnoteRef/>
      </w:r>
      <w:r>
        <w:rPr>
          <w:lang w:val="mt-MT"/>
        </w:rPr>
        <w:t xml:space="preserve"> </w:t>
      </w:r>
      <w:r w:rsidRPr="003A20AD">
        <w:rPr>
          <w:lang w:val="mt-MT"/>
        </w:rPr>
        <w:t xml:space="preserve">Joseph Spiteri Ed. (2011) Access for all – Design Guidelines, Malta, KNPD, available at: </w:t>
      </w:r>
      <w:hyperlink r:id="rId20" w:history="1">
        <w:r w:rsidRPr="00415BF7">
          <w:rPr>
            <w:rStyle w:val="Hyperlink"/>
          </w:rPr>
          <w:t>http://www.knpd.org/legislation/accessforall.html</w:t>
        </w:r>
      </w:hyperlink>
      <w:r w:rsidRPr="00415BF7">
        <w:rPr>
          <w:rStyle w:val="Hyperlink"/>
          <w:lang w:val="mt-MT"/>
        </w:rPr>
        <w:t xml:space="preserve"> </w:t>
      </w:r>
    </w:p>
  </w:footnote>
  <w:footnote w:id="45">
    <w:p w14:paraId="4F4A5AE4" w14:textId="77777777" w:rsidR="00D37B92" w:rsidRDefault="00D37B92" w:rsidP="00D37B92">
      <w:pPr>
        <w:pStyle w:val="FootnoteText"/>
      </w:pPr>
      <w:r>
        <w:rPr>
          <w:rStyle w:val="FootnoteReference"/>
        </w:rPr>
        <w:footnoteRef/>
      </w:r>
      <w:r>
        <w:t xml:space="preserve"> The NFP </w:t>
      </w:r>
      <w:r w:rsidRPr="00580364">
        <w:t>consulted KNPD an</w:t>
      </w:r>
      <w:r>
        <w:t>d the Electoral Commission</w:t>
      </w:r>
      <w:r w:rsidRPr="00580364">
        <w:t xml:space="preserve"> in July 2013.</w:t>
      </w:r>
    </w:p>
  </w:footnote>
  <w:footnote w:id="46">
    <w:p w14:paraId="10BE7AA5" w14:textId="77777777" w:rsidR="00A925D8" w:rsidRPr="00BE6376" w:rsidRDefault="00A925D8" w:rsidP="00A925D8">
      <w:pPr>
        <w:pStyle w:val="FootnoteText"/>
        <w:jc w:val="both"/>
      </w:pPr>
      <w:r w:rsidRPr="00BE6376">
        <w:rPr>
          <w:rStyle w:val="FootnoteReference"/>
        </w:rPr>
        <w:footnoteRef/>
      </w:r>
      <w:r w:rsidRPr="00BE6376">
        <w:t xml:space="preserve"> De Jong, J.M., Den Exter, A.P., Hulst, E.H. (2013), Economic consequences of the ratification of the UN treaty on disability (</w:t>
      </w:r>
      <w:r w:rsidRPr="00BE6376">
        <w:rPr>
          <w:i/>
        </w:rPr>
        <w:t>Economische gevolgen van ratificatie van het VN verdrag handicap</w:t>
      </w:r>
      <w:r w:rsidRPr="00BE6376">
        <w:t>), Rotterdam: SEOR.</w:t>
      </w:r>
    </w:p>
  </w:footnote>
  <w:footnote w:id="47">
    <w:p w14:paraId="7673D1D9" w14:textId="77777777" w:rsidR="00A925D8" w:rsidRPr="00BE6376" w:rsidRDefault="00A925D8" w:rsidP="00A925D8">
      <w:pPr>
        <w:pStyle w:val="FootnoteText"/>
        <w:jc w:val="both"/>
      </w:pPr>
      <w:r w:rsidRPr="00BE6376">
        <w:rPr>
          <w:rStyle w:val="FootnoteReference"/>
        </w:rPr>
        <w:footnoteRef/>
      </w:r>
      <w:r w:rsidRPr="00BE6376">
        <w:t xml:space="preserve"> </w:t>
      </w:r>
      <w:r>
        <w:t xml:space="preserve">Consultation of the </w:t>
      </w:r>
      <w:r w:rsidRPr="00BE6376">
        <w:t>Federation of Dutch Municipalities (</w:t>
      </w:r>
      <w:r w:rsidRPr="00BE6376">
        <w:rPr>
          <w:i/>
        </w:rPr>
        <w:t>Vereniging Nederlandse Gemeenten</w:t>
      </w:r>
      <w:r w:rsidRPr="00BE6376">
        <w:t>, VNG), 8 July 2013.</w:t>
      </w:r>
    </w:p>
  </w:footnote>
  <w:footnote w:id="48">
    <w:p w14:paraId="54465DBA" w14:textId="77777777" w:rsidR="00A925D8" w:rsidRPr="00BE6376" w:rsidRDefault="00A925D8" w:rsidP="00A925D8">
      <w:pPr>
        <w:pStyle w:val="FootnoteText"/>
        <w:jc w:val="both"/>
      </w:pPr>
      <w:r w:rsidRPr="00BE6376">
        <w:rPr>
          <w:rStyle w:val="FootnoteReference"/>
        </w:rPr>
        <w:footnoteRef/>
      </w:r>
      <w:r w:rsidRPr="00BE6376">
        <w:t xml:space="preserve"> </w:t>
      </w:r>
      <w:r>
        <w:t>Information obtained from the</w:t>
      </w:r>
      <w:r w:rsidRPr="00BE6376">
        <w:t xml:space="preserve"> Council for the Chronically ill and Disabled (CG-Raad), 11 July, 22 July, 31 July, 2 September, 11 September 2013</w:t>
      </w:r>
      <w:r>
        <w:t xml:space="preserve"> and </w:t>
      </w:r>
      <w:r w:rsidRPr="00BE6376">
        <w:t>project office All Accessible (</w:t>
      </w:r>
      <w:r w:rsidRPr="00BE6376">
        <w:rPr>
          <w:i/>
        </w:rPr>
        <w:t>Alles Toegankelijk</w:t>
      </w:r>
      <w:r w:rsidRPr="00BE6376">
        <w:t>), 8 July, 30 July 2013.</w:t>
      </w:r>
    </w:p>
  </w:footnote>
  <w:footnote w:id="49">
    <w:p w14:paraId="6A442F90" w14:textId="77777777" w:rsidR="00A925D8" w:rsidRPr="00DC477B" w:rsidRDefault="00A925D8" w:rsidP="00A925D8">
      <w:pPr>
        <w:pStyle w:val="FootnoteText"/>
        <w:rPr>
          <w:rFonts w:cs="Calibri"/>
          <w:sz w:val="18"/>
          <w:szCs w:val="18"/>
          <w:lang w:val="en-GB"/>
        </w:rPr>
      </w:pPr>
      <w:r w:rsidRPr="009638A1">
        <w:rPr>
          <w:rStyle w:val="FootnoteReference"/>
          <w:rFonts w:cs="Calibri"/>
          <w:szCs w:val="18"/>
        </w:rPr>
        <w:footnoteRef/>
      </w:r>
      <w:r w:rsidRPr="009638A1">
        <w:rPr>
          <w:rFonts w:cs="Calibri"/>
          <w:szCs w:val="18"/>
        </w:rPr>
        <w:t xml:space="preserve"> </w:t>
      </w:r>
      <w:r w:rsidRPr="009638A1">
        <w:rPr>
          <w:rFonts w:cs="Calibri"/>
          <w:szCs w:val="18"/>
          <w:lang w:val="en-US"/>
        </w:rPr>
        <w:t xml:space="preserve">Poland, </w:t>
      </w:r>
      <w:r w:rsidRPr="009638A1">
        <w:rPr>
          <w:rFonts w:cs="Calibri"/>
          <w:szCs w:val="18"/>
          <w:lang w:val="en-GB"/>
        </w:rPr>
        <w:t>Government Plenipotentiary for Disabled Persons (</w:t>
      </w:r>
      <w:r w:rsidRPr="009638A1">
        <w:rPr>
          <w:rFonts w:cs="Calibri"/>
          <w:i/>
          <w:szCs w:val="18"/>
          <w:lang w:val="en-GB"/>
        </w:rPr>
        <w:t>Pełnomocnik Rządu ds. Osób Niepełnosprawnych</w:t>
      </w:r>
      <w:r w:rsidRPr="009638A1">
        <w:rPr>
          <w:rFonts w:cs="Calibri"/>
          <w:szCs w:val="18"/>
          <w:lang w:val="en-GB"/>
        </w:rPr>
        <w:t>), Report from research on the accessibility of buildings of governmental administration and central offices to persons with disabilities (</w:t>
      </w:r>
      <w:r w:rsidRPr="009638A1">
        <w:rPr>
          <w:rFonts w:cs="Calibri"/>
          <w:i/>
          <w:szCs w:val="18"/>
          <w:lang w:val="en-GB"/>
        </w:rPr>
        <w:t>Raport z badania na temat dostępności budynków administracji rządowej i urzędów centralnych dla osób niepełnosprawnych</w:t>
      </w:r>
      <w:r w:rsidRPr="009638A1">
        <w:rPr>
          <w:rFonts w:cs="Calibri"/>
          <w:szCs w:val="18"/>
          <w:lang w:val="en-GB"/>
        </w:rPr>
        <w:t>)</w:t>
      </w:r>
      <w:r w:rsidRPr="009638A1">
        <w:rPr>
          <w:rFonts w:cs="Calibri"/>
          <w:i/>
          <w:szCs w:val="18"/>
          <w:lang w:val="en-GB"/>
        </w:rPr>
        <w:t xml:space="preserve">, </w:t>
      </w:r>
      <w:r w:rsidRPr="009638A1">
        <w:rPr>
          <w:rFonts w:cs="Calibri"/>
          <w:szCs w:val="18"/>
          <w:lang w:val="en-GB"/>
        </w:rPr>
        <w:t>Warsaw, March 2008.</w:t>
      </w:r>
    </w:p>
  </w:footnote>
  <w:footnote w:id="50">
    <w:p w14:paraId="54E184AC" w14:textId="77777777" w:rsidR="00A925D8" w:rsidRPr="00F3085E" w:rsidRDefault="00A925D8" w:rsidP="00A925D8">
      <w:pPr>
        <w:pStyle w:val="FootnoteText"/>
        <w:rPr>
          <w:lang w:val="fr-FR"/>
        </w:rPr>
      </w:pPr>
      <w:r>
        <w:rPr>
          <w:rStyle w:val="FootnoteReference"/>
        </w:rPr>
        <w:footnoteRef/>
      </w:r>
      <w:r w:rsidRPr="002C055C">
        <w:rPr>
          <w:lang w:val="fr-FR"/>
        </w:rPr>
        <w:t xml:space="preserve"> Document available on</w:t>
      </w:r>
      <w:r>
        <w:rPr>
          <w:lang w:val="fr-FR"/>
        </w:rPr>
        <w:t> :</w:t>
      </w:r>
      <w:r w:rsidRPr="002C055C">
        <w:rPr>
          <w:lang w:val="fr-FR"/>
        </w:rPr>
        <w:t xml:space="preserve"> </w:t>
      </w:r>
      <w:hyperlink r:id="rId21" w:history="1">
        <w:r w:rsidRPr="002C055C">
          <w:rPr>
            <w:rStyle w:val="Hyperlink"/>
            <w:lang w:val="fr-FR"/>
          </w:rPr>
          <w:t>http://orka.sejm.gov.pl/Druki7ka.nsf/0/27F4414B1668C586C1257BD5003CC685/%24File/1672.pdf</w:t>
        </w:r>
      </w:hyperlink>
    </w:p>
  </w:footnote>
  <w:footnote w:id="51">
    <w:p w14:paraId="45710F95" w14:textId="77777777" w:rsidR="00730918" w:rsidRPr="000C15F5" w:rsidRDefault="00730918" w:rsidP="00730918">
      <w:pPr>
        <w:pStyle w:val="FootnoteText"/>
        <w:rPr>
          <w:lang w:val="pt-PT"/>
        </w:rPr>
      </w:pPr>
      <w:r w:rsidRPr="000C15F5">
        <w:rPr>
          <w:rStyle w:val="FootnoteReference"/>
        </w:rPr>
        <w:footnoteRef/>
      </w:r>
      <w:r w:rsidRPr="00730918">
        <w:rPr>
          <w:lang w:val="fr-FR"/>
        </w:rPr>
        <w:t xml:space="preserve"> Portugal, Portuguese Association for Consumer Protection (</w:t>
      </w:r>
      <w:r w:rsidRPr="00730918">
        <w:rPr>
          <w:i/>
          <w:lang w:val="fr-FR"/>
        </w:rPr>
        <w:t>Associação Portuguesa para a Defesa do Consumidor</w:t>
      </w:r>
      <w:r w:rsidRPr="00730918">
        <w:rPr>
          <w:lang w:val="fr-FR"/>
        </w:rPr>
        <w:t>, DECO) (2011), Conditional access (</w:t>
      </w:r>
      <w:r w:rsidRPr="00730918">
        <w:rPr>
          <w:i/>
          <w:lang w:val="fr-FR"/>
        </w:rPr>
        <w:t>Acesso condicionado</w:t>
      </w:r>
      <w:r w:rsidRPr="00730918">
        <w:rPr>
          <w:lang w:val="fr-FR"/>
        </w:rPr>
        <w:t xml:space="preserve">), </w:t>
      </w:r>
      <w:r w:rsidRPr="00730918">
        <w:rPr>
          <w:i/>
          <w:lang w:val="fr-FR"/>
        </w:rPr>
        <w:t>Protest [Proteste]</w:t>
      </w:r>
      <w:r w:rsidRPr="00730918">
        <w:rPr>
          <w:lang w:val="fr-FR"/>
        </w:rPr>
        <w:t>, nº 321,</w:t>
      </w:r>
      <w:r w:rsidRPr="00730918">
        <w:rPr>
          <w:i/>
          <w:lang w:val="fr-FR"/>
        </w:rPr>
        <w:t xml:space="preserve"> </w:t>
      </w:r>
      <w:r w:rsidRPr="00730918">
        <w:rPr>
          <w:lang w:val="fr-FR"/>
        </w:rPr>
        <w:t>Lisboa, DECO, pp. 14-17.</w:t>
      </w:r>
    </w:p>
  </w:footnote>
  <w:footnote w:id="52">
    <w:p w14:paraId="32E25E95" w14:textId="77777777" w:rsidR="00730918" w:rsidRPr="001D6B38" w:rsidRDefault="00730918" w:rsidP="00730918">
      <w:pPr>
        <w:pStyle w:val="FootnoteText"/>
        <w:rPr>
          <w:lang w:val="ro-RO"/>
        </w:rPr>
      </w:pPr>
      <w:r w:rsidRPr="001D6B38">
        <w:rPr>
          <w:rStyle w:val="FootnoteReference"/>
        </w:rPr>
        <w:footnoteRef/>
      </w:r>
      <w:r w:rsidRPr="001D6B38">
        <w:t xml:space="preserve"> </w:t>
      </w:r>
      <w:r w:rsidRPr="004C2BA0">
        <w:rPr>
          <w:lang w:val="ro-RO"/>
        </w:rPr>
        <w:t xml:space="preserve">Letter No. 12101/22.08.2013 from the </w:t>
      </w:r>
      <w:r w:rsidRPr="00C15FC1">
        <w:rPr>
          <w:rFonts w:eastAsia="Calibri" w:cs="Times New Roman"/>
          <w:lang w:val="en-GB"/>
        </w:rPr>
        <w:t>National Agency for Payments and Social Inspection (</w:t>
      </w:r>
      <w:r w:rsidRPr="00C15FC1">
        <w:rPr>
          <w:rFonts w:eastAsia="Calibri" w:cs="Times New Roman"/>
          <w:i/>
          <w:lang w:val="en-GB"/>
        </w:rPr>
        <w:t>Agenţia Naţională pentru Plăţi şi Inspecţie Socială</w:t>
      </w:r>
      <w:r w:rsidRPr="00C15FC1">
        <w:rPr>
          <w:rFonts w:eastAsia="Calibri" w:cs="Times New Roman"/>
          <w:lang w:val="en-GB"/>
        </w:rPr>
        <w:t>)</w:t>
      </w:r>
    </w:p>
  </w:footnote>
  <w:footnote w:id="53">
    <w:p w14:paraId="31533938" w14:textId="77777777" w:rsidR="00730918" w:rsidRPr="001D6B38" w:rsidRDefault="00730918" w:rsidP="00730918">
      <w:pPr>
        <w:pStyle w:val="FootnoteText"/>
        <w:rPr>
          <w:lang w:val="ro-RO"/>
        </w:rPr>
      </w:pPr>
      <w:r w:rsidRPr="001D6B38">
        <w:rPr>
          <w:rStyle w:val="FootnoteReference"/>
        </w:rPr>
        <w:footnoteRef/>
      </w:r>
      <w:r w:rsidRPr="004C2BA0">
        <w:t xml:space="preserve"> </w:t>
      </w:r>
      <w:r w:rsidRPr="004C2BA0">
        <w:rPr>
          <w:lang w:val="ro-RO"/>
        </w:rPr>
        <w:t xml:space="preserve">Letter No. 12101/22.08.2013 from the </w:t>
      </w:r>
      <w:r w:rsidRPr="00C15FC1">
        <w:rPr>
          <w:rFonts w:eastAsia="Calibri" w:cs="Times New Roman"/>
          <w:lang w:val="en-GB"/>
        </w:rPr>
        <w:t>National Agency for Payments and Social Inspection (</w:t>
      </w:r>
      <w:r w:rsidRPr="00C15FC1">
        <w:rPr>
          <w:rFonts w:eastAsia="Calibri" w:cs="Times New Roman"/>
          <w:i/>
          <w:lang w:val="en-GB"/>
        </w:rPr>
        <w:t>Agenţia Naţională pentru Plăţi şi Inspecţie Socială</w:t>
      </w:r>
      <w:r w:rsidRPr="00C15FC1">
        <w:rPr>
          <w:rFonts w:eastAsia="Calibri" w:cs="Times New Roman"/>
          <w:lang w:val="en-GB"/>
        </w:rPr>
        <w:t>)</w:t>
      </w:r>
    </w:p>
  </w:footnote>
  <w:footnote w:id="54">
    <w:p w14:paraId="51B22E17" w14:textId="77777777" w:rsidR="00730918" w:rsidRPr="003C1598" w:rsidRDefault="00730918" w:rsidP="00730918">
      <w:pPr>
        <w:spacing w:after="0" w:line="240" w:lineRule="auto"/>
        <w:rPr>
          <w:rFonts w:ascii="Calibri" w:hAnsi="Calibri" w:cstheme="minorHAnsi"/>
          <w:sz w:val="20"/>
          <w:szCs w:val="20"/>
        </w:rPr>
      </w:pPr>
      <w:r w:rsidRPr="003C1598">
        <w:rPr>
          <w:rFonts w:ascii="Calibri" w:hAnsi="Calibri" w:cstheme="minorHAnsi"/>
          <w:sz w:val="20"/>
          <w:szCs w:val="20"/>
          <w:vertAlign w:val="superscript"/>
        </w:rPr>
        <w:footnoteRef/>
      </w:r>
      <w:r>
        <w:rPr>
          <w:rFonts w:ascii="Calibri" w:hAnsi="Calibri" w:cstheme="minorHAnsi"/>
          <w:sz w:val="20"/>
          <w:szCs w:val="20"/>
        </w:rPr>
        <w:t xml:space="preserve"> </w:t>
      </w:r>
      <w:r w:rsidRPr="003C1598">
        <w:rPr>
          <w:rFonts w:ascii="Calibri" w:hAnsi="Calibri" w:cstheme="minorHAnsi"/>
          <w:sz w:val="20"/>
          <w:szCs w:val="20"/>
        </w:rPr>
        <w:t>Swedish Agency for Disability Policy Co-ordination (</w:t>
      </w:r>
      <w:r w:rsidRPr="003C1598">
        <w:rPr>
          <w:rFonts w:ascii="Calibri" w:hAnsi="Calibri" w:cstheme="minorHAnsi"/>
          <w:i/>
          <w:sz w:val="20"/>
          <w:szCs w:val="20"/>
        </w:rPr>
        <w:t>Handisam</w:t>
      </w:r>
      <w:r w:rsidRPr="003C1598">
        <w:rPr>
          <w:rFonts w:ascii="Calibri" w:hAnsi="Calibri" w:cstheme="minorHAnsi"/>
          <w:sz w:val="20"/>
          <w:szCs w:val="20"/>
        </w:rPr>
        <w:t>),  Accessibility in the political life of local governments (</w:t>
      </w:r>
      <w:r w:rsidRPr="003C1598">
        <w:rPr>
          <w:rFonts w:ascii="Calibri" w:hAnsi="Calibri" w:cstheme="minorHAnsi"/>
          <w:i/>
          <w:sz w:val="20"/>
          <w:szCs w:val="20"/>
        </w:rPr>
        <w:t>Tillgängligheten i det politiska livet i kommuner och landsting</w:t>
      </w:r>
      <w:r w:rsidRPr="003C1598">
        <w:rPr>
          <w:rFonts w:ascii="Calibri" w:hAnsi="Calibri" w:cstheme="minorHAnsi"/>
          <w:sz w:val="20"/>
          <w:szCs w:val="20"/>
        </w:rPr>
        <w:t>), 2007, p. 1</w:t>
      </w:r>
      <w:r>
        <w:rPr>
          <w:rFonts w:ascii="Calibri" w:hAnsi="Calibri" w:cstheme="minorHAnsi"/>
          <w:sz w:val="20"/>
          <w:szCs w:val="20"/>
        </w:rPr>
        <w:t>0-1</w:t>
      </w:r>
      <w:r w:rsidRPr="003C1598">
        <w:rPr>
          <w:rFonts w:ascii="Calibri" w:hAnsi="Calibri" w:cstheme="minorHAnsi"/>
          <w:sz w:val="20"/>
          <w:szCs w:val="20"/>
        </w:rPr>
        <w:t xml:space="preserve">1, available at: </w:t>
      </w:r>
      <w:hyperlink r:id="rId22" w:history="1">
        <w:r w:rsidRPr="003C1598">
          <w:rPr>
            <w:rStyle w:val="Hyperlink"/>
            <w:rFonts w:ascii="Calibri" w:hAnsi="Calibri" w:cstheme="minorHAnsi"/>
            <w:sz w:val="20"/>
            <w:szCs w:val="20"/>
          </w:rPr>
          <w:t>www.handisam.se/Publikationer-och-press/Rapporter/Handikappolitisk-utveckling/Tillgangligheten-i-det-politiska-livet-i-kommuner-och-landsting/</w:t>
        </w:r>
      </w:hyperlink>
    </w:p>
  </w:footnote>
  <w:footnote w:id="55">
    <w:p w14:paraId="3B9F1394" w14:textId="77777777" w:rsidR="00730918" w:rsidRPr="00137223" w:rsidRDefault="00730918" w:rsidP="00730918">
      <w:pPr>
        <w:pStyle w:val="FootnoteText"/>
        <w:rPr>
          <w:rFonts w:asciiTheme="majorHAnsi" w:hAnsiTheme="majorHAnsi"/>
          <w:lang w:val="en-US"/>
        </w:rPr>
      </w:pPr>
      <w:r w:rsidRPr="00137223">
        <w:rPr>
          <w:rStyle w:val="FootnoteReference"/>
          <w:rFonts w:asciiTheme="majorHAnsi" w:hAnsiTheme="majorHAnsi"/>
        </w:rPr>
        <w:footnoteRef/>
      </w:r>
      <w:r w:rsidRPr="00137223">
        <w:rPr>
          <w:rFonts w:asciiTheme="majorHAnsi" w:hAnsiTheme="majorHAnsi"/>
        </w:rPr>
        <w:t xml:space="preserve"> </w:t>
      </w:r>
      <w:r w:rsidRPr="00137223">
        <w:rPr>
          <w:rFonts w:asciiTheme="majorHAnsi" w:hAnsiTheme="majorHAnsi" w:cstheme="minorHAnsi"/>
        </w:rPr>
        <w:t>Swedish Agency for Disability Policy Co-ordination (</w:t>
      </w:r>
      <w:r w:rsidRPr="00137223">
        <w:rPr>
          <w:rFonts w:asciiTheme="majorHAnsi" w:hAnsiTheme="majorHAnsi" w:cstheme="minorHAnsi"/>
          <w:i/>
        </w:rPr>
        <w:t>Handisam</w:t>
      </w:r>
      <w:r w:rsidRPr="00137223">
        <w:rPr>
          <w:rFonts w:asciiTheme="majorHAnsi" w:hAnsiTheme="majorHAnsi" w:cstheme="minorHAnsi"/>
        </w:rPr>
        <w:t>),  Accessibility in national agencies 2011 – 2013, (</w:t>
      </w:r>
      <w:r w:rsidRPr="00137223">
        <w:rPr>
          <w:rFonts w:asciiTheme="majorHAnsi" w:hAnsiTheme="majorHAnsi" w:cstheme="minorHAnsi"/>
          <w:i/>
        </w:rPr>
        <w:t>Så tillgänglig är staten - Uppföljning av statsförvaltningens tillgänglighetsarbete 2011-2013)</w:t>
      </w:r>
      <w:r w:rsidRPr="00137223">
        <w:rPr>
          <w:rFonts w:asciiTheme="majorHAnsi" w:hAnsiTheme="majorHAnsi" w:cstheme="minorHAnsi"/>
        </w:rPr>
        <w:t xml:space="preserve">, available at: </w:t>
      </w:r>
      <w:hyperlink r:id="rId23" w:history="1">
        <w:r w:rsidRPr="00137223">
          <w:rPr>
            <w:rFonts w:asciiTheme="majorHAnsi" w:hAnsiTheme="majorHAnsi"/>
          </w:rPr>
          <w:t xml:space="preserve"> </w:t>
        </w:r>
        <w:r w:rsidRPr="00137223">
          <w:rPr>
            <w:rStyle w:val="Hyperlink"/>
            <w:rFonts w:asciiTheme="majorHAnsi" w:hAnsiTheme="majorHAnsi" w:cstheme="minorHAnsi"/>
          </w:rPr>
          <w:t>http://www.handisam.se/Publikationer-och-press/Rapporter/Myndigheternas-arbete/Sa-tillganglig-ar-staten-2011-2013/</w:t>
        </w:r>
      </w:hyperlink>
    </w:p>
  </w:footnote>
  <w:footnote w:id="56">
    <w:p w14:paraId="3AF5F5D5" w14:textId="77777777" w:rsidR="002749A6" w:rsidRPr="00FE7A96" w:rsidRDefault="002749A6" w:rsidP="002749A6">
      <w:pPr>
        <w:pStyle w:val="FootnoteText"/>
        <w:jc w:val="both"/>
        <w:rPr>
          <w:lang w:val="en-GB"/>
        </w:rPr>
      </w:pPr>
      <w:r w:rsidRPr="00FE7A96">
        <w:rPr>
          <w:rStyle w:val="FootnoteReference"/>
          <w:lang w:val="en-GB"/>
        </w:rPr>
        <w:footnoteRef/>
      </w:r>
      <w:r>
        <w:rPr>
          <w:lang w:val="en-GB"/>
        </w:rPr>
        <w:t xml:space="preserve"> Information provided</w:t>
      </w:r>
      <w:r w:rsidRPr="00FE7A96">
        <w:rPr>
          <w:lang w:val="en-GB"/>
        </w:rPr>
        <w:t xml:space="preserve"> by the Statistical Office of the Republic of Slovenia (</w:t>
      </w:r>
      <w:r w:rsidRPr="00FE7A96">
        <w:rPr>
          <w:i/>
          <w:lang w:val="en-GB"/>
        </w:rPr>
        <w:t>Statistični urad Republike Slovenije</w:t>
      </w:r>
      <w:r w:rsidRPr="00FE7A96">
        <w:rPr>
          <w:lang w:val="en-GB"/>
        </w:rPr>
        <w:t xml:space="preserve">, SURS) upon request (written response of 22 July 2013). </w:t>
      </w:r>
    </w:p>
  </w:footnote>
  <w:footnote w:id="57">
    <w:p w14:paraId="08E4B537" w14:textId="77777777" w:rsidR="002749A6" w:rsidRPr="00593168" w:rsidRDefault="002749A6" w:rsidP="002749A6">
      <w:pPr>
        <w:pStyle w:val="FootnoteText"/>
        <w:rPr>
          <w:lang w:val="sl-SI"/>
        </w:rPr>
      </w:pPr>
      <w:r>
        <w:rPr>
          <w:rStyle w:val="FootnoteReference"/>
        </w:rPr>
        <w:footnoteRef/>
      </w:r>
      <w:r>
        <w:t xml:space="preserve"> </w:t>
      </w:r>
      <w:r>
        <w:rPr>
          <w:lang w:val="en-GB"/>
        </w:rPr>
        <w:t>Information provided by the</w:t>
      </w:r>
      <w:r w:rsidRPr="00FE7A96">
        <w:rPr>
          <w:lang w:val="en-GB"/>
        </w:rPr>
        <w:t xml:space="preserve"> </w:t>
      </w:r>
      <w:r>
        <w:rPr>
          <w:lang w:val="en-GB"/>
        </w:rPr>
        <w:t xml:space="preserve">Ministry of the Interior </w:t>
      </w:r>
      <w:r w:rsidRPr="00FE7A96">
        <w:rPr>
          <w:lang w:val="en-GB"/>
        </w:rPr>
        <w:t>(</w:t>
      </w:r>
      <w:r>
        <w:rPr>
          <w:i/>
          <w:lang w:val="en-GB"/>
        </w:rPr>
        <w:t>Ministrstvo za notranje zadeve</w:t>
      </w:r>
      <w:r w:rsidRPr="00FE7A96">
        <w:rPr>
          <w:lang w:val="en-GB"/>
        </w:rPr>
        <w:t xml:space="preserve">, </w:t>
      </w:r>
      <w:r>
        <w:rPr>
          <w:lang w:val="en-GB"/>
        </w:rPr>
        <w:t>MNZ</w:t>
      </w:r>
      <w:r w:rsidRPr="00FE7A96">
        <w:rPr>
          <w:lang w:val="en-GB"/>
        </w:rPr>
        <w:t>) upon</w:t>
      </w:r>
      <w:r>
        <w:rPr>
          <w:lang w:val="en-GB"/>
        </w:rPr>
        <w:t xml:space="preserve"> request (written response of 2 August</w:t>
      </w:r>
      <w:r w:rsidRPr="00FE7A96">
        <w:rPr>
          <w:lang w:val="en-GB"/>
        </w:rPr>
        <w:t xml:space="preserve"> 2013).</w:t>
      </w:r>
    </w:p>
  </w:footnote>
  <w:footnote w:id="58">
    <w:p w14:paraId="4908A15F" w14:textId="77777777" w:rsidR="002749A6" w:rsidRPr="00316689" w:rsidRDefault="002749A6" w:rsidP="002749A6">
      <w:pPr>
        <w:pStyle w:val="FootnoteText"/>
        <w:rPr>
          <w:lang w:val="sl-SI"/>
        </w:rPr>
      </w:pPr>
      <w:r>
        <w:rPr>
          <w:rStyle w:val="FootnoteReference"/>
        </w:rPr>
        <w:footnoteRef/>
      </w:r>
      <w:r w:rsidRPr="0023759C">
        <w:rPr>
          <w:lang w:val="sl-SI"/>
        </w:rPr>
        <w:t xml:space="preserve"> </w:t>
      </w:r>
      <w:hyperlink r:id="rId24" w:history="1">
        <w:r w:rsidRPr="00924B1C">
          <w:rPr>
            <w:rStyle w:val="Hyperlink"/>
            <w:lang w:val="sl-SI"/>
          </w:rPr>
          <w:t>http://dostopnost.uirs.si/Oprojektu/Splo%C5%A1neinformacije/tabid/68/Default.aspx</w:t>
        </w:r>
      </w:hyperlink>
      <w:r>
        <w:rPr>
          <w:lang w:val="en-GB"/>
        </w:rPr>
        <w:t>,</w:t>
      </w:r>
      <w:r w:rsidRPr="00316689">
        <w:rPr>
          <w:lang w:val="en-GB"/>
        </w:rPr>
        <w:t xml:space="preserve"> accessed on 9 September 2013.</w:t>
      </w:r>
      <w:r>
        <w:rPr>
          <w:lang w:val="sl-SI"/>
        </w:rPr>
        <w:t xml:space="preserve"> </w:t>
      </w:r>
    </w:p>
  </w:footnote>
  <w:footnote w:id="59">
    <w:p w14:paraId="6B23A1A9" w14:textId="77777777" w:rsidR="002749A6" w:rsidRPr="00787739" w:rsidRDefault="002749A6" w:rsidP="002749A6">
      <w:pPr>
        <w:pStyle w:val="FootnoteText"/>
        <w:jc w:val="both"/>
        <w:rPr>
          <w:i/>
          <w:lang w:val="en-GB"/>
        </w:rPr>
      </w:pPr>
      <w:r w:rsidRPr="00FE7A96">
        <w:rPr>
          <w:rStyle w:val="FootnoteReference"/>
          <w:lang w:val="en-GB"/>
        </w:rPr>
        <w:footnoteRef/>
      </w:r>
      <w:r>
        <w:rPr>
          <w:lang w:val="en-GB"/>
        </w:rPr>
        <w:t xml:space="preserve"> </w:t>
      </w:r>
      <w:r w:rsidRPr="00FE7A96">
        <w:rPr>
          <w:lang w:val="en-GB"/>
        </w:rPr>
        <w:t>Sendi, R. and Kerbler, B (2009) ‘Disabled people and accessibility: How successful is Slovenia in the elimination and prevention of built-environm</w:t>
      </w:r>
      <w:r>
        <w:rPr>
          <w:lang w:val="en-GB"/>
        </w:rPr>
        <w:t>ent and communication barriers?</w:t>
      </w:r>
      <w:r w:rsidRPr="00FE7A96">
        <w:rPr>
          <w:lang w:val="en-GB"/>
        </w:rPr>
        <w:t xml:space="preserve">’, </w:t>
      </w:r>
      <w:r w:rsidRPr="00787739">
        <w:rPr>
          <w:lang w:val="en-GB"/>
        </w:rPr>
        <w:t>Urbani izziv</w:t>
      </w:r>
      <w:r>
        <w:rPr>
          <w:i/>
          <w:lang w:val="en-GB"/>
        </w:rPr>
        <w:t xml:space="preserve"> (</w:t>
      </w:r>
      <w:r w:rsidRPr="00FE7A96">
        <w:rPr>
          <w:i/>
          <w:lang w:val="en-GB"/>
        </w:rPr>
        <w:t>Urban challenge</w:t>
      </w:r>
      <w:r>
        <w:rPr>
          <w:i/>
          <w:lang w:val="en-GB"/>
        </w:rPr>
        <w:t>)</w:t>
      </w:r>
      <w:r w:rsidRPr="00FE7A96">
        <w:rPr>
          <w:lang w:val="en-GB"/>
        </w:rPr>
        <w:t>, Vol. 20, No. 1, pp. 123-140</w:t>
      </w:r>
      <w:r>
        <w:rPr>
          <w:lang w:val="en-GB"/>
        </w:rPr>
        <w:t xml:space="preserve">, available at: </w:t>
      </w:r>
      <w:hyperlink r:id="rId25" w:history="1">
        <w:r w:rsidRPr="00924B1C">
          <w:rPr>
            <w:rStyle w:val="Hyperlink"/>
            <w:lang w:val="en-GB"/>
          </w:rPr>
          <w:t>http://urbani-izziv.uirs.si/Portals/uizziv/papers/urbani-izziv-en-2009-20-01-001.pdf</w:t>
        </w:r>
      </w:hyperlink>
      <w:r>
        <w:rPr>
          <w:lang w:val="en-GB"/>
        </w:rPr>
        <w:t xml:space="preserve"> Hyperlink was accessed on 9 September 2013.</w:t>
      </w:r>
    </w:p>
  </w:footnote>
  <w:footnote w:id="60">
    <w:p w14:paraId="31202E3E" w14:textId="77777777" w:rsidR="00C56AD4" w:rsidRPr="00C571E0" w:rsidRDefault="00C56AD4" w:rsidP="00C56AD4">
      <w:pPr>
        <w:pStyle w:val="FootnoteText"/>
        <w:rPr>
          <w:rFonts w:ascii="Times New Roman" w:hAnsi="Times New Roman"/>
          <w:lang w:val="en-GB"/>
        </w:rPr>
      </w:pPr>
      <w:r w:rsidRPr="008D4401">
        <w:rPr>
          <w:rStyle w:val="FootnoteReference"/>
          <w:lang w:val="en-GB"/>
        </w:rPr>
        <w:footnoteRef/>
      </w:r>
      <w:r w:rsidRPr="008D4401">
        <w:rPr>
          <w:lang w:val="en-GB"/>
        </w:rPr>
        <w:t xml:space="preserve"> Statistic Office of the SR, information received based on mail communication dated 12 July 2013.</w:t>
      </w:r>
    </w:p>
  </w:footnote>
  <w:footnote w:id="61">
    <w:p w14:paraId="52557CDB" w14:textId="77777777" w:rsidR="00E6547D" w:rsidRDefault="00E6547D" w:rsidP="00E6547D">
      <w:pPr>
        <w:pStyle w:val="FootnoteText"/>
      </w:pPr>
      <w:r>
        <w:rPr>
          <w:rStyle w:val="FootnoteReference"/>
        </w:rPr>
        <w:footnoteRef/>
      </w:r>
      <w:r>
        <w:t xml:space="preserve"> UK] Office for Disability Issues (2013) Disability Equality Indicators, available at: </w:t>
      </w:r>
    </w:p>
    <w:p w14:paraId="34A3BD2B" w14:textId="77777777" w:rsidR="00E6547D" w:rsidRDefault="00B65FC4" w:rsidP="00E6547D">
      <w:pPr>
        <w:pStyle w:val="FootnoteText"/>
      </w:pPr>
      <w:hyperlink r:id="rId26" w:history="1">
        <w:r w:rsidR="00E6547D">
          <w:rPr>
            <w:rStyle w:val="Hyperlink"/>
          </w:rPr>
          <w:t>http://odi.dwp.gov.uk/disability-statistics-and-research/disability-equality-indicators.php</w:t>
        </w:r>
      </w:hyperlink>
      <w:r w:rsidR="00E6547D">
        <w:t>.</w:t>
      </w:r>
    </w:p>
  </w:footnote>
  <w:footnote w:id="62">
    <w:p w14:paraId="089CEBC6" w14:textId="77777777" w:rsidR="00E6547D" w:rsidRPr="004768E0" w:rsidRDefault="00E6547D" w:rsidP="00E6547D">
      <w:pPr>
        <w:pStyle w:val="FootnoteText"/>
      </w:pPr>
      <w:r w:rsidRPr="004768E0">
        <w:footnoteRef/>
      </w:r>
      <w:r w:rsidRPr="004768E0">
        <w:t xml:space="preserve"> [UK] Parliament (2010) Equality Act 2010, available at: </w:t>
      </w:r>
      <w:hyperlink r:id="rId27" w:history="1">
        <w:r w:rsidRPr="00792C94">
          <w:rPr>
            <w:rStyle w:val="Hyperlink"/>
          </w:rPr>
          <w:t>http://www.legislation.gov.uk/ukpga/2010/15/contents</w:t>
        </w:r>
      </w:hyperlink>
      <w:r w:rsidRPr="004768E0">
        <w:t>.</w:t>
      </w:r>
    </w:p>
  </w:footnote>
  <w:footnote w:id="63">
    <w:p w14:paraId="070DB38B" w14:textId="77777777" w:rsidR="00E6547D" w:rsidRPr="004768E0" w:rsidRDefault="00E6547D" w:rsidP="00E6547D">
      <w:pPr>
        <w:pStyle w:val="FootnoteText"/>
      </w:pPr>
      <w:r w:rsidRPr="004768E0">
        <w:footnoteRef/>
      </w:r>
      <w:r w:rsidRPr="004768E0">
        <w:t xml:space="preserve"> [UK] Parliament (2010) Equality Act (Disability) Regulations 2010, available at: </w:t>
      </w:r>
      <w:hyperlink r:id="rId28" w:history="1">
        <w:r w:rsidRPr="00792C94">
          <w:rPr>
            <w:rStyle w:val="Hyperlink"/>
          </w:rPr>
          <w:t>http://www.legislation.gov.uk/uksi/2010/2128/contents/made</w:t>
        </w:r>
      </w:hyperlink>
      <w:r>
        <w:t>.</w:t>
      </w:r>
    </w:p>
  </w:footnote>
  <w:footnote w:id="64">
    <w:p w14:paraId="33ADA035" w14:textId="77777777" w:rsidR="00E6547D" w:rsidRPr="004768E0" w:rsidRDefault="00E6547D" w:rsidP="00E6547D">
      <w:pPr>
        <w:pStyle w:val="FootnoteText"/>
      </w:pPr>
      <w:r w:rsidRPr="004768E0">
        <w:footnoteRef/>
      </w:r>
      <w:r w:rsidRPr="004768E0">
        <w:t xml:space="preserve"> [UK] Government Equalities Office (2011) Equality Act 2010: What do I need to know? Disability Quick Start Guide, available at: </w:t>
      </w:r>
      <w:hyperlink r:id="rId29" w:history="1">
        <w:r w:rsidRPr="00792C94">
          <w:rPr>
            <w:rStyle w:val="Hyperlink"/>
          </w:rPr>
          <w:t>https://www.gov.uk/government/uploads/system/uploads/attachment_data/file/85011/disability.pdf</w:t>
        </w:r>
      </w:hyperlink>
      <w:r w:rsidRPr="004768E0">
        <w:t>.</w:t>
      </w:r>
    </w:p>
  </w:footnote>
  <w:footnote w:id="65">
    <w:p w14:paraId="26E7DA63" w14:textId="77777777" w:rsidR="00E6547D" w:rsidRPr="004768E0" w:rsidRDefault="00E6547D" w:rsidP="00E6547D">
      <w:pPr>
        <w:pStyle w:val="FootnoteText"/>
      </w:pPr>
      <w:r w:rsidRPr="004768E0">
        <w:rPr>
          <w:rStyle w:val="FootnoteReference"/>
        </w:rPr>
        <w:footnoteRef/>
      </w:r>
      <w:r w:rsidRPr="004768E0">
        <w:t xml:space="preserve"> [UK] Parliament (2013) </w:t>
      </w:r>
      <w:r w:rsidRPr="004768E0">
        <w:rPr>
          <w:rFonts w:eastAsia="Calibri" w:cs="Times New Roman"/>
          <w:lang w:val="en-GB"/>
        </w:rPr>
        <w:t xml:space="preserve">Equality Act (Amendment) Bill 2013, available at: </w:t>
      </w:r>
      <w:hyperlink r:id="rId30" w:history="1">
        <w:r w:rsidRPr="004768E0">
          <w:rPr>
            <w:rStyle w:val="Hyperlink"/>
          </w:rPr>
          <w:t>http://services.parliament.uk/bills/2013-14/equalityact2010amendment.html</w:t>
        </w:r>
      </w:hyperlink>
      <w:r w:rsidRPr="004768E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A331F79"/>
    <w:multiLevelType w:val="hybridMultilevel"/>
    <w:tmpl w:val="940C33C2"/>
    <w:lvl w:ilvl="0" w:tplc="914A488C">
      <w:start w:val="125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3365A"/>
    <w:rsid w:val="00091E92"/>
    <w:rsid w:val="000C5B50"/>
    <w:rsid w:val="0015196A"/>
    <w:rsid w:val="0016154F"/>
    <w:rsid w:val="001F0690"/>
    <w:rsid w:val="00241343"/>
    <w:rsid w:val="002519F8"/>
    <w:rsid w:val="00270890"/>
    <w:rsid w:val="002749A6"/>
    <w:rsid w:val="00285849"/>
    <w:rsid w:val="0029563E"/>
    <w:rsid w:val="00296ADC"/>
    <w:rsid w:val="002A1070"/>
    <w:rsid w:val="002E76E4"/>
    <w:rsid w:val="0030402D"/>
    <w:rsid w:val="00313189"/>
    <w:rsid w:val="0031720D"/>
    <w:rsid w:val="003860DC"/>
    <w:rsid w:val="003A03F9"/>
    <w:rsid w:val="003B1872"/>
    <w:rsid w:val="004031AF"/>
    <w:rsid w:val="00404EDA"/>
    <w:rsid w:val="004805E5"/>
    <w:rsid w:val="004D1B41"/>
    <w:rsid w:val="004F123F"/>
    <w:rsid w:val="00540A5B"/>
    <w:rsid w:val="005620C0"/>
    <w:rsid w:val="005C25D4"/>
    <w:rsid w:val="005C6699"/>
    <w:rsid w:val="005E45C6"/>
    <w:rsid w:val="00605852"/>
    <w:rsid w:val="0063600C"/>
    <w:rsid w:val="006427A5"/>
    <w:rsid w:val="00680988"/>
    <w:rsid w:val="006860E3"/>
    <w:rsid w:val="006B3A78"/>
    <w:rsid w:val="006B7FA6"/>
    <w:rsid w:val="006C35CD"/>
    <w:rsid w:val="006C4A41"/>
    <w:rsid w:val="006E1ADB"/>
    <w:rsid w:val="006E30A5"/>
    <w:rsid w:val="006F3DFF"/>
    <w:rsid w:val="006F4081"/>
    <w:rsid w:val="007165CD"/>
    <w:rsid w:val="00730918"/>
    <w:rsid w:val="00757C45"/>
    <w:rsid w:val="007A7136"/>
    <w:rsid w:val="00832801"/>
    <w:rsid w:val="00833545"/>
    <w:rsid w:val="00833F1D"/>
    <w:rsid w:val="00871DEC"/>
    <w:rsid w:val="008A22E2"/>
    <w:rsid w:val="008C5A46"/>
    <w:rsid w:val="008E22DB"/>
    <w:rsid w:val="00922B44"/>
    <w:rsid w:val="009753EA"/>
    <w:rsid w:val="009C0B3B"/>
    <w:rsid w:val="009D47E9"/>
    <w:rsid w:val="009F557C"/>
    <w:rsid w:val="00A925D8"/>
    <w:rsid w:val="00AB30EB"/>
    <w:rsid w:val="00AB64D0"/>
    <w:rsid w:val="00B52727"/>
    <w:rsid w:val="00B65FC4"/>
    <w:rsid w:val="00B8652E"/>
    <w:rsid w:val="00B958A9"/>
    <w:rsid w:val="00BA1742"/>
    <w:rsid w:val="00BD65F0"/>
    <w:rsid w:val="00BE295D"/>
    <w:rsid w:val="00C17467"/>
    <w:rsid w:val="00C56AD4"/>
    <w:rsid w:val="00CA557C"/>
    <w:rsid w:val="00CD0E1C"/>
    <w:rsid w:val="00CD0F0E"/>
    <w:rsid w:val="00CE1E30"/>
    <w:rsid w:val="00CE382E"/>
    <w:rsid w:val="00D033B5"/>
    <w:rsid w:val="00D076B1"/>
    <w:rsid w:val="00D12826"/>
    <w:rsid w:val="00D32411"/>
    <w:rsid w:val="00D37B92"/>
    <w:rsid w:val="00D55852"/>
    <w:rsid w:val="00D70BD3"/>
    <w:rsid w:val="00D84892"/>
    <w:rsid w:val="00D84F5D"/>
    <w:rsid w:val="00D956E9"/>
    <w:rsid w:val="00DA2C5B"/>
    <w:rsid w:val="00DE4518"/>
    <w:rsid w:val="00E6547D"/>
    <w:rsid w:val="00E65C10"/>
    <w:rsid w:val="00E85099"/>
    <w:rsid w:val="00ED2BB6"/>
    <w:rsid w:val="00EE40B6"/>
    <w:rsid w:val="00EF26C7"/>
    <w:rsid w:val="00EF548D"/>
    <w:rsid w:val="00F2030D"/>
    <w:rsid w:val="00F80038"/>
    <w:rsid w:val="00F95BEC"/>
    <w:rsid w:val="00FA1E7E"/>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22"/>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22"/>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oticias.juridicas.com/base_datos/Admin/rd505-2007.html" TargetMode="External"/><Relationship Id="rId13" Type="http://schemas.openxmlformats.org/officeDocument/2006/relationships/hyperlink" Target="http://www.territoires.gouv.fr/IMG/pdf/Rapport_Obiacu_2012.pdf" TargetMode="External"/><Relationship Id="rId18" Type="http://schemas.openxmlformats.org/officeDocument/2006/relationships/hyperlink" Target="http://www.environ.ie/en/developmenthousing/buildingstandards" TargetMode="External"/><Relationship Id="rId26" Type="http://schemas.openxmlformats.org/officeDocument/2006/relationships/hyperlink" Target="http://odi.dwp.gov.uk/disability-statistics-and-research/disability-equality-indicators.php" TargetMode="External"/><Relationship Id="rId3" Type="http://schemas.openxmlformats.org/officeDocument/2006/relationships/hyperlink" Target="www.bmask.gv.at/cms/site/attachments/7/4/9/CH2092/CMS1359980335644/nap_behinderung-web_2013-01-30_eng.pdf" TargetMode="External"/><Relationship Id="rId21" Type="http://schemas.openxmlformats.org/officeDocument/2006/relationships/hyperlink" Target="http://orka.sejm.gov.pl/Druki7ka.nsf/0/27F4414B1668C586C1257BD5003CC685/%24File/1672.pdf" TargetMode="External"/><Relationship Id="rId7" Type="http://schemas.openxmlformats.org/officeDocument/2006/relationships/hyperlink" Target="http://liikumisvabadus.invainfo.ee/?go=index&#9001;=eng" TargetMode="External"/><Relationship Id="rId12" Type="http://schemas.openxmlformats.org/officeDocument/2006/relationships/hyperlink" Target="http://www.julkari.fi/bitstream/handle/10024/110226/URN_ISBN_978-952-245-955-8.pdf?sequence=1" TargetMode="External"/><Relationship Id="rId17" Type="http://schemas.openxmlformats.org/officeDocument/2006/relationships/hyperlink" Target="http://www.ohchr.org/EN/HRBodies/CRPD/Pages/Session8.aspx" TargetMode="External"/><Relationship Id="rId25" Type="http://schemas.openxmlformats.org/officeDocument/2006/relationships/hyperlink" Target="http://urbani-izziv.uirs.si/Portals/uizziv/papers/urbani-izziv-en-2009-20-01-001.pdf" TargetMode="External"/><Relationship Id="rId2" Type="http://schemas.openxmlformats.org/officeDocument/2006/relationships/hyperlink" Target="www.help.gv.at/Portal.Node/hlpd/public/content/127/Seite.1270100.html%23B1610" TargetMode="External"/><Relationship Id="rId16" Type="http://schemas.openxmlformats.org/officeDocument/2006/relationships/hyperlink" Target="http://www.ohchr.org/EN/HRBodies/CRPD/Pages/Session8.aspx" TargetMode="External"/><Relationship Id="rId20" Type="http://schemas.openxmlformats.org/officeDocument/2006/relationships/hyperlink" Target="http://www.knpd.org/legislation/accessforall.html" TargetMode="External"/><Relationship Id="rId29" Type="http://schemas.openxmlformats.org/officeDocument/2006/relationships/hyperlink" Target="https://www.gov.uk/government/uploads/system/uploads/attachment_data/file/85011/disability.pdf" TargetMode="External"/><Relationship Id="rId1" Type="http://schemas.openxmlformats.org/officeDocument/2006/relationships/hyperlink" Target="www.ris.bka.gv.at/GeltendeFassung.wxe?Abfrage=Bundesnormen&amp;Gesetzesnummer=20004228" TargetMode="External"/><Relationship Id="rId6" Type="http://schemas.openxmlformats.org/officeDocument/2006/relationships/hyperlink" Target="https://www.riigiteataja.ee/akt/226420" TargetMode="External"/><Relationship Id="rId11" Type="http://schemas.openxmlformats.org/officeDocument/2006/relationships/hyperlink" Target="http://www.stm.fi/c/document_library/get_file?folderId=1087414&amp;name=DLFE-12157.pdf" TargetMode="External"/><Relationship Id="rId24" Type="http://schemas.openxmlformats.org/officeDocument/2006/relationships/hyperlink" Target="http://dostopnost.uirs.si/Oprojektu/Splo%C5%A1neinformacije/tabid/68/Default.aspx" TargetMode="External"/><Relationship Id="rId5" Type="http://schemas.openxmlformats.org/officeDocument/2006/relationships/hyperlink" Target="http://www.ejustice.just.fgov.be/loi/loi.htm" TargetMode="External"/><Relationship Id="rId15" Type="http://schemas.openxmlformats.org/officeDocument/2006/relationships/hyperlink" Target="http://www.vg.hu/vallalatok/egeszsegugy/nem-torvenyben-rogzitik-az-akadalymentesitesi-hataridoket-403588" TargetMode="External"/><Relationship Id="rId23" Type="http://schemas.openxmlformats.org/officeDocument/2006/relationships/hyperlink" Target="http://www.handisam.se/Publikationer-och-press/Rapporter/Handikappolitisk-utveckling/Tillgangligheten-i-det-politiska-livet-i-kommuner-och-landsting/" TargetMode="External"/><Relationship Id="rId28" Type="http://schemas.openxmlformats.org/officeDocument/2006/relationships/hyperlink" Target="http://www.legislation.gov.uk/uksi/2010/2128/contents/made" TargetMode="External"/><Relationship Id="rId10" Type="http://schemas.openxmlformats.org/officeDocument/2006/relationships/hyperlink" Target="http://www.ine.es/inebmenu/mnu_construc.htm" TargetMode="External"/><Relationship Id="rId19" Type="http://schemas.openxmlformats.org/officeDocument/2006/relationships/hyperlink" Target="http://www.lrv.lt/bylos/LESSED%20projektas/Dokumentai/galutine_ataskaita_sadm_2012-05-25.pdf" TargetMode="External"/><Relationship Id="rId4" Type="http://schemas.openxmlformats.org/officeDocument/2006/relationships/hyperlink" Target="http://www.ejustice.just.fgov.be/loi/loi.htm" TargetMode="External"/><Relationship Id="rId9" Type="http://schemas.openxmlformats.org/officeDocument/2006/relationships/hyperlink" Target="http://www.codigotecnico.org/web/recursos/documentos/dbsu/su9/010.html" TargetMode="External"/><Relationship Id="rId14" Type="http://schemas.openxmlformats.org/officeDocument/2006/relationships/hyperlink" Target="http://www.vg.hu" TargetMode="External"/><Relationship Id="rId22" Type="http://schemas.openxmlformats.org/officeDocument/2006/relationships/hyperlink" Target="http://www.handisam.se/Publikationer-och-press/Rapporter/Handikappolitisk-utveckling/Tillgangligheten-i-det-politiska-livet-i-kommuner-och-landsting/" TargetMode="External"/><Relationship Id="rId27" Type="http://schemas.openxmlformats.org/officeDocument/2006/relationships/hyperlink" Target="http://www.legislation.gov.uk/ukpga/2010/15/contents" TargetMode="External"/><Relationship Id="rId30" Type="http://schemas.openxmlformats.org/officeDocument/2006/relationships/hyperlink" Target="http://services.parliament.uk/bills/2013-14/equalityact2010amendm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D-2014-39630</_dlc_DocId>
    <_dlc_DocIdUrl xmlns="16097700-bd0a-4b4b-83d5-90842b5175e0">
      <Url>http://dms/research/polparprojectsite/_layouts/DocIdRedir.aspx?ID=D-2014-39630</Url>
      <Description>D-2014-39630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schemas.microsoft.com/office/2006/documentManagement/types"/>
    <ds:schemaRef ds:uri="http://schemas.microsoft.com/office/infopath/2007/PartnerControls"/>
    <ds:schemaRef ds:uri="http://schemas.microsoft.com/sharepoint/v3"/>
    <ds:schemaRef ds:uri="http://www.w3.org/XML/1998/namespace"/>
    <ds:schemaRef ds:uri="http://schemas.openxmlformats.org/package/2006/metadata/core-properties"/>
    <ds:schemaRef ds:uri="16097700-bd0a-4b4b-83d5-90842b5175e0"/>
    <ds:schemaRef ds:uri="http://purl.org/dc/terms/"/>
    <ds:schemaRef ds:uri="http://purl.org/dc/elements/1.1/"/>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14</Pages>
  <Words>4754</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31789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2014-07-03T15:25:00Z</dcterms:created>
  <dcterms:modified xsi:type="dcterms:W3CDTF">2014-07-03T15:25:00Z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fff85cc2-dae3-4cbc-983a-aad0429dfa89</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