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17FC9" w14:textId="77777777" w:rsidR="00E53C09" w:rsidRPr="00415BF7" w:rsidRDefault="00E53C09" w:rsidP="00E54542">
      <w:pPr>
        <w:spacing w:after="0" w:line="240" w:lineRule="auto"/>
        <w:jc w:val="right"/>
        <w:rPr>
          <w:rFonts w:ascii="Verdana" w:hAnsi="Verdana"/>
          <w:sz w:val="20"/>
          <w:szCs w:val="20"/>
          <w:lang w:val="en-GB"/>
        </w:rPr>
      </w:pPr>
      <w:bookmarkStart w:id="0" w:name="_GoBack"/>
      <w:bookmarkEnd w:id="0"/>
    </w:p>
    <w:p w14:paraId="46117FCA" w14:textId="77777777" w:rsidR="00E53C09" w:rsidRPr="00415BF7" w:rsidRDefault="00E53C09" w:rsidP="00E54542">
      <w:pPr>
        <w:spacing w:after="0" w:line="240" w:lineRule="auto"/>
        <w:jc w:val="right"/>
        <w:rPr>
          <w:rFonts w:ascii="Verdana" w:hAnsi="Verdana"/>
          <w:sz w:val="20"/>
          <w:szCs w:val="20"/>
          <w:lang w:val="en-GB"/>
        </w:rPr>
      </w:pPr>
    </w:p>
    <w:p w14:paraId="1494747C" w14:textId="65842FD1" w:rsidR="00547D06" w:rsidRPr="00415BF7" w:rsidRDefault="00547D06" w:rsidP="00547D06">
      <w:pPr>
        <w:spacing w:after="0" w:line="240" w:lineRule="auto"/>
        <w:jc w:val="right"/>
        <w:rPr>
          <w:rFonts w:ascii="Verdana" w:hAnsi="Verdana"/>
          <w:sz w:val="36"/>
          <w:szCs w:val="20"/>
          <w:lang w:val="en-GB" w:bidi="en-US"/>
        </w:rPr>
      </w:pPr>
      <w:r w:rsidRPr="00415BF7">
        <w:rPr>
          <w:rFonts w:ascii="Verdana" w:hAnsi="Verdana"/>
          <w:sz w:val="36"/>
          <w:szCs w:val="20"/>
          <w:lang w:val="en-GB" w:bidi="en-US"/>
        </w:rPr>
        <w:t>MT – Country information</w:t>
      </w:r>
    </w:p>
    <w:p w14:paraId="1E45718C" w14:textId="77777777" w:rsidR="00547D06" w:rsidRPr="00415BF7" w:rsidRDefault="00547D06" w:rsidP="00547D06">
      <w:pPr>
        <w:spacing w:after="0" w:line="240" w:lineRule="auto"/>
        <w:jc w:val="right"/>
        <w:rPr>
          <w:rFonts w:ascii="Verdana" w:hAnsi="Verdana"/>
          <w:sz w:val="36"/>
          <w:szCs w:val="20"/>
          <w:lang w:val="en-GB" w:bidi="en-US"/>
        </w:rPr>
      </w:pPr>
    </w:p>
    <w:p w14:paraId="6921B9AF" w14:textId="77777777" w:rsidR="00547D06" w:rsidRPr="00415BF7" w:rsidRDefault="00547D06" w:rsidP="00547D06">
      <w:pPr>
        <w:spacing w:after="0" w:line="240" w:lineRule="auto"/>
        <w:jc w:val="right"/>
        <w:rPr>
          <w:rFonts w:ascii="Verdana" w:hAnsi="Verdana"/>
          <w:sz w:val="36"/>
          <w:szCs w:val="20"/>
          <w:lang w:val="en-GB" w:bidi="en-US"/>
        </w:rPr>
      </w:pPr>
      <w:r w:rsidRPr="00415BF7">
        <w:rPr>
          <w:rFonts w:ascii="Verdana" w:hAnsi="Verdana"/>
          <w:sz w:val="36"/>
          <w:szCs w:val="20"/>
          <w:lang w:val="en-GB" w:bidi="en-US"/>
        </w:rPr>
        <w:t>Indicators on political participation</w:t>
      </w:r>
    </w:p>
    <w:p w14:paraId="35B8BE95" w14:textId="77777777" w:rsidR="0006275C" w:rsidRDefault="00547D06" w:rsidP="0006275C">
      <w:pPr>
        <w:spacing w:after="0" w:line="240" w:lineRule="auto"/>
        <w:jc w:val="right"/>
        <w:rPr>
          <w:rFonts w:ascii="Verdana" w:hAnsi="Verdana"/>
          <w:sz w:val="36"/>
          <w:szCs w:val="20"/>
          <w:lang w:val="en-GB" w:bidi="en-US"/>
        </w:rPr>
      </w:pPr>
      <w:r w:rsidRPr="00415BF7">
        <w:rPr>
          <w:rFonts w:ascii="Verdana" w:hAnsi="Verdana"/>
          <w:sz w:val="36"/>
          <w:szCs w:val="20"/>
          <w:lang w:val="en-GB" w:bidi="en-US"/>
        </w:rPr>
        <w:t>of persons with disabilities</w:t>
      </w:r>
    </w:p>
    <w:p w14:paraId="00AA88EC" w14:textId="77777777" w:rsidR="0006275C" w:rsidRDefault="0006275C" w:rsidP="0006275C">
      <w:pPr>
        <w:spacing w:after="0" w:line="240" w:lineRule="auto"/>
        <w:jc w:val="right"/>
        <w:rPr>
          <w:rFonts w:ascii="Verdana" w:hAnsi="Verdana"/>
          <w:sz w:val="36"/>
          <w:szCs w:val="20"/>
          <w:lang w:val="en-GB" w:bidi="en-US"/>
        </w:rPr>
      </w:pPr>
    </w:p>
    <w:p w14:paraId="29536CD9" w14:textId="77777777" w:rsidR="0006275C" w:rsidRDefault="0006275C" w:rsidP="0006275C">
      <w:pPr>
        <w:spacing w:after="0" w:line="240" w:lineRule="auto"/>
        <w:jc w:val="right"/>
        <w:rPr>
          <w:rFonts w:ascii="Verdana" w:hAnsi="Verdana"/>
          <w:sz w:val="36"/>
          <w:szCs w:val="20"/>
          <w:lang w:val="en-GB" w:bidi="en-US"/>
        </w:rPr>
      </w:pPr>
      <w:r>
        <w:rPr>
          <w:rFonts w:ascii="Verdana" w:hAnsi="Verdana"/>
          <w:sz w:val="36"/>
          <w:szCs w:val="20"/>
          <w:lang w:val="en-GB" w:bidi="en-US"/>
        </w:rPr>
        <w:t>2014</w:t>
      </w:r>
    </w:p>
    <w:p w14:paraId="52C361D0" w14:textId="77777777" w:rsidR="0006275C" w:rsidRDefault="0006275C" w:rsidP="0006275C">
      <w:pPr>
        <w:spacing w:after="0" w:line="240" w:lineRule="auto"/>
        <w:jc w:val="right"/>
        <w:rPr>
          <w:rFonts w:ascii="Verdana" w:hAnsi="Verdana"/>
          <w:sz w:val="36"/>
          <w:szCs w:val="20"/>
          <w:lang w:val="en-GB" w:bidi="en-US"/>
        </w:rPr>
      </w:pPr>
    </w:p>
    <w:p w14:paraId="1E8CB79F" w14:textId="77777777" w:rsidR="0006275C" w:rsidRDefault="0006275C" w:rsidP="0006275C">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Pr="00B510C6">
        <w:rPr>
          <w:rFonts w:ascii="Verdana" w:hAnsi="Verdana"/>
          <w:sz w:val="20"/>
          <w:szCs w:val="20"/>
          <w:lang w:val="en-IE"/>
        </w:rPr>
        <w:t>These reports are made publicly 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4CCD8664" w14:textId="783824AC" w:rsidR="0006275C" w:rsidRPr="0006275C" w:rsidRDefault="0006275C" w:rsidP="0006275C">
      <w:pPr>
        <w:pStyle w:val="FRAHeading1"/>
        <w:rPr>
          <w:rFonts w:ascii="Verdana" w:hAnsi="Verdana"/>
          <w:sz w:val="20"/>
          <w:szCs w:val="20"/>
          <w:lang w:val="en-IE"/>
        </w:rPr>
      </w:pPr>
      <w:r w:rsidRPr="0006275C">
        <w:rPr>
          <w:rFonts w:ascii="Verdana" w:hAnsi="Verdana"/>
          <w:sz w:val="20"/>
          <w:szCs w:val="20"/>
          <w:lang w:val="en-IE"/>
        </w:rPr>
        <w:t>FRANET contractor: Jesuit Centre for Faith and Justice Foundation</w:t>
      </w:r>
    </w:p>
    <w:p w14:paraId="46117FD3" w14:textId="008393A2" w:rsidR="00E53C09" w:rsidRPr="00415BF7" w:rsidRDefault="00E53C09" w:rsidP="0006275C">
      <w:pPr>
        <w:spacing w:after="0" w:line="240" w:lineRule="auto"/>
        <w:jc w:val="right"/>
        <w:rPr>
          <w:rFonts w:ascii="Verdana" w:hAnsi="Verdana"/>
          <w:sz w:val="20"/>
          <w:szCs w:val="20"/>
          <w:lang w:val="mt-MT"/>
        </w:rPr>
      </w:pPr>
      <w:r w:rsidRPr="00415BF7">
        <w:rPr>
          <w:rFonts w:ascii="Verdana" w:hAnsi="Verdana"/>
          <w:sz w:val="20"/>
          <w:szCs w:val="20"/>
        </w:rPr>
        <w:br w:type="page"/>
      </w:r>
    </w:p>
    <w:p w14:paraId="46117FD4" w14:textId="77777777" w:rsidR="00E53C09" w:rsidRPr="00415BF7" w:rsidRDefault="00E53C09" w:rsidP="00307F89">
      <w:pPr>
        <w:numPr>
          <w:ilvl w:val="0"/>
          <w:numId w:val="6"/>
        </w:numPr>
        <w:spacing w:line="240" w:lineRule="auto"/>
        <w:ind w:left="567" w:hanging="567"/>
        <w:contextualSpacing/>
        <w:jc w:val="both"/>
        <w:rPr>
          <w:rFonts w:ascii="Verdana" w:hAnsi="Verdana"/>
          <w:b/>
          <w:sz w:val="24"/>
          <w:szCs w:val="20"/>
          <w:lang w:val="en-GB"/>
        </w:rPr>
      </w:pPr>
      <w:r w:rsidRPr="00415BF7">
        <w:rPr>
          <w:rFonts w:ascii="Verdana" w:hAnsi="Verdana"/>
          <w:b/>
          <w:sz w:val="24"/>
          <w:szCs w:val="20"/>
          <w:lang w:val="en-GB"/>
        </w:rPr>
        <w:lastRenderedPageBreak/>
        <w:t>STRUCTURE INDICATORS</w:t>
      </w:r>
    </w:p>
    <w:p w14:paraId="46117FD6" w14:textId="77777777" w:rsidR="00E53C09" w:rsidRPr="00415BF7" w:rsidRDefault="00E53C09" w:rsidP="006B7FC1">
      <w:pPr>
        <w:spacing w:line="240" w:lineRule="auto"/>
        <w:contextualSpacing/>
        <w:jc w:val="both"/>
        <w:rPr>
          <w:rFonts w:ascii="Verdana" w:hAnsi="Verdana"/>
          <w:sz w:val="20"/>
          <w:szCs w:val="20"/>
          <w:lang w:val="en-GB"/>
        </w:rPr>
      </w:pPr>
    </w:p>
    <w:tbl>
      <w:tblPr>
        <w:tblW w:w="13364" w:type="dxa"/>
        <w:tblInd w:w="-70" w:type="dxa"/>
        <w:tblLayout w:type="fixed"/>
        <w:tblLook w:val="0000" w:firstRow="0" w:lastRow="0" w:firstColumn="0" w:lastColumn="0" w:noHBand="0" w:noVBand="0"/>
      </w:tblPr>
      <w:tblGrid>
        <w:gridCol w:w="4717"/>
        <w:gridCol w:w="8647"/>
      </w:tblGrid>
      <w:tr w:rsidR="0043168A" w:rsidRPr="00415BF7" w14:paraId="1D369A53" w14:textId="77777777" w:rsidTr="0043168A">
        <w:trPr>
          <w:trHeight w:val="454"/>
        </w:trPr>
        <w:tc>
          <w:tcPr>
            <w:tcW w:w="4717" w:type="dxa"/>
            <w:tcBorders>
              <w:top w:val="single" w:sz="4" w:space="0" w:color="000000"/>
              <w:left w:val="single" w:sz="4" w:space="0" w:color="000000"/>
              <w:bottom w:val="single" w:sz="4" w:space="0" w:color="000000"/>
            </w:tcBorders>
            <w:shd w:val="clear" w:color="auto" w:fill="C6D9F1"/>
            <w:vAlign w:val="center"/>
          </w:tcPr>
          <w:p w14:paraId="7C0767B7" w14:textId="77777777" w:rsidR="0043168A" w:rsidRPr="00415BF7" w:rsidRDefault="0043168A" w:rsidP="00415BF7">
            <w:pPr>
              <w:spacing w:before="240" w:after="0" w:line="100" w:lineRule="atLeast"/>
              <w:rPr>
                <w:rFonts w:ascii="Verdana" w:hAnsi="Verdana"/>
                <w:b/>
                <w:sz w:val="20"/>
                <w:szCs w:val="20"/>
                <w:lang w:val="en-GB"/>
              </w:rPr>
            </w:pPr>
            <w:r w:rsidRPr="00415BF7">
              <w:rPr>
                <w:rFonts w:ascii="Verdana" w:hAnsi="Verdana"/>
                <w:b/>
                <w:sz w:val="20"/>
                <w:szCs w:val="20"/>
                <w:lang w:val="en-GB"/>
              </w:rPr>
              <w:t>Structure indicators</w:t>
            </w:r>
          </w:p>
        </w:tc>
        <w:tc>
          <w:tcPr>
            <w:tcW w:w="864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5E27F33" w14:textId="77777777" w:rsidR="0043168A" w:rsidRPr="00415BF7" w:rsidRDefault="0043168A" w:rsidP="00415BF7">
            <w:pPr>
              <w:spacing w:before="240" w:after="0" w:line="100" w:lineRule="atLeast"/>
              <w:rPr>
                <w:rFonts w:ascii="Verdana" w:hAnsi="Verdana"/>
                <w:sz w:val="20"/>
                <w:szCs w:val="20"/>
                <w:lang w:val="en-GB"/>
              </w:rPr>
            </w:pPr>
            <w:r w:rsidRPr="00415BF7">
              <w:rPr>
                <w:rFonts w:ascii="Verdana" w:hAnsi="Verdana"/>
                <w:b/>
                <w:sz w:val="20"/>
                <w:szCs w:val="20"/>
                <w:lang w:val="en-GB"/>
              </w:rPr>
              <w:t>Source and supporting information</w:t>
            </w:r>
          </w:p>
        </w:tc>
      </w:tr>
      <w:tr w:rsidR="0043168A" w:rsidRPr="00415BF7" w14:paraId="757C9BE7" w14:textId="77777777" w:rsidTr="0043168A">
        <w:trPr>
          <w:trHeight w:val="454"/>
        </w:trPr>
        <w:tc>
          <w:tcPr>
            <w:tcW w:w="4717" w:type="dxa"/>
            <w:tcBorders>
              <w:top w:val="single" w:sz="4" w:space="0" w:color="000000"/>
              <w:left w:val="single" w:sz="4" w:space="0" w:color="000000"/>
              <w:bottom w:val="single" w:sz="4" w:space="0" w:color="000000"/>
            </w:tcBorders>
            <w:shd w:val="clear" w:color="auto" w:fill="auto"/>
            <w:vAlign w:val="center"/>
          </w:tcPr>
          <w:p w14:paraId="5822C3F4" w14:textId="0722CA51" w:rsidR="0043168A" w:rsidRPr="00415BF7" w:rsidRDefault="0043168A" w:rsidP="00415BF7">
            <w:pPr>
              <w:rPr>
                <w:rFonts w:ascii="Verdana" w:hAnsi="Verdana"/>
                <w:sz w:val="20"/>
                <w:szCs w:val="20"/>
              </w:rPr>
            </w:pPr>
            <w:r w:rsidRPr="00415BF7">
              <w:rPr>
                <w:rFonts w:ascii="Verdana" w:hAnsi="Verdana"/>
                <w:sz w:val="20"/>
                <w:szCs w:val="20"/>
              </w:rPr>
              <w:t xml:space="preserve">Has </w:t>
            </w:r>
            <w:r>
              <w:rPr>
                <w:rFonts w:ascii="Verdana" w:hAnsi="Verdana"/>
                <w:sz w:val="20"/>
                <w:szCs w:val="20"/>
              </w:rPr>
              <w:t>Malta</w:t>
            </w:r>
            <w:r w:rsidRPr="00415BF7">
              <w:rPr>
                <w:rFonts w:ascii="Verdana" w:hAnsi="Verdana"/>
                <w:sz w:val="20"/>
                <w:szCs w:val="20"/>
              </w:rPr>
              <w:t xml:space="preserve"> ratified the CRPD without a reservation to Article 29? Please give details of any reservation.</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90356" w14:textId="724F9583" w:rsidR="0043168A" w:rsidRDefault="0043168A" w:rsidP="00F44993">
            <w:pPr>
              <w:rPr>
                <w:rStyle w:val="Hyperlink"/>
                <w:rFonts w:ascii="Verdana" w:hAnsi="Verdana" w:cstheme="minorHAnsi"/>
                <w:sz w:val="20"/>
                <w:szCs w:val="20"/>
              </w:rPr>
            </w:pPr>
            <w:r>
              <w:rPr>
                <w:rFonts w:ascii="Verdana" w:hAnsi="Verdana" w:cstheme="minorHAnsi"/>
                <w:sz w:val="20"/>
                <w:szCs w:val="20"/>
              </w:rPr>
              <w:t xml:space="preserve">Malta has made a reservation to </w:t>
            </w:r>
            <w:r w:rsidRPr="00415BF7">
              <w:rPr>
                <w:rFonts w:ascii="Verdana" w:hAnsi="Verdana"/>
                <w:sz w:val="20"/>
                <w:szCs w:val="20"/>
                <w:lang w:val="en-GB"/>
              </w:rPr>
              <w:t xml:space="preserve">Article 29a </w:t>
            </w:r>
            <w:r w:rsidRPr="00415BF7">
              <w:rPr>
                <w:rFonts w:ascii="Verdana" w:hAnsi="Verdana" w:cstheme="minorHAnsi"/>
                <w:sz w:val="20"/>
                <w:szCs w:val="20"/>
              </w:rPr>
              <w:t xml:space="preserve"> </w:t>
            </w:r>
            <w:r>
              <w:rPr>
                <w:rFonts w:ascii="Verdana" w:hAnsi="Verdana" w:cstheme="minorHAnsi"/>
                <w:sz w:val="20"/>
                <w:szCs w:val="20"/>
              </w:rPr>
              <w:t>upon ratification</w:t>
            </w:r>
            <w:r>
              <w:rPr>
                <w:rStyle w:val="FootnoteReference"/>
                <w:rFonts w:ascii="Verdana" w:hAnsi="Verdana"/>
                <w:sz w:val="20"/>
                <w:szCs w:val="20"/>
              </w:rPr>
              <w:footnoteReference w:id="1"/>
            </w:r>
            <w:r>
              <w:rPr>
                <w:rFonts w:ascii="Verdana" w:hAnsi="Verdana" w:cstheme="minorHAnsi"/>
                <w:sz w:val="20"/>
                <w:szCs w:val="20"/>
              </w:rPr>
              <w:t xml:space="preserve">  on </w:t>
            </w:r>
            <w:r w:rsidRPr="00415BF7">
              <w:rPr>
                <w:rFonts w:ascii="Verdana" w:hAnsi="Verdana" w:cstheme="minorHAnsi"/>
                <w:sz w:val="20"/>
                <w:szCs w:val="20"/>
              </w:rPr>
              <w:t>10 Oct 2012</w:t>
            </w:r>
            <w:r>
              <w:rPr>
                <w:rFonts w:ascii="Verdana" w:hAnsi="Verdana" w:cstheme="minorHAnsi"/>
                <w:sz w:val="20"/>
                <w:szCs w:val="20"/>
              </w:rPr>
              <w:t xml:space="preserve">: </w:t>
            </w:r>
          </w:p>
          <w:p w14:paraId="7DC7CFD2" w14:textId="3FE83EE3" w:rsidR="0043168A" w:rsidRPr="001B04A3" w:rsidRDefault="0043168A" w:rsidP="001B04A3">
            <w:pPr>
              <w:rPr>
                <w:rFonts w:ascii="Verdana" w:hAnsi="Verdana"/>
                <w:i/>
                <w:sz w:val="20"/>
                <w:szCs w:val="20"/>
                <w:lang w:val="en-GB"/>
              </w:rPr>
            </w:pPr>
            <w:r w:rsidRPr="001B04A3">
              <w:rPr>
                <w:rFonts w:ascii="Verdana" w:hAnsi="Verdana"/>
                <w:i/>
                <w:sz w:val="20"/>
                <w:szCs w:val="20"/>
              </w:rPr>
              <w:t>“[…] Pursuant to Article 29 (a) (i) and (iii) of the Convention, while the Government of Malta is fully committed to ensure the effective and full participation of persons with disabilities in political and public life, including the exercise of their right to vote by secret ballot in elections and referenda, and to stand for elections, Malta makes the following reservations:</w:t>
            </w:r>
            <w:r w:rsidRPr="001B04A3">
              <w:rPr>
                <w:rFonts w:ascii="Verdana" w:hAnsi="Verdana"/>
                <w:i/>
                <w:sz w:val="20"/>
                <w:szCs w:val="20"/>
              </w:rPr>
              <w:br/>
              <w:t>With regard to (a) (i):</w:t>
            </w:r>
            <w:r>
              <w:rPr>
                <w:rFonts w:ascii="Verdana" w:hAnsi="Verdana"/>
                <w:i/>
                <w:sz w:val="20"/>
                <w:szCs w:val="20"/>
              </w:rPr>
              <w:t xml:space="preserve"> </w:t>
            </w:r>
            <w:r w:rsidRPr="001B04A3">
              <w:rPr>
                <w:rFonts w:ascii="Verdana" w:hAnsi="Verdana"/>
                <w:i/>
                <w:sz w:val="20"/>
                <w:szCs w:val="20"/>
              </w:rPr>
              <w:t>Malta reserves the right to continue to apply its current electoral legislation in so far as voting procedures, facilities and materials are concerned.</w:t>
            </w:r>
            <w:r w:rsidRPr="001B04A3">
              <w:rPr>
                <w:rFonts w:ascii="Verdana" w:hAnsi="Verdana"/>
                <w:i/>
                <w:sz w:val="20"/>
                <w:szCs w:val="20"/>
              </w:rPr>
              <w:br/>
              <w:t>With regard to (a) (iii):</w:t>
            </w:r>
            <w:r>
              <w:rPr>
                <w:rFonts w:ascii="Verdana" w:hAnsi="Verdana"/>
                <w:i/>
                <w:sz w:val="20"/>
                <w:szCs w:val="20"/>
              </w:rPr>
              <w:t xml:space="preserve"> </w:t>
            </w:r>
            <w:r w:rsidRPr="001B04A3">
              <w:rPr>
                <w:rFonts w:ascii="Verdana" w:hAnsi="Verdana"/>
                <w:i/>
                <w:sz w:val="20"/>
                <w:szCs w:val="20"/>
              </w:rPr>
              <w:t>Malta reserves the right to continue to apply its current electoral legislation in so far as assistance in voting procedures is concerned.”</w:t>
            </w:r>
            <w:r w:rsidRPr="001B04A3">
              <w:rPr>
                <w:rStyle w:val="FootnoteReference"/>
                <w:rFonts w:ascii="Verdana" w:hAnsi="Verdana"/>
                <w:i/>
                <w:sz w:val="20"/>
                <w:szCs w:val="20"/>
              </w:rPr>
              <w:footnoteReference w:id="2"/>
            </w:r>
          </w:p>
        </w:tc>
      </w:tr>
      <w:tr w:rsidR="0043168A" w:rsidRPr="00415BF7" w14:paraId="1B83F57C" w14:textId="77777777" w:rsidTr="0043168A">
        <w:trPr>
          <w:trHeight w:val="454"/>
        </w:trPr>
        <w:tc>
          <w:tcPr>
            <w:tcW w:w="4717" w:type="dxa"/>
            <w:tcBorders>
              <w:top w:val="single" w:sz="4" w:space="0" w:color="000000"/>
              <w:left w:val="single" w:sz="4" w:space="0" w:color="000000"/>
              <w:bottom w:val="single" w:sz="4" w:space="0" w:color="000000"/>
            </w:tcBorders>
            <w:shd w:val="clear" w:color="auto" w:fill="auto"/>
            <w:vAlign w:val="center"/>
          </w:tcPr>
          <w:p w14:paraId="6F220F7D" w14:textId="7227B228" w:rsidR="0043168A" w:rsidRPr="00415BF7" w:rsidRDefault="0043168A" w:rsidP="00415BF7">
            <w:pPr>
              <w:rPr>
                <w:rFonts w:ascii="Verdana" w:hAnsi="Verdana"/>
                <w:sz w:val="20"/>
                <w:szCs w:val="20"/>
              </w:rPr>
            </w:pPr>
            <w:r w:rsidRPr="00415BF7">
              <w:rPr>
                <w:rFonts w:ascii="Verdana" w:hAnsi="Verdana"/>
                <w:sz w:val="20"/>
                <w:szCs w:val="20"/>
              </w:rPr>
              <w:t xml:space="preserve">Has </w:t>
            </w:r>
            <w:r>
              <w:rPr>
                <w:rFonts w:ascii="Verdana" w:hAnsi="Verdana"/>
                <w:sz w:val="20"/>
                <w:szCs w:val="20"/>
              </w:rPr>
              <w:t>Malta</w:t>
            </w:r>
            <w:r w:rsidRPr="00415BF7" w:rsidDel="00415BF7">
              <w:rPr>
                <w:rFonts w:ascii="Verdana" w:hAnsi="Verdana"/>
                <w:sz w:val="20"/>
                <w:szCs w:val="20"/>
              </w:rPr>
              <w:t xml:space="preserve"> </w:t>
            </w:r>
            <w:r>
              <w:rPr>
                <w:rFonts w:ascii="Verdana" w:hAnsi="Verdana"/>
                <w:sz w:val="20"/>
                <w:szCs w:val="20"/>
              </w:rPr>
              <w:t xml:space="preserve"> </w:t>
            </w:r>
            <w:r w:rsidRPr="00415BF7">
              <w:rPr>
                <w:rFonts w:ascii="Verdana" w:hAnsi="Verdana"/>
                <w:sz w:val="20"/>
                <w:szCs w:val="20"/>
              </w:rPr>
              <w:t>ratified the CRPD without a reservation to Article 12? Please give details of any reservation.</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7CB6C" w14:textId="448F5E63" w:rsidR="0043168A" w:rsidRPr="00415BF7" w:rsidRDefault="0043168A" w:rsidP="00377FF8">
            <w:pPr>
              <w:spacing w:before="240"/>
              <w:contextualSpacing/>
              <w:jc w:val="both"/>
              <w:rPr>
                <w:rFonts w:ascii="Verdana" w:hAnsi="Verdana"/>
                <w:sz w:val="20"/>
                <w:szCs w:val="20"/>
                <w:lang w:val="en-GB"/>
              </w:rPr>
            </w:pPr>
            <w:r w:rsidRPr="00415BF7">
              <w:rPr>
                <w:rFonts w:ascii="Verdana" w:hAnsi="Verdana" w:cstheme="minorHAnsi"/>
                <w:sz w:val="20"/>
                <w:szCs w:val="20"/>
              </w:rPr>
              <w:t>Yes</w:t>
            </w:r>
            <w:r>
              <w:rPr>
                <w:rStyle w:val="FootnoteReference"/>
                <w:rFonts w:ascii="Verdana" w:hAnsi="Verdana"/>
                <w:sz w:val="20"/>
                <w:szCs w:val="20"/>
              </w:rPr>
              <w:footnoteReference w:id="3"/>
            </w:r>
            <w:r w:rsidRPr="00415BF7" w:rsidDel="00F44993">
              <w:rPr>
                <w:rFonts w:ascii="Verdana" w:hAnsi="Verdana"/>
                <w:sz w:val="20"/>
                <w:szCs w:val="20"/>
              </w:rPr>
              <w:t xml:space="preserve"> </w:t>
            </w:r>
          </w:p>
        </w:tc>
      </w:tr>
      <w:tr w:rsidR="0043168A" w:rsidRPr="00415BF7" w14:paraId="15EB8C81" w14:textId="77777777" w:rsidTr="0043168A">
        <w:trPr>
          <w:trHeight w:val="454"/>
        </w:trPr>
        <w:tc>
          <w:tcPr>
            <w:tcW w:w="4717" w:type="dxa"/>
            <w:tcBorders>
              <w:top w:val="single" w:sz="4" w:space="0" w:color="000000"/>
              <w:left w:val="single" w:sz="4" w:space="0" w:color="000000"/>
              <w:bottom w:val="single" w:sz="4" w:space="0" w:color="000000"/>
            </w:tcBorders>
            <w:shd w:val="clear" w:color="auto" w:fill="FFFFFF"/>
            <w:vAlign w:val="center"/>
          </w:tcPr>
          <w:p w14:paraId="6AE13467" w14:textId="4B24D98D" w:rsidR="0043168A" w:rsidRPr="00415BF7" w:rsidRDefault="0043168A" w:rsidP="00415BF7">
            <w:pPr>
              <w:rPr>
                <w:rFonts w:ascii="Verdana" w:hAnsi="Verdana"/>
                <w:sz w:val="20"/>
                <w:szCs w:val="20"/>
              </w:rPr>
            </w:pPr>
            <w:r w:rsidRPr="00415BF7">
              <w:rPr>
                <w:rFonts w:ascii="Verdana" w:hAnsi="Verdana"/>
                <w:sz w:val="20"/>
                <w:szCs w:val="20"/>
              </w:rPr>
              <w:t xml:space="preserve">Has </w:t>
            </w:r>
            <w:r>
              <w:rPr>
                <w:rFonts w:ascii="Verdana" w:hAnsi="Verdana"/>
                <w:sz w:val="20"/>
                <w:szCs w:val="20"/>
              </w:rPr>
              <w:t>Malta</w:t>
            </w:r>
            <w:r w:rsidRPr="00415BF7" w:rsidDel="00415BF7">
              <w:rPr>
                <w:rFonts w:ascii="Verdana" w:hAnsi="Verdana"/>
                <w:sz w:val="20"/>
                <w:szCs w:val="20"/>
              </w:rPr>
              <w:t xml:space="preserve"> </w:t>
            </w:r>
            <w:r>
              <w:rPr>
                <w:rFonts w:ascii="Verdana" w:hAnsi="Verdana"/>
                <w:sz w:val="20"/>
                <w:szCs w:val="20"/>
              </w:rPr>
              <w:t xml:space="preserve"> </w:t>
            </w:r>
            <w:r w:rsidRPr="00415BF7">
              <w:rPr>
                <w:rFonts w:ascii="Verdana" w:hAnsi="Verdana"/>
                <w:sz w:val="20"/>
                <w:szCs w:val="20"/>
              </w:rPr>
              <w:t>ratified the CRPD without a reservation to Article 9? Please give details of any reservation.</w:t>
            </w:r>
          </w:p>
        </w:tc>
        <w:tc>
          <w:tcPr>
            <w:tcW w:w="86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091F5" w14:textId="49FBD79F" w:rsidR="0043168A" w:rsidRDefault="0043168A" w:rsidP="00377FF8">
            <w:pPr>
              <w:rPr>
                <w:rFonts w:ascii="Verdana" w:hAnsi="Verdana" w:cstheme="minorHAnsi"/>
                <w:sz w:val="20"/>
                <w:szCs w:val="20"/>
              </w:rPr>
            </w:pPr>
            <w:r>
              <w:rPr>
                <w:rFonts w:ascii="Verdana" w:hAnsi="Verdana" w:cstheme="minorHAnsi"/>
                <w:sz w:val="20"/>
                <w:szCs w:val="20"/>
              </w:rPr>
              <w:t>Yes</w:t>
            </w:r>
            <w:r>
              <w:rPr>
                <w:rStyle w:val="FootnoteReference"/>
                <w:rFonts w:ascii="Verdana" w:hAnsi="Verdana"/>
                <w:sz w:val="20"/>
                <w:szCs w:val="20"/>
              </w:rPr>
              <w:footnoteReference w:id="4"/>
            </w:r>
          </w:p>
          <w:p w14:paraId="55EA3B23" w14:textId="1C0C3027" w:rsidR="0043168A" w:rsidRPr="00415BF7" w:rsidRDefault="0043168A" w:rsidP="00377FF8">
            <w:pPr>
              <w:spacing w:before="240"/>
              <w:contextualSpacing/>
              <w:jc w:val="both"/>
              <w:rPr>
                <w:rFonts w:ascii="Verdana" w:hAnsi="Verdana"/>
                <w:sz w:val="20"/>
                <w:szCs w:val="20"/>
                <w:lang w:val="en-GB"/>
              </w:rPr>
            </w:pPr>
          </w:p>
        </w:tc>
      </w:tr>
      <w:tr w:rsidR="0043168A" w:rsidRPr="00415BF7" w14:paraId="2B642E1D" w14:textId="77777777" w:rsidTr="0043168A">
        <w:trPr>
          <w:trHeight w:val="454"/>
        </w:trPr>
        <w:tc>
          <w:tcPr>
            <w:tcW w:w="4717" w:type="dxa"/>
            <w:tcBorders>
              <w:top w:val="single" w:sz="4" w:space="0" w:color="000000"/>
              <w:left w:val="single" w:sz="4" w:space="0" w:color="000000"/>
              <w:bottom w:val="single" w:sz="4" w:space="0" w:color="000000"/>
            </w:tcBorders>
            <w:shd w:val="clear" w:color="auto" w:fill="FFFFFF"/>
            <w:vAlign w:val="center"/>
          </w:tcPr>
          <w:p w14:paraId="45EF1E26" w14:textId="77777777" w:rsidR="0043168A" w:rsidRPr="00415BF7" w:rsidRDefault="0043168A" w:rsidP="00415BF7">
            <w:pPr>
              <w:rPr>
                <w:rFonts w:ascii="Verdana" w:hAnsi="Verdana"/>
                <w:sz w:val="20"/>
                <w:szCs w:val="20"/>
              </w:rPr>
            </w:pPr>
            <w:r w:rsidRPr="00415BF7">
              <w:rPr>
                <w:rFonts w:ascii="Verdana" w:hAnsi="Verdana"/>
                <w:sz w:val="20"/>
                <w:szCs w:val="20"/>
              </w:rPr>
              <w:t xml:space="preserve">Please indicate the legislation which applies to European Parliament and municipal </w:t>
            </w:r>
            <w:r w:rsidRPr="00415BF7">
              <w:rPr>
                <w:rFonts w:ascii="Verdana" w:hAnsi="Verdana"/>
                <w:sz w:val="20"/>
                <w:szCs w:val="20"/>
              </w:rPr>
              <w:lastRenderedPageBreak/>
              <w:t>elections in your country. Please highlight possible amendments in view of the 2014 European Parliament elections.</w:t>
            </w:r>
          </w:p>
          <w:p w14:paraId="075FA1FC" w14:textId="77777777" w:rsidR="0043168A" w:rsidRPr="00415BF7" w:rsidRDefault="0043168A" w:rsidP="00415BF7">
            <w:pPr>
              <w:rPr>
                <w:rFonts w:ascii="Verdana" w:hAnsi="Verdana"/>
                <w:sz w:val="20"/>
                <w:szCs w:val="20"/>
                <w:highlight w:val="lightGray"/>
              </w:rPr>
            </w:pPr>
            <w:r w:rsidRPr="00415BF7">
              <w:rPr>
                <w:rFonts w:ascii="Verdana" w:hAnsi="Verdana"/>
                <w:sz w:val="20"/>
                <w:szCs w:val="20"/>
              </w:rPr>
              <w:t>Does the same law apply for national, federal, local and regional elections, and referendums?</w:t>
            </w:r>
          </w:p>
        </w:tc>
        <w:tc>
          <w:tcPr>
            <w:tcW w:w="86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AEF3E" w14:textId="1F26A646" w:rsidR="0043168A" w:rsidRPr="00415BF7" w:rsidRDefault="0043168A" w:rsidP="00415BF7">
            <w:pPr>
              <w:spacing w:before="240" w:after="0" w:line="240" w:lineRule="auto"/>
              <w:contextualSpacing/>
              <w:jc w:val="both"/>
              <w:rPr>
                <w:rFonts w:ascii="Verdana" w:hAnsi="Verdana"/>
                <w:sz w:val="20"/>
                <w:szCs w:val="20"/>
                <w:lang w:val="en-GB"/>
              </w:rPr>
            </w:pPr>
            <w:r w:rsidRPr="00415BF7">
              <w:rPr>
                <w:rFonts w:ascii="Verdana" w:hAnsi="Verdana"/>
                <w:sz w:val="20"/>
                <w:szCs w:val="20"/>
                <w:lang w:val="en-GB"/>
              </w:rPr>
              <w:lastRenderedPageBreak/>
              <w:t>European Parliament election</w:t>
            </w:r>
            <w:r>
              <w:rPr>
                <w:rFonts w:ascii="Verdana" w:hAnsi="Verdana"/>
                <w:sz w:val="20"/>
                <w:szCs w:val="20"/>
                <w:lang w:val="en-GB"/>
              </w:rPr>
              <w:t>s</w:t>
            </w:r>
            <w:r w:rsidRPr="00415BF7">
              <w:rPr>
                <w:rFonts w:ascii="Verdana" w:hAnsi="Verdana"/>
                <w:sz w:val="20"/>
                <w:szCs w:val="20"/>
                <w:lang w:val="en-GB"/>
              </w:rPr>
              <w:t xml:space="preserve">:  </w:t>
            </w:r>
          </w:p>
          <w:p w14:paraId="3220A5D2" w14:textId="0796CE55" w:rsidR="0043168A" w:rsidRPr="00415BF7" w:rsidRDefault="0043168A" w:rsidP="00415BF7">
            <w:pPr>
              <w:spacing w:before="240" w:after="0" w:line="240" w:lineRule="auto"/>
              <w:contextualSpacing/>
              <w:jc w:val="both"/>
              <w:rPr>
                <w:rFonts w:ascii="Verdana" w:hAnsi="Verdana"/>
                <w:sz w:val="20"/>
                <w:szCs w:val="20"/>
                <w:lang w:val="en-GB"/>
              </w:rPr>
            </w:pPr>
            <w:r w:rsidRPr="00415BF7">
              <w:rPr>
                <w:rFonts w:ascii="Verdana" w:hAnsi="Verdana"/>
                <w:sz w:val="20"/>
                <w:szCs w:val="20"/>
                <w:lang w:val="en-GB"/>
              </w:rPr>
              <w:t>European Parliament Elections Act, Chapter 467 of the laws of Malta.</w:t>
            </w:r>
            <w:r w:rsidRPr="00415BF7">
              <w:rPr>
                <w:rStyle w:val="FootnoteReference"/>
                <w:rFonts w:ascii="Verdana" w:hAnsi="Verdana"/>
                <w:sz w:val="20"/>
                <w:szCs w:val="20"/>
                <w:lang w:val="en-GB"/>
              </w:rPr>
              <w:footnoteReference w:id="5"/>
            </w:r>
            <w:r w:rsidRPr="00415BF7">
              <w:rPr>
                <w:rFonts w:ascii="Verdana" w:hAnsi="Verdana"/>
                <w:sz w:val="20"/>
                <w:szCs w:val="20"/>
                <w:lang w:val="en-GB"/>
              </w:rPr>
              <w:t xml:space="preserve">  Municipal </w:t>
            </w:r>
            <w:r w:rsidRPr="00415BF7">
              <w:rPr>
                <w:rFonts w:ascii="Verdana" w:hAnsi="Verdana"/>
                <w:sz w:val="20"/>
                <w:szCs w:val="20"/>
                <w:lang w:val="en-GB"/>
              </w:rPr>
              <w:lastRenderedPageBreak/>
              <w:t xml:space="preserve">Elections: </w:t>
            </w:r>
          </w:p>
          <w:p w14:paraId="29863D49" w14:textId="77777777" w:rsidR="0043168A" w:rsidRPr="00415BF7" w:rsidRDefault="0043168A" w:rsidP="00415BF7">
            <w:pPr>
              <w:spacing w:before="240" w:after="0" w:line="240" w:lineRule="auto"/>
              <w:contextualSpacing/>
              <w:jc w:val="both"/>
              <w:rPr>
                <w:rFonts w:ascii="Verdana" w:hAnsi="Verdana"/>
                <w:sz w:val="20"/>
                <w:szCs w:val="20"/>
                <w:lang w:val="en-GB"/>
              </w:rPr>
            </w:pPr>
            <w:r w:rsidRPr="00415BF7">
              <w:rPr>
                <w:rFonts w:ascii="Verdana" w:hAnsi="Verdana"/>
                <w:sz w:val="20"/>
                <w:szCs w:val="20"/>
                <w:lang w:val="en-GB"/>
              </w:rPr>
              <w:t>Local Councils Act, Chapter 363 of the laws of Malta.</w:t>
            </w:r>
            <w:r w:rsidRPr="00415BF7">
              <w:rPr>
                <w:rStyle w:val="FootnoteReference"/>
                <w:rFonts w:ascii="Verdana" w:hAnsi="Verdana"/>
                <w:sz w:val="20"/>
                <w:szCs w:val="20"/>
                <w:lang w:val="en-GB"/>
              </w:rPr>
              <w:footnoteReference w:id="6"/>
            </w:r>
          </w:p>
          <w:p w14:paraId="1DE9E4C0" w14:textId="77777777" w:rsidR="0043168A" w:rsidRPr="00415BF7" w:rsidRDefault="0043168A" w:rsidP="00415BF7">
            <w:pPr>
              <w:spacing w:before="240" w:after="0" w:line="240" w:lineRule="auto"/>
              <w:contextualSpacing/>
              <w:jc w:val="both"/>
              <w:rPr>
                <w:rFonts w:ascii="Verdana" w:hAnsi="Verdana"/>
                <w:sz w:val="20"/>
                <w:szCs w:val="20"/>
                <w:lang w:val="en-GB"/>
              </w:rPr>
            </w:pPr>
          </w:p>
          <w:p w14:paraId="30F95B50" w14:textId="77777777" w:rsidR="0043168A" w:rsidRPr="00415BF7" w:rsidRDefault="0043168A" w:rsidP="00415BF7">
            <w:pPr>
              <w:spacing w:before="240" w:after="0" w:line="240" w:lineRule="auto"/>
              <w:contextualSpacing/>
              <w:jc w:val="both"/>
              <w:rPr>
                <w:rFonts w:ascii="Verdana" w:hAnsi="Verdana"/>
                <w:sz w:val="20"/>
                <w:szCs w:val="20"/>
                <w:lang w:val="en-GB"/>
              </w:rPr>
            </w:pPr>
            <w:r w:rsidRPr="00415BF7">
              <w:rPr>
                <w:rFonts w:ascii="Verdana" w:hAnsi="Verdana"/>
                <w:sz w:val="20"/>
                <w:szCs w:val="20"/>
                <w:lang w:val="en-GB"/>
              </w:rPr>
              <w:t>With regards to referenda, the relevant legislation is the Referenda Act, Chapter 237 of the laws of Malta.</w:t>
            </w:r>
            <w:r w:rsidRPr="00415BF7">
              <w:rPr>
                <w:rStyle w:val="FootnoteReference"/>
                <w:rFonts w:ascii="Verdana" w:hAnsi="Verdana"/>
                <w:sz w:val="20"/>
                <w:szCs w:val="20"/>
                <w:lang w:val="en-GB"/>
              </w:rPr>
              <w:footnoteReference w:id="7"/>
            </w:r>
            <w:r w:rsidRPr="00415BF7">
              <w:rPr>
                <w:rFonts w:ascii="Verdana" w:hAnsi="Verdana"/>
                <w:sz w:val="20"/>
                <w:szCs w:val="20"/>
                <w:lang w:val="en-GB"/>
              </w:rPr>
              <w:t xml:space="preserve"> </w:t>
            </w:r>
          </w:p>
          <w:p w14:paraId="6930E36D" w14:textId="77777777" w:rsidR="0043168A" w:rsidRPr="00415BF7" w:rsidRDefault="0043168A" w:rsidP="00415BF7">
            <w:pPr>
              <w:spacing w:before="240" w:after="0" w:line="240" w:lineRule="auto"/>
              <w:contextualSpacing/>
              <w:jc w:val="both"/>
              <w:rPr>
                <w:rFonts w:ascii="Verdana" w:hAnsi="Verdana"/>
                <w:sz w:val="20"/>
                <w:szCs w:val="20"/>
                <w:lang w:val="en-GB"/>
              </w:rPr>
            </w:pPr>
          </w:p>
          <w:p w14:paraId="7C4CDA6B" w14:textId="3636D116" w:rsidR="0043168A" w:rsidRPr="00415BF7" w:rsidRDefault="0043168A" w:rsidP="00415BF7">
            <w:pPr>
              <w:spacing w:before="240" w:after="0" w:line="240" w:lineRule="auto"/>
              <w:contextualSpacing/>
              <w:jc w:val="both"/>
              <w:rPr>
                <w:rFonts w:ascii="Verdana" w:hAnsi="Verdana"/>
                <w:sz w:val="20"/>
                <w:szCs w:val="20"/>
                <w:lang w:val="en-GB"/>
              </w:rPr>
            </w:pPr>
            <w:r w:rsidRPr="00415BF7">
              <w:rPr>
                <w:rFonts w:ascii="Verdana" w:hAnsi="Verdana"/>
                <w:sz w:val="20"/>
                <w:szCs w:val="20"/>
                <w:lang w:val="en-GB"/>
              </w:rPr>
              <w:t>General Elections Act, Chapter 354 of the laws of Malta.</w:t>
            </w:r>
            <w:r w:rsidRPr="00415BF7">
              <w:rPr>
                <w:rStyle w:val="FootnoteReference"/>
                <w:rFonts w:ascii="Verdana" w:hAnsi="Verdana"/>
                <w:sz w:val="20"/>
                <w:szCs w:val="20"/>
                <w:lang w:val="en-GB"/>
              </w:rPr>
              <w:footnoteReference w:id="8"/>
            </w:r>
            <w:r w:rsidRPr="00415BF7">
              <w:rPr>
                <w:rFonts w:ascii="Verdana" w:hAnsi="Verdana"/>
                <w:sz w:val="20"/>
                <w:szCs w:val="20"/>
                <w:lang w:val="en-GB"/>
              </w:rPr>
              <w:t xml:space="preserve"> There have been no amendments to date in view of the 2014 European Parliament Elections.</w:t>
            </w:r>
          </w:p>
        </w:tc>
      </w:tr>
      <w:tr w:rsidR="0043168A" w:rsidRPr="00415BF7" w14:paraId="6168C5FD" w14:textId="77777777" w:rsidTr="0043168A">
        <w:trPr>
          <w:trHeight w:val="454"/>
        </w:trPr>
        <w:tc>
          <w:tcPr>
            <w:tcW w:w="4717" w:type="dxa"/>
            <w:tcBorders>
              <w:top w:val="single" w:sz="4" w:space="0" w:color="000000"/>
              <w:left w:val="single" w:sz="4" w:space="0" w:color="000000"/>
              <w:bottom w:val="single" w:sz="4" w:space="0" w:color="000000"/>
            </w:tcBorders>
            <w:shd w:val="clear" w:color="auto" w:fill="FFFFFF"/>
            <w:vAlign w:val="center"/>
          </w:tcPr>
          <w:p w14:paraId="53C12673" w14:textId="77777777" w:rsidR="0043168A" w:rsidRPr="00415BF7" w:rsidRDefault="0043168A" w:rsidP="00415BF7">
            <w:pPr>
              <w:spacing w:before="240"/>
              <w:contextualSpacing/>
              <w:rPr>
                <w:rFonts w:ascii="Verdana" w:hAnsi="Verdana"/>
                <w:sz w:val="20"/>
                <w:szCs w:val="20"/>
                <w:lang w:val="en-GB"/>
              </w:rPr>
            </w:pPr>
            <w:r w:rsidRPr="00415BF7">
              <w:rPr>
                <w:rFonts w:ascii="Verdana" w:hAnsi="Verdana"/>
                <w:sz w:val="20"/>
                <w:szCs w:val="20"/>
                <w:lang w:val="en-GB"/>
              </w:rPr>
              <w:lastRenderedPageBreak/>
              <w:t>Is there a requirement under law to register to vote? If so, please specify the relevant legislation.</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Pr>
          <w:p w14:paraId="0E0AC47B" w14:textId="77777777" w:rsidR="0043168A" w:rsidRDefault="0043168A" w:rsidP="00415BF7">
            <w:pPr>
              <w:pStyle w:val="CommentText"/>
              <w:rPr>
                <w:rFonts w:ascii="Verdana" w:hAnsi="Verdana"/>
                <w:lang w:val="en-GB"/>
              </w:rPr>
            </w:pPr>
            <w:r>
              <w:rPr>
                <w:rFonts w:ascii="Verdana" w:hAnsi="Verdana"/>
                <w:lang w:val="en-GB"/>
              </w:rPr>
              <w:t>On</w:t>
            </w:r>
            <w:r w:rsidRPr="00415BF7">
              <w:rPr>
                <w:rFonts w:ascii="Verdana" w:hAnsi="Verdana"/>
                <w:lang w:val="en-GB"/>
              </w:rPr>
              <w:t>ly for EP elections</w:t>
            </w:r>
            <w:r>
              <w:rPr>
                <w:rFonts w:ascii="Verdana" w:hAnsi="Verdana"/>
                <w:lang w:val="en-GB"/>
              </w:rPr>
              <w:t>:</w:t>
            </w:r>
          </w:p>
          <w:p w14:paraId="1141E832" w14:textId="6EB37366" w:rsidR="0043168A" w:rsidRPr="00415BF7" w:rsidRDefault="0043168A" w:rsidP="00415BF7">
            <w:pPr>
              <w:pStyle w:val="CommentText"/>
              <w:rPr>
                <w:rFonts w:ascii="Verdana" w:hAnsi="Verdana"/>
              </w:rPr>
            </w:pPr>
            <w:r w:rsidRPr="00415BF7">
              <w:rPr>
                <w:rFonts w:ascii="Verdana" w:hAnsi="Verdana"/>
                <w:lang w:val="en-GB"/>
              </w:rPr>
              <w:t>European Parliament Elections: Article 14(1) of the European Parliament Elections Act, Chapter 467 of the laws of Malta, requires the registration of persons qualified to vote at the European Parliament Elections with the Electoral Commission.</w:t>
            </w:r>
            <w:r w:rsidRPr="00415BF7">
              <w:rPr>
                <w:rStyle w:val="FootnoteReference"/>
                <w:rFonts w:ascii="Verdana" w:hAnsi="Verdana"/>
                <w:lang w:val="en-GB"/>
              </w:rPr>
              <w:footnoteReference w:id="9"/>
            </w:r>
            <w:r w:rsidRPr="00415BF7">
              <w:rPr>
                <w:rFonts w:ascii="Verdana" w:hAnsi="Verdana"/>
                <w:lang w:val="en-GB"/>
              </w:rPr>
              <w:t xml:space="preserve"> </w:t>
            </w:r>
            <w:r w:rsidRPr="00415BF7">
              <w:rPr>
                <w:rFonts w:ascii="Verdana" w:hAnsi="Verdana"/>
              </w:rPr>
              <w:t xml:space="preserve"> Non-Maltese EU citizens residing in Malta who do not already hold a Malta ID card or residence document may apply for registration to vote in the European Parliament elections by first applying for their residence document at the Citizenship and Expatriate Affairs Department, Evans Building, St Elmo Square, Valletta, where they also complete the electoral register application. This filing of the electoral register application is also required in respect of non-Maltese EU citizens residing in Malta, already in possession of a Malta ID card or Residence document, and wishing to change their option into voting in Malta instead of in their home country in the same elections.</w:t>
            </w:r>
            <w:r>
              <w:rPr>
                <w:rStyle w:val="FootnoteReference"/>
                <w:rFonts w:ascii="Verdana" w:hAnsi="Verdana"/>
              </w:rPr>
              <w:footnoteReference w:id="10"/>
            </w:r>
          </w:p>
          <w:p w14:paraId="0AE8EF74" w14:textId="1917EFE2" w:rsidR="0043168A" w:rsidRDefault="0043168A" w:rsidP="00415BF7">
            <w:pPr>
              <w:spacing w:before="240" w:after="0" w:line="240" w:lineRule="auto"/>
              <w:contextualSpacing/>
              <w:rPr>
                <w:rFonts w:ascii="Verdana" w:hAnsi="Verdana"/>
                <w:sz w:val="20"/>
                <w:szCs w:val="20"/>
                <w:lang w:val="en-GB"/>
              </w:rPr>
            </w:pPr>
            <w:r w:rsidRPr="00415BF7">
              <w:rPr>
                <w:rFonts w:ascii="Verdana" w:hAnsi="Verdana"/>
              </w:rPr>
              <w:t xml:space="preserve">Once a person is registered for the European Parliament Elections, then </w:t>
            </w:r>
            <w:r w:rsidRPr="00415BF7">
              <w:rPr>
                <w:rFonts w:ascii="Verdana" w:hAnsi="Verdana"/>
              </w:rPr>
              <w:lastRenderedPageBreak/>
              <w:t xml:space="preserve">they have the right to vote in Municipal Elections. </w:t>
            </w:r>
            <w:r w:rsidRPr="00415BF7">
              <w:rPr>
                <w:rFonts w:ascii="Verdana" w:hAnsi="Verdana"/>
                <w:sz w:val="20"/>
                <w:szCs w:val="20"/>
                <w:lang w:val="en-GB"/>
              </w:rPr>
              <w:t>Municipal Elections: Article 5 of the Local Councils Act, Chapter 363 of the laws of Malta, states that any person on the Electoral Register (in accordance with the General Elections Act) and on the European Union Electoral Register (in accordance with the European Parliament Elections Act) has the right to vote.</w:t>
            </w:r>
            <w:r w:rsidRPr="00415BF7">
              <w:rPr>
                <w:rStyle w:val="FootnoteReference"/>
                <w:rFonts w:ascii="Verdana" w:hAnsi="Verdana"/>
                <w:sz w:val="20"/>
                <w:szCs w:val="20"/>
                <w:lang w:val="en-GB"/>
              </w:rPr>
              <w:footnoteReference w:id="11"/>
            </w:r>
          </w:p>
          <w:p w14:paraId="3F1F0185" w14:textId="465A5D9C" w:rsidR="0043168A" w:rsidRPr="00415BF7" w:rsidRDefault="0043168A" w:rsidP="00415BF7">
            <w:pPr>
              <w:spacing w:before="240" w:after="0" w:line="240" w:lineRule="auto"/>
              <w:contextualSpacing/>
              <w:rPr>
                <w:rFonts w:ascii="Verdana" w:hAnsi="Verdana"/>
                <w:sz w:val="20"/>
                <w:szCs w:val="20"/>
                <w:lang w:val="en-GB"/>
              </w:rPr>
            </w:pPr>
          </w:p>
          <w:p w14:paraId="641C0987" w14:textId="25B6E4C3" w:rsidR="0043168A" w:rsidRDefault="0043168A" w:rsidP="00415BF7">
            <w:pPr>
              <w:spacing w:before="240" w:after="0" w:line="240" w:lineRule="auto"/>
              <w:contextualSpacing/>
              <w:rPr>
                <w:rFonts w:ascii="Verdana" w:hAnsi="Verdana"/>
                <w:sz w:val="20"/>
                <w:szCs w:val="20"/>
              </w:rPr>
            </w:pPr>
            <w:r w:rsidRPr="00415BF7">
              <w:rPr>
                <w:rFonts w:ascii="Verdana" w:hAnsi="Verdana"/>
                <w:sz w:val="20"/>
                <w:szCs w:val="20"/>
              </w:rPr>
              <w:t xml:space="preserve">Article 57, </w:t>
            </w:r>
            <w:r>
              <w:rPr>
                <w:rFonts w:ascii="Verdana" w:hAnsi="Verdana"/>
                <w:sz w:val="20"/>
                <w:szCs w:val="20"/>
              </w:rPr>
              <w:t>Chapter</w:t>
            </w:r>
            <w:r w:rsidRPr="00415BF7">
              <w:rPr>
                <w:rFonts w:ascii="Verdana" w:hAnsi="Verdana"/>
                <w:sz w:val="20"/>
                <w:szCs w:val="20"/>
              </w:rPr>
              <w:t>1 Constitution of Malta</w:t>
            </w:r>
            <w:r>
              <w:rPr>
                <w:rStyle w:val="FootnoteReference"/>
                <w:rFonts w:ascii="Verdana" w:hAnsi="Verdana"/>
                <w:sz w:val="20"/>
                <w:szCs w:val="20"/>
              </w:rPr>
              <w:footnoteReference w:id="12"/>
            </w:r>
            <w:r>
              <w:rPr>
                <w:rFonts w:ascii="Verdana" w:hAnsi="Verdana"/>
                <w:sz w:val="20"/>
                <w:szCs w:val="20"/>
              </w:rPr>
              <w:t>:</w:t>
            </w:r>
            <w:r w:rsidRPr="00415BF7">
              <w:rPr>
                <w:rFonts w:ascii="Verdana" w:hAnsi="Verdana"/>
                <w:sz w:val="20"/>
                <w:szCs w:val="20"/>
              </w:rPr>
              <w:t>A person is qualified to vote in the General Election if he is a citizen of Malta, over the age of 18 and resident in Malta for a continuous period of 6 months during the 18 months immediately preceding registration.</w:t>
            </w:r>
          </w:p>
          <w:p w14:paraId="03369E6F" w14:textId="76DF6FA9" w:rsidR="0043168A" w:rsidRPr="00415BF7" w:rsidRDefault="0043168A" w:rsidP="00696607">
            <w:pPr>
              <w:spacing w:before="240" w:after="0" w:line="240" w:lineRule="auto"/>
              <w:contextualSpacing/>
              <w:rPr>
                <w:rFonts w:ascii="Verdana" w:hAnsi="Verdana"/>
                <w:sz w:val="20"/>
                <w:szCs w:val="20"/>
                <w:lang w:val="en-GB"/>
              </w:rPr>
            </w:pPr>
            <w:r w:rsidRPr="00415BF7">
              <w:rPr>
                <w:rFonts w:ascii="Verdana" w:hAnsi="Verdana"/>
                <w:sz w:val="20"/>
                <w:szCs w:val="20"/>
                <w:lang w:val="en-GB"/>
              </w:rPr>
              <w:t xml:space="preserve">Article 21(1) of the General Elections Act </w:t>
            </w:r>
            <w:r>
              <w:rPr>
                <w:rFonts w:ascii="Verdana" w:hAnsi="Verdana"/>
                <w:sz w:val="20"/>
                <w:szCs w:val="20"/>
                <w:lang w:val="en-GB"/>
              </w:rPr>
              <w:t>(Chapter354 of the laws of Malta)</w:t>
            </w:r>
            <w:r w:rsidRPr="00415BF7">
              <w:rPr>
                <w:rStyle w:val="FootnoteReference"/>
                <w:rFonts w:ascii="Verdana" w:hAnsi="Verdana"/>
                <w:sz w:val="20"/>
                <w:szCs w:val="20"/>
                <w:lang w:val="en-GB"/>
              </w:rPr>
              <w:footnoteReference w:id="13"/>
            </w:r>
            <w:r>
              <w:rPr>
                <w:rFonts w:ascii="Verdana" w:hAnsi="Verdana"/>
                <w:sz w:val="20"/>
                <w:szCs w:val="20"/>
                <w:lang w:val="en-GB"/>
              </w:rPr>
              <w:t xml:space="preserve">: </w:t>
            </w:r>
            <w:r w:rsidRPr="00415BF7">
              <w:rPr>
                <w:rFonts w:ascii="Verdana" w:hAnsi="Verdana"/>
                <w:sz w:val="20"/>
                <w:szCs w:val="20"/>
                <w:lang w:val="en-GB"/>
              </w:rPr>
              <w:t>Any person entitled to vote shall be registered by the Electoral Commission whether</w:t>
            </w:r>
            <w:r>
              <w:rPr>
                <w:rFonts w:ascii="Verdana" w:hAnsi="Verdana"/>
                <w:sz w:val="20"/>
                <w:szCs w:val="20"/>
                <w:lang w:val="en-GB"/>
              </w:rPr>
              <w:t xml:space="preserve"> or not an application is made.</w:t>
            </w:r>
          </w:p>
        </w:tc>
      </w:tr>
      <w:tr w:rsidR="0043168A" w:rsidRPr="00415BF7" w14:paraId="17F1F20B" w14:textId="77777777" w:rsidTr="0043168A">
        <w:trPr>
          <w:trHeight w:val="454"/>
        </w:trPr>
        <w:tc>
          <w:tcPr>
            <w:tcW w:w="4717" w:type="dxa"/>
            <w:tcBorders>
              <w:top w:val="single" w:sz="4" w:space="0" w:color="000000"/>
              <w:left w:val="single" w:sz="4" w:space="0" w:color="000000"/>
              <w:bottom w:val="single" w:sz="4" w:space="0" w:color="000000"/>
            </w:tcBorders>
            <w:shd w:val="clear" w:color="auto" w:fill="FFFFFF"/>
            <w:vAlign w:val="center"/>
          </w:tcPr>
          <w:p w14:paraId="5811B1F6" w14:textId="77777777" w:rsidR="0043168A" w:rsidRPr="00415BF7" w:rsidRDefault="0043168A" w:rsidP="00415BF7">
            <w:pPr>
              <w:rPr>
                <w:rFonts w:ascii="Verdana" w:hAnsi="Verdana"/>
                <w:sz w:val="20"/>
                <w:szCs w:val="20"/>
              </w:rPr>
            </w:pPr>
            <w:r w:rsidRPr="00415BF7">
              <w:rPr>
                <w:rFonts w:ascii="Verdana" w:hAnsi="Verdana"/>
                <w:sz w:val="20"/>
                <w:szCs w:val="20"/>
              </w:rPr>
              <w:lastRenderedPageBreak/>
              <w:t>Is there any limitation foreseen by law which could affect the right of persons with disabilities to vote in European Parliament and municipal elections? Please give details of any restrictions on the right to vote of persons with disabilities, including any link between a particular type of impairment (e.g. psychosocial/intellectual disability) or substituted decision making (e.g. loss of legal capacity, placement under guardianship)and the right to vote in elections.</w:t>
            </w:r>
          </w:p>
          <w:p w14:paraId="39E5227A" w14:textId="77777777" w:rsidR="0043168A" w:rsidRPr="00415BF7" w:rsidRDefault="0043168A" w:rsidP="00415BF7">
            <w:pPr>
              <w:spacing w:before="240"/>
              <w:contextualSpacing/>
              <w:rPr>
                <w:rFonts w:ascii="Verdana" w:hAnsi="Verdana"/>
                <w:sz w:val="20"/>
                <w:szCs w:val="20"/>
                <w:lang w:val="en-GB"/>
              </w:rPr>
            </w:pPr>
            <w:r w:rsidRPr="00415BF7">
              <w:rPr>
                <w:rFonts w:ascii="Verdana" w:hAnsi="Verdana"/>
                <w:sz w:val="20"/>
                <w:szCs w:val="20"/>
              </w:rPr>
              <w:t xml:space="preserve">Does the same law regarding voting rights apply for national, local/regional elections </w:t>
            </w:r>
            <w:r w:rsidRPr="00415BF7">
              <w:rPr>
                <w:rFonts w:ascii="Verdana" w:hAnsi="Verdana"/>
                <w:sz w:val="20"/>
                <w:szCs w:val="20"/>
              </w:rPr>
              <w:lastRenderedPageBreak/>
              <w:t>and referendums?</w:t>
            </w:r>
          </w:p>
        </w:tc>
        <w:tc>
          <w:tcPr>
            <w:tcW w:w="86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876C2" w14:textId="525A2F42" w:rsidR="0043168A" w:rsidRDefault="0043168A" w:rsidP="00415BF7">
            <w:pPr>
              <w:rPr>
                <w:rFonts w:ascii="Verdana" w:hAnsi="Verdana" w:cstheme="minorHAnsi"/>
                <w:sz w:val="20"/>
                <w:szCs w:val="20"/>
                <w:lang w:val="en-GB"/>
              </w:rPr>
            </w:pPr>
            <w:r w:rsidRPr="00415BF7">
              <w:rPr>
                <w:rFonts w:ascii="Verdana" w:hAnsi="Verdana" w:cstheme="minorHAnsi"/>
                <w:sz w:val="20"/>
                <w:szCs w:val="20"/>
                <w:lang w:val="en-GB"/>
              </w:rPr>
              <w:lastRenderedPageBreak/>
              <w:t>The Constitution of Malta establishes certain exceptions where it is deemed justifiable to restrict the civil and political rights of citizens if they fail to conform to certain criteria (such as age or incarceration). These include considerations based on the grounds of mental competence that could preclude one's entitlement to these rights. However, the Constitution fails to go into detail about the interpretation of these mental conditions leading to an assessment of legal incompetence.</w:t>
            </w:r>
          </w:p>
          <w:p w14:paraId="527B63F0" w14:textId="77777777" w:rsidR="0043168A" w:rsidRDefault="0043168A" w:rsidP="002134D0">
            <w:pPr>
              <w:rPr>
                <w:rFonts w:ascii="Verdana" w:hAnsi="Verdana" w:cstheme="minorHAnsi"/>
                <w:sz w:val="20"/>
                <w:szCs w:val="20"/>
                <w:lang w:val="en-GB"/>
              </w:rPr>
            </w:pPr>
            <w:r w:rsidRPr="002134D0">
              <w:rPr>
                <w:rFonts w:ascii="Verdana" w:hAnsi="Verdana" w:cstheme="minorHAnsi"/>
                <w:sz w:val="20"/>
                <w:szCs w:val="20"/>
                <w:lang w:val="en-GB"/>
              </w:rPr>
              <w:t>Article 58 of the Constitution of Malta states that an interdicted or legally incapacitated person cannot qualify to be registered as a voter for the election of members of the House of Representatives if interdicted or incapacitated for any mental infirmity by a court in Malta or is otherwise determined i</w:t>
            </w:r>
            <w:r>
              <w:rPr>
                <w:rFonts w:ascii="Verdana" w:hAnsi="Verdana" w:cstheme="minorHAnsi"/>
                <w:sz w:val="20"/>
                <w:szCs w:val="20"/>
                <w:lang w:val="en-GB"/>
              </w:rPr>
              <w:t>n Malta to be of unsound mind.</w:t>
            </w:r>
          </w:p>
          <w:p w14:paraId="11370479" w14:textId="573298A4" w:rsidR="0043168A" w:rsidRPr="00415BF7" w:rsidRDefault="0043168A" w:rsidP="002134D0">
            <w:pPr>
              <w:rPr>
                <w:rFonts w:ascii="Verdana" w:hAnsi="Verdana" w:cstheme="minorHAnsi"/>
                <w:sz w:val="20"/>
                <w:szCs w:val="20"/>
                <w:lang w:val="en-GB"/>
              </w:rPr>
            </w:pPr>
            <w:r w:rsidRPr="00415BF7">
              <w:rPr>
                <w:rFonts w:ascii="Verdana" w:hAnsi="Verdana" w:cstheme="minorHAnsi"/>
                <w:sz w:val="20"/>
                <w:szCs w:val="20"/>
                <w:lang w:val="en-GB"/>
              </w:rPr>
              <w:t xml:space="preserve">While this article does not list the specifics of the conditions, it has been used to deny the right of intellectually disabled people to vote and to render void any </w:t>
            </w:r>
            <w:r w:rsidRPr="00415BF7">
              <w:rPr>
                <w:rFonts w:ascii="Verdana" w:hAnsi="Verdana" w:cstheme="minorHAnsi"/>
                <w:sz w:val="20"/>
                <w:szCs w:val="20"/>
                <w:lang w:val="en-GB"/>
              </w:rPr>
              <w:lastRenderedPageBreak/>
              <w:t>contract or to legal status they might have.</w:t>
            </w:r>
            <w:r>
              <w:rPr>
                <w:rFonts w:ascii="Verdana" w:hAnsi="Verdana" w:cstheme="minorHAnsi"/>
                <w:sz w:val="20"/>
                <w:szCs w:val="20"/>
                <w:lang w:val="en-GB"/>
              </w:rPr>
              <w:t xml:space="preserve"> </w:t>
            </w:r>
            <w:r w:rsidRPr="00415BF7">
              <w:rPr>
                <w:rFonts w:ascii="Verdana" w:hAnsi="Verdana" w:cstheme="minorHAnsi"/>
                <w:sz w:val="20"/>
                <w:szCs w:val="20"/>
                <w:lang w:val="en-GB"/>
              </w:rPr>
              <w:t>In addition, people with mental health issues may be denied their voting, legal, and civil rights if it is proven that they a</w:t>
            </w:r>
            <w:r>
              <w:rPr>
                <w:rFonts w:ascii="Verdana" w:hAnsi="Verdana" w:cstheme="minorHAnsi"/>
                <w:sz w:val="20"/>
                <w:szCs w:val="20"/>
                <w:lang w:val="en-GB"/>
              </w:rPr>
              <w:t>re incapable of taking “</w:t>
            </w:r>
            <w:r w:rsidRPr="00415BF7">
              <w:rPr>
                <w:rFonts w:ascii="Verdana" w:hAnsi="Verdana" w:cstheme="minorHAnsi"/>
                <w:sz w:val="20"/>
                <w:szCs w:val="20"/>
                <w:lang w:val="en-GB"/>
              </w:rPr>
              <w:t>rational</w:t>
            </w:r>
            <w:r>
              <w:rPr>
                <w:rFonts w:ascii="Verdana" w:hAnsi="Verdana" w:cstheme="minorHAnsi"/>
                <w:sz w:val="20"/>
                <w:szCs w:val="20"/>
                <w:lang w:val="en-GB"/>
              </w:rPr>
              <w:t>”</w:t>
            </w:r>
            <w:r w:rsidRPr="00415BF7">
              <w:rPr>
                <w:rFonts w:ascii="Verdana" w:hAnsi="Verdana" w:cstheme="minorHAnsi"/>
                <w:sz w:val="20"/>
                <w:szCs w:val="20"/>
                <w:lang w:val="en-GB"/>
              </w:rPr>
              <w:t xml:space="preserve"> decisions.</w:t>
            </w:r>
          </w:p>
          <w:p w14:paraId="26995E8F" w14:textId="37C24C7D" w:rsidR="0043168A" w:rsidRDefault="0043168A" w:rsidP="002134D0">
            <w:pPr>
              <w:rPr>
                <w:rFonts w:ascii="Verdana" w:hAnsi="Verdana" w:cstheme="minorHAnsi"/>
                <w:sz w:val="20"/>
                <w:szCs w:val="20"/>
                <w:lang w:val="en-GB"/>
              </w:rPr>
            </w:pPr>
            <w:r w:rsidRPr="00415BF7">
              <w:rPr>
                <w:rFonts w:ascii="Verdana" w:hAnsi="Verdana" w:cstheme="minorHAnsi"/>
                <w:sz w:val="20"/>
                <w:szCs w:val="20"/>
                <w:lang w:val="en-GB"/>
              </w:rPr>
              <w:t>In both cases, a medical board assesses the case and people with mental health issues are not deemed legally incompetent for life as this decision may be revised later on in their life. On the other hand, people with an intellectual impairment who are deemed legally incompetent, at present, are deemed legally incompetent for a lifetime.</w:t>
            </w:r>
          </w:p>
          <w:p w14:paraId="1D6DF799" w14:textId="2C008FEA" w:rsidR="0043168A" w:rsidRPr="00415BF7" w:rsidRDefault="0043168A" w:rsidP="002134D0">
            <w:pPr>
              <w:rPr>
                <w:rFonts w:ascii="Verdana" w:hAnsi="Verdana" w:cstheme="minorHAnsi"/>
                <w:sz w:val="20"/>
                <w:szCs w:val="20"/>
                <w:lang w:val="en-GB"/>
              </w:rPr>
            </w:pPr>
            <w:r w:rsidRPr="002134D0">
              <w:rPr>
                <w:rFonts w:ascii="Verdana" w:hAnsi="Verdana" w:cstheme="minorHAnsi"/>
                <w:sz w:val="20"/>
                <w:szCs w:val="20"/>
                <w:lang w:val="en-GB"/>
              </w:rPr>
              <w:t xml:space="preserve">Decisions of the Medical Board </w:t>
            </w:r>
            <w:r>
              <w:rPr>
                <w:rFonts w:ascii="Verdana" w:hAnsi="Verdana" w:cstheme="minorHAnsi"/>
                <w:sz w:val="20"/>
                <w:szCs w:val="20"/>
                <w:lang w:val="en-GB"/>
              </w:rPr>
              <w:t>(</w:t>
            </w:r>
            <w:r w:rsidRPr="002134D0">
              <w:rPr>
                <w:rFonts w:ascii="Verdana" w:hAnsi="Verdana" w:cstheme="minorHAnsi"/>
                <w:sz w:val="20"/>
                <w:szCs w:val="20"/>
                <w:lang w:val="en-GB"/>
              </w:rPr>
              <w:t>established by Section 14 of the General Elections Act</w:t>
            </w:r>
            <w:r>
              <w:rPr>
                <w:rFonts w:ascii="Verdana" w:hAnsi="Verdana" w:cstheme="minorHAnsi"/>
                <w:sz w:val="20"/>
                <w:szCs w:val="20"/>
                <w:lang w:val="en-GB"/>
              </w:rPr>
              <w:t>)</w:t>
            </w:r>
            <w:r w:rsidRPr="002134D0">
              <w:rPr>
                <w:rFonts w:ascii="Verdana" w:hAnsi="Verdana" w:cstheme="minorHAnsi"/>
                <w:sz w:val="20"/>
                <w:szCs w:val="20"/>
                <w:lang w:val="en-GB"/>
              </w:rPr>
              <w:t xml:space="preserve"> that </w:t>
            </w:r>
            <w:r>
              <w:rPr>
                <w:rFonts w:ascii="Verdana" w:hAnsi="Verdana" w:cstheme="minorHAnsi"/>
                <w:sz w:val="20"/>
                <w:szCs w:val="20"/>
                <w:lang w:val="en-GB"/>
              </w:rPr>
              <w:t xml:space="preserve">a </w:t>
            </w:r>
            <w:r w:rsidRPr="002134D0">
              <w:rPr>
                <w:rFonts w:ascii="Verdana" w:hAnsi="Verdana" w:cstheme="minorHAnsi"/>
                <w:sz w:val="20"/>
                <w:szCs w:val="20"/>
                <w:lang w:val="en-GB"/>
              </w:rPr>
              <w:t>voter is of unsound mind are taken by unanimous vote and are communicated in writing to the Electoral Commission who is required to imm</w:t>
            </w:r>
            <w:r>
              <w:rPr>
                <w:rFonts w:ascii="Verdana" w:hAnsi="Verdana" w:cstheme="minorHAnsi"/>
                <w:sz w:val="20"/>
                <w:szCs w:val="20"/>
                <w:lang w:val="en-GB"/>
              </w:rPr>
              <w:t>ediately inform the voter according to</w:t>
            </w:r>
            <w:r w:rsidRPr="00816871">
              <w:rPr>
                <w:rFonts w:ascii="Verdana" w:hAnsi="Verdana" w:cstheme="minorHAnsi"/>
                <w:sz w:val="20"/>
                <w:szCs w:val="20"/>
                <w:lang w:val="en-GB"/>
              </w:rPr>
              <w:t xml:space="preserve"> Section 27(3)</w:t>
            </w:r>
            <w:r>
              <w:rPr>
                <w:rFonts w:ascii="Verdana" w:hAnsi="Verdana" w:cstheme="minorHAnsi"/>
                <w:sz w:val="20"/>
                <w:szCs w:val="20"/>
                <w:lang w:val="en-GB"/>
              </w:rPr>
              <w:t xml:space="preserve"> of the </w:t>
            </w:r>
            <w:r w:rsidRPr="00816871">
              <w:rPr>
                <w:rFonts w:ascii="Verdana" w:hAnsi="Verdana" w:cstheme="minorHAnsi"/>
                <w:sz w:val="20"/>
                <w:szCs w:val="20"/>
                <w:lang w:val="en-GB"/>
              </w:rPr>
              <w:t>General Elections Act</w:t>
            </w:r>
            <w:r>
              <w:t xml:space="preserve"> </w:t>
            </w:r>
            <w:r>
              <w:rPr>
                <w:rStyle w:val="FootnoteReference"/>
                <w:rFonts w:ascii="Verdana" w:hAnsi="Verdana"/>
                <w:sz w:val="20"/>
                <w:szCs w:val="20"/>
                <w:lang w:val="en-GB"/>
              </w:rPr>
              <w:footnoteReference w:id="14"/>
            </w:r>
            <w:r>
              <w:t>.</w:t>
            </w:r>
            <w:r w:rsidRPr="002134D0">
              <w:rPr>
                <w:rFonts w:ascii="Verdana" w:hAnsi="Verdana" w:cstheme="minorHAnsi"/>
                <w:sz w:val="20"/>
                <w:szCs w:val="20"/>
                <w:lang w:val="en-GB"/>
              </w:rPr>
              <w:t xml:space="preserve"> The decision of the Medical Board is final and binding on the Ele</w:t>
            </w:r>
            <w:r>
              <w:rPr>
                <w:rFonts w:ascii="Verdana" w:hAnsi="Verdana" w:cstheme="minorHAnsi"/>
                <w:sz w:val="20"/>
                <w:szCs w:val="20"/>
                <w:lang w:val="en-GB"/>
              </w:rPr>
              <w:t>ctoral Commission and the voter.</w:t>
            </w:r>
          </w:p>
          <w:p w14:paraId="425739E6" w14:textId="595D8D5F" w:rsidR="0043168A" w:rsidRPr="0006275C" w:rsidRDefault="0043168A" w:rsidP="00CA1271">
            <w:pPr>
              <w:rPr>
                <w:rFonts w:ascii="Verdana" w:hAnsi="Verdana" w:cstheme="minorHAnsi"/>
                <w:sz w:val="20"/>
                <w:szCs w:val="20"/>
                <w:lang w:val="en-GB"/>
              </w:rPr>
            </w:pPr>
            <w:r>
              <w:rPr>
                <w:rFonts w:ascii="Verdana" w:hAnsi="Verdana" w:cstheme="minorHAnsi"/>
                <w:sz w:val="20"/>
                <w:szCs w:val="20"/>
                <w:lang w:val="en-GB"/>
              </w:rPr>
              <w:t xml:space="preserve">The </w:t>
            </w:r>
            <w:r w:rsidRPr="002134D0">
              <w:rPr>
                <w:rFonts w:ascii="Verdana" w:hAnsi="Verdana"/>
                <w:sz w:val="20"/>
                <w:szCs w:val="18"/>
              </w:rPr>
              <w:t>National Commiss</w:t>
            </w:r>
            <w:r>
              <w:rPr>
                <w:rFonts w:ascii="Verdana" w:hAnsi="Verdana"/>
                <w:sz w:val="20"/>
                <w:szCs w:val="18"/>
              </w:rPr>
              <w:t xml:space="preserve">ion Persons with Disability (sic) </w:t>
            </w:r>
            <w:r w:rsidRPr="00816871">
              <w:rPr>
                <w:rFonts w:ascii="Verdana" w:hAnsi="Verdana"/>
                <w:sz w:val="20"/>
                <w:szCs w:val="18"/>
              </w:rPr>
              <w:t>(</w:t>
            </w:r>
            <w:r w:rsidRPr="00816871">
              <w:rPr>
                <w:rFonts w:ascii="Verdana" w:hAnsi="Verdana"/>
                <w:i/>
                <w:sz w:val="20"/>
                <w:szCs w:val="18"/>
              </w:rPr>
              <w:t>Kummissjoni Nazzjonali Persuni B’Dizabilita</w:t>
            </w:r>
            <w:r w:rsidRPr="00816871">
              <w:rPr>
                <w:rFonts w:ascii="Verdana" w:hAnsi="Verdana"/>
                <w:sz w:val="20"/>
                <w:szCs w:val="18"/>
              </w:rPr>
              <w:t>, KNPD)</w:t>
            </w:r>
            <w:r>
              <w:rPr>
                <w:rFonts w:ascii="Verdana" w:hAnsi="Verdana"/>
                <w:sz w:val="20"/>
                <w:szCs w:val="18"/>
              </w:rPr>
              <w:t xml:space="preserve"> </w:t>
            </w:r>
            <w:r w:rsidRPr="00816871">
              <w:rPr>
                <w:rFonts w:ascii="Verdana" w:hAnsi="Verdana"/>
                <w:sz w:val="20"/>
                <w:szCs w:val="18"/>
              </w:rPr>
              <w:t>pointed out that there have been no changes</w:t>
            </w:r>
            <w:r w:rsidRPr="00567B94">
              <w:rPr>
                <w:rFonts w:ascii="Verdana" w:hAnsi="Verdana" w:cstheme="minorHAnsi"/>
                <w:sz w:val="20"/>
                <w:szCs w:val="20"/>
                <w:lang w:val="en-GB"/>
              </w:rPr>
              <w:t xml:space="preserve"> regarding the two groups</w:t>
            </w:r>
            <w:r>
              <w:rPr>
                <w:rFonts w:ascii="Verdana" w:hAnsi="Verdana" w:cstheme="minorHAnsi"/>
                <w:sz w:val="20"/>
                <w:szCs w:val="20"/>
                <w:lang w:val="en-GB"/>
              </w:rPr>
              <w:t xml:space="preserve"> in 2013</w:t>
            </w:r>
            <w:r>
              <w:rPr>
                <w:rStyle w:val="FootnoteReference"/>
                <w:rFonts w:ascii="Verdana" w:hAnsi="Verdana"/>
                <w:sz w:val="20"/>
                <w:szCs w:val="20"/>
                <w:lang w:val="en-GB"/>
              </w:rPr>
              <w:footnoteReference w:id="15"/>
            </w:r>
            <w:r w:rsidRPr="00567B94">
              <w:rPr>
                <w:rFonts w:ascii="Verdana" w:hAnsi="Verdana" w:cstheme="minorHAnsi"/>
                <w:sz w:val="20"/>
                <w:szCs w:val="20"/>
                <w:lang w:val="en-GB"/>
              </w:rPr>
              <w:t xml:space="preserve">. They can be referred to the Electoral Commission for a medical examination regarding their ability or otherwise to vote. The medical board may give either limited participation in all elections or exclusion from all of them. KNPD is carrying out a survey to find out how many disabled people vote, how many require assistance and the type of assistance they prefer.  </w:t>
            </w:r>
          </w:p>
          <w:p w14:paraId="1D6946C4" w14:textId="77777777" w:rsidR="0043168A" w:rsidRDefault="0043168A" w:rsidP="00CA1271">
            <w:pPr>
              <w:rPr>
                <w:rFonts w:ascii="Verdana" w:hAnsi="Verdana" w:cstheme="minorHAnsi"/>
                <w:sz w:val="20"/>
                <w:szCs w:val="20"/>
                <w:u w:val="single"/>
                <w:lang w:val="en-GB"/>
              </w:rPr>
            </w:pPr>
            <w:r w:rsidRPr="00CA1271">
              <w:rPr>
                <w:rFonts w:ascii="Verdana" w:hAnsi="Verdana" w:cstheme="minorHAnsi"/>
                <w:sz w:val="20"/>
                <w:szCs w:val="20"/>
                <w:u w:val="single"/>
                <w:lang w:val="en-GB"/>
              </w:rPr>
              <w:t xml:space="preserve">Right to vote: </w:t>
            </w:r>
          </w:p>
          <w:p w14:paraId="3F2C6151" w14:textId="7C897A1A" w:rsidR="0043168A" w:rsidRDefault="0043168A" w:rsidP="001F68F3">
            <w:pPr>
              <w:rPr>
                <w:rFonts w:ascii="Verdana" w:hAnsi="Verdana" w:cstheme="minorHAnsi"/>
                <w:sz w:val="20"/>
                <w:szCs w:val="20"/>
                <w:lang w:val="en-GB"/>
              </w:rPr>
            </w:pPr>
            <w:r w:rsidRPr="00415BF7">
              <w:rPr>
                <w:rFonts w:ascii="Verdana" w:hAnsi="Verdana"/>
                <w:sz w:val="20"/>
                <w:szCs w:val="20"/>
                <w:lang w:val="en-GB"/>
              </w:rPr>
              <w:t>General Elections Act</w:t>
            </w:r>
            <w:r>
              <w:rPr>
                <w:rStyle w:val="FootnoteReference"/>
                <w:rFonts w:ascii="Verdana" w:hAnsi="Verdana"/>
                <w:sz w:val="20"/>
                <w:szCs w:val="20"/>
                <w:lang w:val="en-GB"/>
              </w:rPr>
              <w:footnoteReference w:id="16"/>
            </w:r>
            <w:r>
              <w:rPr>
                <w:rFonts w:ascii="Verdana" w:hAnsi="Verdana" w:cstheme="minorHAnsi"/>
                <w:sz w:val="20"/>
                <w:szCs w:val="20"/>
                <w:lang w:val="en-GB"/>
              </w:rPr>
              <w:t xml:space="preserve"> </w:t>
            </w:r>
          </w:p>
          <w:p w14:paraId="249E26C9" w14:textId="71449AA5" w:rsidR="0043168A" w:rsidRDefault="0043168A" w:rsidP="001F68F3">
            <w:pPr>
              <w:rPr>
                <w:rFonts w:ascii="Verdana" w:hAnsi="Verdana" w:cstheme="minorHAnsi"/>
                <w:sz w:val="20"/>
                <w:szCs w:val="20"/>
                <w:lang w:val="en-GB"/>
              </w:rPr>
            </w:pPr>
            <w:r w:rsidRPr="005B11B5">
              <w:rPr>
                <w:rFonts w:ascii="Verdana" w:hAnsi="Verdana" w:cstheme="minorHAnsi"/>
                <w:sz w:val="20"/>
                <w:szCs w:val="20"/>
                <w:lang w:val="en-GB"/>
              </w:rPr>
              <w:lastRenderedPageBreak/>
              <w:t>Art. 15.  (Qualification of voters):</w:t>
            </w:r>
            <w:r>
              <w:rPr>
                <w:rFonts w:ascii="Verdana" w:hAnsi="Verdana" w:cstheme="minorHAnsi"/>
                <w:i/>
                <w:sz w:val="20"/>
                <w:szCs w:val="20"/>
                <w:lang w:val="en-GB"/>
              </w:rPr>
              <w:t xml:space="preserve"> </w:t>
            </w:r>
            <w:r w:rsidRPr="002C3CF4">
              <w:rPr>
                <w:rFonts w:ascii="Verdana" w:hAnsi="Verdana" w:cstheme="minorHAnsi"/>
                <w:i/>
                <w:sz w:val="20"/>
                <w:szCs w:val="20"/>
                <w:lang w:val="en-GB"/>
              </w:rPr>
              <w:t>Subject to the provisions of the next following article, a person shall be entitled to be registered as a voter for the election of Members of the House if, and shall not be entitled to be registered unless, he has the qualifications required by article 57 of the Constitution and provided he is not so disqualified in terms of article 58 of the Constitution or in accordance with the provisions of this Act.</w:t>
            </w:r>
          </w:p>
          <w:p w14:paraId="08E001DE" w14:textId="1A392DB7" w:rsidR="0043168A" w:rsidRDefault="0043168A" w:rsidP="00CA1271">
            <w:pPr>
              <w:rPr>
                <w:rFonts w:ascii="Verdana" w:hAnsi="Verdana" w:cstheme="minorHAnsi"/>
                <w:sz w:val="20"/>
                <w:szCs w:val="20"/>
                <w:lang w:val="en-GB"/>
              </w:rPr>
            </w:pPr>
            <w:r>
              <w:rPr>
                <w:rFonts w:ascii="Verdana" w:hAnsi="Verdana" w:cstheme="minorHAnsi"/>
                <w:sz w:val="20"/>
                <w:szCs w:val="20"/>
                <w:lang w:val="en-GB"/>
              </w:rPr>
              <w:t>European Parliament Elections Act</w:t>
            </w:r>
            <w:r>
              <w:rPr>
                <w:rStyle w:val="FootnoteReference"/>
                <w:rFonts w:ascii="Verdana" w:hAnsi="Verdana"/>
                <w:sz w:val="20"/>
                <w:szCs w:val="20"/>
                <w:lang w:val="en-GB"/>
              </w:rPr>
              <w:footnoteReference w:id="17"/>
            </w:r>
            <w:r>
              <w:rPr>
                <w:rFonts w:ascii="Verdana" w:hAnsi="Verdana" w:cstheme="minorHAnsi"/>
                <w:sz w:val="20"/>
                <w:szCs w:val="20"/>
                <w:lang w:val="en-GB"/>
              </w:rPr>
              <w:t>:</w:t>
            </w:r>
          </w:p>
          <w:p w14:paraId="0CD20F1B" w14:textId="75055A36" w:rsidR="0043168A" w:rsidRDefault="0043168A" w:rsidP="00CA1271">
            <w:pPr>
              <w:rPr>
                <w:rFonts w:ascii="Verdana" w:hAnsi="Verdana" w:cstheme="minorHAnsi"/>
                <w:i/>
                <w:sz w:val="20"/>
                <w:szCs w:val="20"/>
                <w:lang w:val="en-GB"/>
              </w:rPr>
            </w:pPr>
            <w:r w:rsidRPr="005B11B5">
              <w:rPr>
                <w:rFonts w:ascii="Verdana" w:hAnsi="Verdana" w:cstheme="minorHAnsi"/>
                <w:sz w:val="20"/>
                <w:szCs w:val="20"/>
                <w:lang w:val="en-GB"/>
              </w:rPr>
              <w:t>Art. 10. (Persons entitled to vote):</w:t>
            </w:r>
            <w:r w:rsidRPr="00CA1271">
              <w:rPr>
                <w:rFonts w:ascii="Verdana" w:hAnsi="Verdana" w:cstheme="minorHAnsi"/>
                <w:i/>
                <w:sz w:val="20"/>
                <w:szCs w:val="20"/>
                <w:lang w:val="en-GB"/>
              </w:rPr>
              <w:t xml:space="preserve"> Every person whose name appears in the Electoral Register last published before the date fixed for the election and every person whose name appears in the European Union Electoral Register and who in either case has not, following the publication of the said Electoral Register or the said European Union Electoral Register, been convicted of any offence connected with the election of members to the House of Representatives or with the election of members of Local Councils or with the election of members of the European Parliament shall be entitled to vote in elections of members of the European Parliament.</w:t>
            </w:r>
          </w:p>
          <w:p w14:paraId="32533997" w14:textId="452E6E53" w:rsidR="0043168A" w:rsidRDefault="0043168A" w:rsidP="00CA1271">
            <w:pPr>
              <w:rPr>
                <w:rFonts w:ascii="Verdana" w:hAnsi="Verdana" w:cstheme="minorHAnsi"/>
                <w:sz w:val="20"/>
                <w:szCs w:val="20"/>
                <w:lang w:val="en-GB"/>
              </w:rPr>
            </w:pPr>
            <w:r>
              <w:rPr>
                <w:rFonts w:ascii="Verdana" w:hAnsi="Verdana" w:cstheme="minorHAnsi"/>
                <w:sz w:val="20"/>
                <w:szCs w:val="20"/>
                <w:lang w:val="en-GB"/>
              </w:rPr>
              <w:t>Local Councils Act</w:t>
            </w:r>
            <w:r>
              <w:rPr>
                <w:rStyle w:val="FootnoteReference"/>
                <w:rFonts w:ascii="Verdana" w:hAnsi="Verdana"/>
                <w:sz w:val="20"/>
                <w:szCs w:val="20"/>
                <w:lang w:val="en-GB"/>
              </w:rPr>
              <w:footnoteReference w:id="18"/>
            </w:r>
            <w:r>
              <w:rPr>
                <w:rFonts w:ascii="Verdana" w:hAnsi="Verdana" w:cstheme="minorHAnsi"/>
                <w:sz w:val="20"/>
                <w:szCs w:val="20"/>
                <w:lang w:val="en-GB"/>
              </w:rPr>
              <w:t>:</w:t>
            </w:r>
          </w:p>
          <w:p w14:paraId="34CED255" w14:textId="060B0989" w:rsidR="0043168A" w:rsidRPr="00CA1271" w:rsidRDefault="0043168A" w:rsidP="00CA1271">
            <w:pPr>
              <w:rPr>
                <w:rFonts w:ascii="Verdana" w:hAnsi="Verdana" w:cstheme="minorHAnsi"/>
                <w:i/>
                <w:sz w:val="20"/>
                <w:szCs w:val="20"/>
                <w:lang w:val="en-GB"/>
              </w:rPr>
            </w:pPr>
            <w:r w:rsidRPr="005B11B5">
              <w:rPr>
                <w:rFonts w:ascii="Verdana" w:hAnsi="Verdana" w:cstheme="minorHAnsi"/>
                <w:sz w:val="20"/>
                <w:szCs w:val="20"/>
                <w:lang w:val="en-GB"/>
              </w:rPr>
              <w:t>Art. 5 (1)</w:t>
            </w:r>
            <w:r w:rsidRPr="00CA1271">
              <w:rPr>
                <w:rFonts w:ascii="Verdana" w:hAnsi="Verdana" w:cstheme="minorHAnsi"/>
                <w:i/>
                <w:sz w:val="20"/>
                <w:szCs w:val="20"/>
                <w:lang w:val="en-GB"/>
              </w:rPr>
              <w:t xml:space="preserve"> Every citizen of Malta whose name appears in the last published Electoral Register and who has not been convicted of any offence connected with the election of members of Local Councils shall be entitled to vote at elections of Local Councils.</w:t>
            </w:r>
          </w:p>
          <w:p w14:paraId="0B0D4A8E" w14:textId="6962CE9D" w:rsidR="0043168A" w:rsidRPr="0006275C" w:rsidRDefault="0043168A" w:rsidP="0006275C">
            <w:pPr>
              <w:rPr>
                <w:rFonts w:ascii="Verdana" w:hAnsi="Verdana" w:cstheme="minorHAnsi"/>
                <w:i/>
                <w:sz w:val="20"/>
                <w:szCs w:val="20"/>
                <w:lang w:val="en-GB"/>
              </w:rPr>
            </w:pPr>
            <w:r w:rsidRPr="005B11B5">
              <w:rPr>
                <w:rFonts w:ascii="Verdana" w:hAnsi="Verdana" w:cstheme="minorHAnsi"/>
                <w:sz w:val="20"/>
                <w:szCs w:val="20"/>
                <w:lang w:val="en-GB"/>
              </w:rPr>
              <w:t>Art. 2 (5)</w:t>
            </w:r>
            <w:r w:rsidRPr="00CA1271">
              <w:rPr>
                <w:rFonts w:ascii="Verdana" w:hAnsi="Verdana" w:cstheme="minorHAnsi"/>
                <w:i/>
                <w:sz w:val="20"/>
                <w:szCs w:val="20"/>
                <w:lang w:val="en-GB"/>
              </w:rPr>
              <w:t xml:space="preserve"> Every person who is a national of a Member State of the European Union </w:t>
            </w:r>
            <w:r w:rsidRPr="00CA1271">
              <w:rPr>
                <w:rFonts w:ascii="Verdana" w:hAnsi="Verdana" w:cstheme="minorHAnsi"/>
                <w:i/>
                <w:sz w:val="20"/>
                <w:szCs w:val="20"/>
                <w:lang w:val="en-GB"/>
              </w:rPr>
              <w:lastRenderedPageBreak/>
              <w:t>whose name appears in the last published European Union Electoral Register and who has not been convicted of any offence connected with the election of members of Local Councils shall be entitled to vote in elections of Local Councils.</w:t>
            </w:r>
          </w:p>
        </w:tc>
      </w:tr>
      <w:tr w:rsidR="0043168A" w:rsidRPr="00415BF7" w14:paraId="7FD7A2E0" w14:textId="77777777" w:rsidTr="0043168A">
        <w:trPr>
          <w:trHeight w:val="454"/>
        </w:trPr>
        <w:tc>
          <w:tcPr>
            <w:tcW w:w="4717" w:type="dxa"/>
            <w:tcBorders>
              <w:top w:val="single" w:sz="4" w:space="0" w:color="000000"/>
              <w:left w:val="single" w:sz="4" w:space="0" w:color="000000"/>
              <w:bottom w:val="single" w:sz="4" w:space="0" w:color="000000"/>
            </w:tcBorders>
            <w:shd w:val="clear" w:color="auto" w:fill="FFFFFF"/>
            <w:vAlign w:val="center"/>
          </w:tcPr>
          <w:p w14:paraId="0EE3BFD3" w14:textId="77777777" w:rsidR="0043168A" w:rsidRPr="00415BF7" w:rsidRDefault="0043168A" w:rsidP="00415BF7">
            <w:pPr>
              <w:rPr>
                <w:rFonts w:ascii="Verdana" w:hAnsi="Verdana"/>
                <w:sz w:val="20"/>
                <w:szCs w:val="20"/>
              </w:rPr>
            </w:pPr>
            <w:r w:rsidRPr="00415BF7">
              <w:rPr>
                <w:rFonts w:ascii="Verdana" w:hAnsi="Verdana"/>
                <w:sz w:val="20"/>
                <w:szCs w:val="20"/>
              </w:rPr>
              <w:lastRenderedPageBreak/>
              <w:t>Do all persons with disabilities have the right, under law, to stand for and be elected to public office, in municipal elections, on an equal basis with others? And in elections to the European Parliament?</w:t>
            </w:r>
          </w:p>
          <w:p w14:paraId="5242C5B0" w14:textId="77777777" w:rsidR="0043168A" w:rsidRPr="00415BF7" w:rsidRDefault="0043168A" w:rsidP="00415BF7">
            <w:pPr>
              <w:rPr>
                <w:rFonts w:ascii="Verdana" w:hAnsi="Verdana"/>
                <w:sz w:val="20"/>
                <w:szCs w:val="20"/>
              </w:rPr>
            </w:pPr>
          </w:p>
          <w:p w14:paraId="66A6C814" w14:textId="77777777" w:rsidR="0043168A" w:rsidRPr="00415BF7" w:rsidRDefault="0043168A" w:rsidP="00415BF7">
            <w:pPr>
              <w:spacing w:before="240"/>
              <w:contextualSpacing/>
              <w:rPr>
                <w:rFonts w:ascii="Verdana" w:hAnsi="Verdana"/>
                <w:sz w:val="20"/>
                <w:szCs w:val="20"/>
                <w:lang w:val="en-GB"/>
              </w:rPr>
            </w:pPr>
            <w:r w:rsidRPr="00415BF7">
              <w:rPr>
                <w:rFonts w:ascii="Verdana" w:hAnsi="Verdana"/>
                <w:sz w:val="20"/>
                <w:szCs w:val="20"/>
              </w:rPr>
              <w:t>Does the same election law apply for other elections (e.g. national, local and regional) and referendums?</w:t>
            </w:r>
          </w:p>
        </w:tc>
        <w:tc>
          <w:tcPr>
            <w:tcW w:w="86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D59B9" w14:textId="77777777" w:rsidR="0043168A" w:rsidRDefault="0043168A" w:rsidP="001F68F3">
            <w:pPr>
              <w:rPr>
                <w:rFonts w:ascii="Verdana" w:hAnsi="Verdana" w:cstheme="minorHAnsi"/>
                <w:sz w:val="20"/>
                <w:szCs w:val="20"/>
                <w:u w:val="single"/>
                <w:lang w:val="en-GB"/>
              </w:rPr>
            </w:pPr>
            <w:r w:rsidRPr="00CA1271">
              <w:rPr>
                <w:rFonts w:ascii="Verdana" w:hAnsi="Verdana" w:cstheme="minorHAnsi"/>
                <w:sz w:val="20"/>
                <w:szCs w:val="20"/>
                <w:u w:val="single"/>
                <w:lang w:val="en-GB"/>
              </w:rPr>
              <w:t>Standing for elections:</w:t>
            </w:r>
          </w:p>
          <w:p w14:paraId="2F67E952" w14:textId="23FB5AD2" w:rsidR="0043168A" w:rsidRPr="006D6D43" w:rsidRDefault="0043168A" w:rsidP="001F68F3">
            <w:pPr>
              <w:rPr>
                <w:rFonts w:ascii="Verdana" w:hAnsi="Verdana" w:cstheme="minorHAnsi"/>
                <w:sz w:val="20"/>
                <w:szCs w:val="20"/>
                <w:lang w:val="en-GB"/>
              </w:rPr>
            </w:pPr>
            <w:r w:rsidRPr="006D6D43">
              <w:rPr>
                <w:rFonts w:ascii="Verdana" w:hAnsi="Verdana" w:cstheme="minorHAnsi"/>
                <w:sz w:val="20"/>
                <w:szCs w:val="20"/>
                <w:lang w:val="en-GB"/>
              </w:rPr>
              <w:t>European Parliament Elections Act</w:t>
            </w:r>
            <w:r w:rsidRPr="006D6D43">
              <w:rPr>
                <w:rStyle w:val="FootnoteReference"/>
                <w:rFonts w:ascii="Verdana" w:hAnsi="Verdana"/>
                <w:sz w:val="20"/>
                <w:szCs w:val="20"/>
                <w:lang w:val="en-GB"/>
              </w:rPr>
              <w:footnoteReference w:id="19"/>
            </w:r>
            <w:r w:rsidRPr="006D6D43">
              <w:rPr>
                <w:rFonts w:ascii="Verdana" w:hAnsi="Verdana" w:cstheme="minorHAnsi"/>
                <w:sz w:val="20"/>
                <w:szCs w:val="20"/>
                <w:lang w:val="en-GB"/>
              </w:rPr>
              <w:t>:</w:t>
            </w:r>
          </w:p>
          <w:p w14:paraId="406EC3D5" w14:textId="4F466C3B" w:rsidR="0043168A" w:rsidRPr="006D6D43" w:rsidRDefault="0043168A" w:rsidP="001F68F3">
            <w:pPr>
              <w:rPr>
                <w:rFonts w:ascii="Verdana" w:hAnsi="Verdana" w:cstheme="minorHAnsi"/>
                <w:i/>
                <w:sz w:val="20"/>
                <w:szCs w:val="20"/>
                <w:lang w:val="en-GB"/>
              </w:rPr>
            </w:pPr>
            <w:r w:rsidRPr="006D6D43">
              <w:rPr>
                <w:rFonts w:ascii="Verdana" w:hAnsi="Verdana" w:cstheme="minorHAnsi"/>
                <w:sz w:val="20"/>
                <w:szCs w:val="20"/>
                <w:lang w:val="en-GB"/>
              </w:rPr>
              <w:t>Art. 18.</w:t>
            </w:r>
            <w:r w:rsidRPr="002C3CF4">
              <w:rPr>
                <w:rFonts w:ascii="Verdana" w:hAnsi="Verdana" w:cstheme="minorHAnsi"/>
                <w:i/>
                <w:sz w:val="20"/>
                <w:szCs w:val="20"/>
                <w:u w:val="single"/>
                <w:lang w:val="en-GB"/>
              </w:rPr>
              <w:t xml:space="preserve"> </w:t>
            </w:r>
            <w:r w:rsidRPr="006D6D43">
              <w:rPr>
                <w:rFonts w:ascii="Verdana" w:hAnsi="Verdana" w:cstheme="minorHAnsi"/>
                <w:i/>
                <w:sz w:val="20"/>
                <w:szCs w:val="20"/>
                <w:lang w:val="en-GB"/>
              </w:rPr>
              <w:t>Subject to the provisions of article 19, a person shall be qualified to stand for election as a member of the European Parliament if such person is registered as a voter in the Electoral Register or in the European</w:t>
            </w:r>
            <w:r>
              <w:rPr>
                <w:rFonts w:ascii="Verdana" w:hAnsi="Verdana" w:cstheme="minorHAnsi"/>
                <w:i/>
                <w:sz w:val="20"/>
                <w:szCs w:val="20"/>
                <w:lang w:val="en-GB"/>
              </w:rPr>
              <w:t xml:space="preserve"> Union Electoral Register</w:t>
            </w:r>
            <w:r w:rsidRPr="006D6D43">
              <w:rPr>
                <w:rFonts w:ascii="Verdana" w:hAnsi="Verdana" w:cstheme="minorHAnsi"/>
                <w:i/>
                <w:sz w:val="20"/>
                <w:szCs w:val="20"/>
                <w:lang w:val="en-GB"/>
              </w:rPr>
              <w:t xml:space="preserve"> […] </w:t>
            </w:r>
          </w:p>
          <w:p w14:paraId="745BA26F" w14:textId="79076A27" w:rsidR="0043168A" w:rsidRPr="006D6D43" w:rsidRDefault="0043168A" w:rsidP="001F68F3">
            <w:pPr>
              <w:rPr>
                <w:rFonts w:ascii="Verdana" w:hAnsi="Verdana" w:cstheme="minorHAnsi"/>
                <w:i/>
                <w:sz w:val="20"/>
                <w:szCs w:val="20"/>
                <w:lang w:val="en-GB"/>
              </w:rPr>
            </w:pPr>
            <w:r>
              <w:rPr>
                <w:rFonts w:ascii="Verdana" w:hAnsi="Verdana" w:cstheme="minorHAnsi"/>
                <w:sz w:val="20"/>
                <w:szCs w:val="20"/>
                <w:lang w:val="en-GB"/>
              </w:rPr>
              <w:t xml:space="preserve">Art. </w:t>
            </w:r>
            <w:r w:rsidRPr="006D6D43">
              <w:rPr>
                <w:rFonts w:ascii="Verdana" w:hAnsi="Verdana" w:cstheme="minorHAnsi"/>
                <w:sz w:val="20"/>
                <w:szCs w:val="20"/>
                <w:lang w:val="en-GB"/>
              </w:rPr>
              <w:t>19. (1) (Persons not qualified to stand for election):</w:t>
            </w:r>
            <w:r w:rsidRPr="006D6D43">
              <w:rPr>
                <w:rFonts w:ascii="Verdana" w:hAnsi="Verdana" w:cstheme="minorHAnsi"/>
                <w:i/>
                <w:sz w:val="20"/>
                <w:szCs w:val="20"/>
                <w:lang w:val="en-GB"/>
              </w:rPr>
              <w:t xml:space="preserve"> Without prejudice to the provisions of the Act, no person shall be qualified to stand for election as a member of the European Parliament or, if elected, to remain a member thereof if, whether in Malta or in any other Member State […] (d) he is interdicted or incapacitated for any mental infirmity or for prodigality by a court or is otherwise determined to be of unsound mind.</w:t>
            </w:r>
          </w:p>
          <w:p w14:paraId="7A737747" w14:textId="0F10342C" w:rsidR="0043168A" w:rsidRDefault="0043168A" w:rsidP="001F68F3">
            <w:pPr>
              <w:rPr>
                <w:rFonts w:ascii="Verdana" w:hAnsi="Verdana" w:cstheme="minorHAnsi"/>
                <w:sz w:val="20"/>
                <w:szCs w:val="20"/>
                <w:lang w:val="en-GB"/>
              </w:rPr>
            </w:pPr>
            <w:r>
              <w:rPr>
                <w:rFonts w:ascii="Verdana" w:hAnsi="Verdana" w:cstheme="minorHAnsi"/>
                <w:sz w:val="20"/>
                <w:szCs w:val="20"/>
                <w:lang w:val="en-GB"/>
              </w:rPr>
              <w:t>Local Councils Act</w:t>
            </w:r>
            <w:r>
              <w:rPr>
                <w:rStyle w:val="FootnoteReference"/>
                <w:rFonts w:ascii="Verdana" w:hAnsi="Verdana"/>
                <w:sz w:val="20"/>
                <w:szCs w:val="20"/>
                <w:lang w:val="en-GB"/>
              </w:rPr>
              <w:footnoteReference w:id="20"/>
            </w:r>
            <w:r>
              <w:rPr>
                <w:rFonts w:ascii="Verdana" w:hAnsi="Verdana" w:cstheme="minorHAnsi"/>
                <w:sz w:val="20"/>
                <w:szCs w:val="20"/>
                <w:lang w:val="en-GB"/>
              </w:rPr>
              <w:t>:</w:t>
            </w:r>
          </w:p>
          <w:p w14:paraId="3AB3E1D8" w14:textId="63B119D9" w:rsidR="0043168A" w:rsidRPr="002C3CF4" w:rsidRDefault="0043168A" w:rsidP="001F68F3">
            <w:pPr>
              <w:rPr>
                <w:rFonts w:ascii="Verdana" w:hAnsi="Verdana" w:cstheme="minorHAnsi"/>
                <w:i/>
                <w:sz w:val="20"/>
                <w:szCs w:val="20"/>
                <w:lang w:val="en-GB"/>
              </w:rPr>
            </w:pPr>
            <w:r w:rsidRPr="005C4F75">
              <w:rPr>
                <w:rFonts w:ascii="Verdana" w:hAnsi="Verdana" w:cstheme="minorHAnsi"/>
                <w:sz w:val="20"/>
                <w:szCs w:val="20"/>
                <w:lang w:val="en-GB"/>
              </w:rPr>
              <w:t>Art. 11.</w:t>
            </w:r>
            <w:r w:rsidRPr="002C3CF4">
              <w:rPr>
                <w:rFonts w:ascii="Verdana" w:hAnsi="Verdana" w:cstheme="minorHAnsi"/>
                <w:i/>
                <w:sz w:val="20"/>
                <w:szCs w:val="20"/>
                <w:lang w:val="en-GB"/>
              </w:rPr>
              <w:t xml:space="preserve"> </w:t>
            </w:r>
            <w:r>
              <w:rPr>
                <w:rFonts w:ascii="Verdana" w:hAnsi="Verdana" w:cstheme="minorHAnsi"/>
                <w:i/>
                <w:sz w:val="20"/>
                <w:szCs w:val="20"/>
                <w:lang w:val="en-GB"/>
              </w:rPr>
              <w:t xml:space="preserve"> </w:t>
            </w:r>
            <w:r w:rsidRPr="002C3CF4">
              <w:rPr>
                <w:rFonts w:ascii="Verdana" w:hAnsi="Verdana" w:cstheme="minorHAnsi"/>
                <w:i/>
                <w:sz w:val="20"/>
                <w:szCs w:val="20"/>
                <w:lang w:val="en-GB"/>
              </w:rPr>
              <w:t>A person shall be qualified to be elected as a member of any Council if such person is registered as a voter in the Electoral Register or the European Union Electoral Register.</w:t>
            </w:r>
          </w:p>
          <w:p w14:paraId="25246230" w14:textId="4887600B" w:rsidR="0043168A" w:rsidRPr="00415BF7" w:rsidRDefault="0043168A" w:rsidP="001F68F3">
            <w:pPr>
              <w:spacing w:before="240"/>
              <w:contextualSpacing/>
              <w:jc w:val="both"/>
              <w:rPr>
                <w:rFonts w:ascii="Verdana" w:hAnsi="Verdana"/>
                <w:sz w:val="20"/>
                <w:szCs w:val="20"/>
                <w:lang w:val="en-GB"/>
              </w:rPr>
            </w:pPr>
            <w:r>
              <w:rPr>
                <w:rFonts w:ascii="Verdana" w:hAnsi="Verdana" w:cstheme="minorHAnsi"/>
                <w:sz w:val="20"/>
                <w:szCs w:val="20"/>
                <w:lang w:val="en-GB"/>
              </w:rPr>
              <w:t xml:space="preserve">Art. </w:t>
            </w:r>
            <w:r w:rsidRPr="005C4F75">
              <w:rPr>
                <w:rFonts w:ascii="Verdana" w:hAnsi="Verdana" w:cstheme="minorHAnsi"/>
                <w:sz w:val="20"/>
                <w:szCs w:val="20"/>
                <w:lang w:val="en-GB"/>
              </w:rPr>
              <w:t>12.</w:t>
            </w:r>
            <w:r w:rsidRPr="002C3CF4">
              <w:rPr>
                <w:rFonts w:ascii="Verdana" w:hAnsi="Verdana" w:cstheme="minorHAnsi"/>
                <w:i/>
                <w:sz w:val="20"/>
                <w:szCs w:val="20"/>
                <w:lang w:val="en-GB"/>
              </w:rPr>
              <w:t xml:space="preserve"> No person shall be qualified to stand for election as a member of a Council or to remain a member thereof if: […] (g) he is interdicted or incapacitated for any mental infirmity or for prodigality by a court in Malta, or is otherwise d</w:t>
            </w:r>
            <w:r>
              <w:rPr>
                <w:rFonts w:ascii="Verdana" w:hAnsi="Verdana" w:cstheme="minorHAnsi"/>
                <w:i/>
                <w:sz w:val="20"/>
                <w:szCs w:val="20"/>
                <w:lang w:val="en-GB"/>
              </w:rPr>
              <w:t xml:space="preserve">etermined to </w:t>
            </w:r>
            <w:r>
              <w:rPr>
                <w:rFonts w:ascii="Verdana" w:hAnsi="Verdana" w:cstheme="minorHAnsi"/>
                <w:i/>
                <w:sz w:val="20"/>
                <w:szCs w:val="20"/>
                <w:lang w:val="en-GB"/>
              </w:rPr>
              <w:lastRenderedPageBreak/>
              <w:t>be of unsound mind</w:t>
            </w:r>
            <w:r>
              <w:rPr>
                <w:rFonts w:ascii="Verdana" w:hAnsi="Verdana" w:cstheme="minorHAnsi"/>
                <w:sz w:val="20"/>
                <w:szCs w:val="20"/>
                <w:lang w:val="en-GB"/>
              </w:rPr>
              <w:t>.</w:t>
            </w:r>
          </w:p>
        </w:tc>
      </w:tr>
      <w:tr w:rsidR="0043168A" w:rsidRPr="00415BF7" w14:paraId="621BE928" w14:textId="77777777" w:rsidTr="0043168A">
        <w:trPr>
          <w:trHeight w:val="454"/>
        </w:trPr>
        <w:tc>
          <w:tcPr>
            <w:tcW w:w="4717" w:type="dxa"/>
            <w:tcBorders>
              <w:top w:val="single" w:sz="4" w:space="0" w:color="000000"/>
              <w:left w:val="single" w:sz="4" w:space="0" w:color="000000"/>
              <w:bottom w:val="single" w:sz="4" w:space="0" w:color="000000"/>
            </w:tcBorders>
            <w:shd w:val="clear" w:color="auto" w:fill="FFFFFF"/>
            <w:vAlign w:val="center"/>
          </w:tcPr>
          <w:p w14:paraId="55568045" w14:textId="77777777" w:rsidR="0043168A" w:rsidRPr="00415BF7" w:rsidRDefault="0043168A" w:rsidP="00415BF7">
            <w:pPr>
              <w:spacing w:before="240"/>
              <w:contextualSpacing/>
              <w:rPr>
                <w:rFonts w:ascii="Verdana" w:hAnsi="Verdana"/>
                <w:sz w:val="20"/>
                <w:szCs w:val="20"/>
                <w:lang w:val="en-GB"/>
              </w:rPr>
            </w:pPr>
            <w:r w:rsidRPr="00415BF7">
              <w:rPr>
                <w:rFonts w:ascii="Verdana" w:hAnsi="Verdana"/>
                <w:sz w:val="20"/>
                <w:szCs w:val="20"/>
                <w:lang w:val="en-GB"/>
              </w:rPr>
              <w:lastRenderedPageBreak/>
              <w:t>Is there legislation in place regulating how people living in long-term institutions may vote?</w:t>
            </w:r>
          </w:p>
        </w:tc>
        <w:tc>
          <w:tcPr>
            <w:tcW w:w="86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25F35" w14:textId="2D4C9A31" w:rsidR="0043168A" w:rsidRDefault="0043168A" w:rsidP="005C4F75">
            <w:pPr>
              <w:spacing w:before="240" w:after="0" w:line="240" w:lineRule="auto"/>
              <w:contextualSpacing/>
              <w:rPr>
                <w:rFonts w:ascii="Verdana" w:hAnsi="Verdana"/>
                <w:i/>
                <w:sz w:val="20"/>
                <w:szCs w:val="20"/>
              </w:rPr>
            </w:pPr>
            <w:r>
              <w:rPr>
                <w:rFonts w:ascii="Verdana" w:hAnsi="Verdana"/>
                <w:sz w:val="20"/>
                <w:szCs w:val="20"/>
                <w:lang w:val="en-GB"/>
              </w:rPr>
              <w:t>A provision of the</w:t>
            </w:r>
            <w:r w:rsidRPr="00415BF7">
              <w:rPr>
                <w:rStyle w:val="FootnoteReference"/>
                <w:rFonts w:ascii="Verdana" w:hAnsi="Verdana"/>
                <w:sz w:val="20"/>
                <w:szCs w:val="20"/>
                <w:lang w:val="en-GB"/>
              </w:rPr>
              <w:t xml:space="preserve"> </w:t>
            </w:r>
            <w:r>
              <w:rPr>
                <w:rFonts w:ascii="Verdana" w:hAnsi="Verdana"/>
                <w:sz w:val="20"/>
                <w:szCs w:val="20"/>
                <w:lang w:val="en-GB"/>
              </w:rPr>
              <w:t xml:space="preserve">General Elections Act </w:t>
            </w:r>
            <w:r w:rsidRPr="00415BF7">
              <w:rPr>
                <w:rStyle w:val="FootnoteReference"/>
                <w:rFonts w:ascii="Verdana" w:hAnsi="Verdana"/>
                <w:sz w:val="20"/>
                <w:szCs w:val="20"/>
                <w:lang w:val="en-GB"/>
              </w:rPr>
              <w:footnoteReference w:id="21"/>
            </w:r>
            <w:r w:rsidRPr="00415BF7">
              <w:rPr>
                <w:rFonts w:ascii="Verdana" w:hAnsi="Verdana"/>
                <w:sz w:val="20"/>
                <w:szCs w:val="20"/>
                <w:lang w:val="en-GB"/>
              </w:rPr>
              <w:t xml:space="preserve">  allows for the delivery of voting documents to persons in retirement homes, hospitals or suffers from a disability. </w:t>
            </w:r>
            <w:r w:rsidRPr="00415BF7">
              <w:rPr>
                <w:rFonts w:ascii="Verdana" w:hAnsi="Verdana"/>
                <w:sz w:val="20"/>
                <w:szCs w:val="20"/>
              </w:rPr>
              <w:t xml:space="preserve"> </w:t>
            </w:r>
            <w:r w:rsidRPr="00415BF7">
              <w:rPr>
                <w:rFonts w:ascii="Verdana" w:hAnsi="Verdana"/>
                <w:sz w:val="20"/>
                <w:szCs w:val="20"/>
              </w:rPr>
              <w:br/>
            </w:r>
            <w:r w:rsidRPr="00415BF7">
              <w:rPr>
                <w:rFonts w:ascii="Verdana" w:hAnsi="Verdana"/>
                <w:sz w:val="20"/>
                <w:szCs w:val="20"/>
                <w:lang w:val="en-GB"/>
              </w:rPr>
              <w:t>Article 46(10)</w:t>
            </w:r>
            <w:r>
              <w:rPr>
                <w:rFonts w:ascii="Verdana" w:hAnsi="Verdana"/>
                <w:sz w:val="20"/>
                <w:szCs w:val="20"/>
                <w:lang w:val="en-GB"/>
              </w:rPr>
              <w:t xml:space="preserve">: </w:t>
            </w:r>
            <w:r>
              <w:rPr>
                <w:rFonts w:ascii="Verdana" w:hAnsi="Verdana"/>
                <w:sz w:val="20"/>
                <w:szCs w:val="20"/>
              </w:rPr>
              <w:t xml:space="preserve">[…] </w:t>
            </w:r>
            <w:r w:rsidRPr="006D6D43">
              <w:rPr>
                <w:rFonts w:ascii="Verdana" w:hAnsi="Verdana"/>
                <w:i/>
                <w:sz w:val="20"/>
                <w:szCs w:val="20"/>
              </w:rPr>
              <w:t>where the Commission is aware that any person whose name appears on the list … is registered in a retirement home, or is in a hospital, or suffers from a disability or is bed-ridden or is otherwise physically unable to appear at one of the places designated by the … to claim delivery of his voting document, it shall be the duty of the Commission to effect service of such document on the person concerned</w:t>
            </w:r>
            <w:r>
              <w:rPr>
                <w:rFonts w:ascii="Verdana" w:hAnsi="Verdana"/>
                <w:i/>
                <w:sz w:val="20"/>
                <w:szCs w:val="20"/>
              </w:rPr>
              <w:t xml:space="preserve"> […]</w:t>
            </w:r>
          </w:p>
          <w:p w14:paraId="4D1DFE7F" w14:textId="77777777" w:rsidR="0043168A" w:rsidRPr="006D6D43" w:rsidRDefault="0043168A" w:rsidP="005C4F75">
            <w:pPr>
              <w:spacing w:before="240" w:after="0" w:line="240" w:lineRule="auto"/>
              <w:contextualSpacing/>
              <w:rPr>
                <w:rFonts w:ascii="Verdana" w:hAnsi="Verdana"/>
                <w:i/>
                <w:sz w:val="20"/>
                <w:szCs w:val="20"/>
                <w:lang w:val="en-GB"/>
              </w:rPr>
            </w:pPr>
          </w:p>
          <w:p w14:paraId="7ABB65D8" w14:textId="5201563F" w:rsidR="0043168A" w:rsidRPr="00415BF7" w:rsidRDefault="0043168A" w:rsidP="005C4F75">
            <w:pPr>
              <w:spacing w:before="240" w:after="0" w:line="240" w:lineRule="auto"/>
              <w:contextualSpacing/>
              <w:rPr>
                <w:rFonts w:ascii="Verdana" w:hAnsi="Verdana"/>
                <w:sz w:val="20"/>
                <w:szCs w:val="20"/>
                <w:lang w:val="en-GB"/>
              </w:rPr>
            </w:pPr>
            <w:r w:rsidRPr="00415BF7">
              <w:rPr>
                <w:rFonts w:ascii="Verdana" w:hAnsi="Verdana"/>
                <w:sz w:val="20"/>
                <w:szCs w:val="20"/>
                <w:lang w:val="en-GB"/>
              </w:rPr>
              <w:t xml:space="preserve">Articles 80 to 84 </w:t>
            </w:r>
            <w:r>
              <w:rPr>
                <w:rFonts w:ascii="Verdana" w:hAnsi="Verdana"/>
                <w:sz w:val="20"/>
                <w:szCs w:val="20"/>
                <w:lang w:val="en-GB"/>
              </w:rPr>
              <w:t>allow</w:t>
            </w:r>
            <w:r w:rsidRPr="00415BF7">
              <w:rPr>
                <w:rFonts w:ascii="Verdana" w:hAnsi="Verdana"/>
                <w:sz w:val="20"/>
                <w:szCs w:val="20"/>
                <w:lang w:val="en-GB"/>
              </w:rPr>
              <w:t xml:space="preserve"> for polling stations to be set up in retirement homes and hospitals and for voting documents to be delivered to such. </w:t>
            </w:r>
          </w:p>
          <w:p w14:paraId="72D326FD" w14:textId="3296A29C" w:rsidR="0043168A" w:rsidRDefault="0043168A" w:rsidP="005C4F75">
            <w:pPr>
              <w:spacing w:before="240" w:after="0" w:line="240" w:lineRule="auto"/>
              <w:contextualSpacing/>
              <w:rPr>
                <w:rFonts w:ascii="Verdana" w:hAnsi="Verdana"/>
                <w:sz w:val="20"/>
                <w:szCs w:val="20"/>
                <w:lang w:val="en-GB"/>
              </w:rPr>
            </w:pPr>
            <w:r>
              <w:rPr>
                <w:rFonts w:ascii="Verdana" w:hAnsi="Verdana"/>
                <w:sz w:val="20"/>
                <w:szCs w:val="20"/>
                <w:lang w:val="en-GB"/>
              </w:rPr>
              <w:t xml:space="preserve">Similarly, </w:t>
            </w:r>
            <w:r w:rsidRPr="00415BF7">
              <w:rPr>
                <w:rFonts w:ascii="Verdana" w:hAnsi="Verdana"/>
                <w:sz w:val="20"/>
                <w:szCs w:val="20"/>
                <w:lang w:val="en-GB"/>
              </w:rPr>
              <w:t xml:space="preserve">Articles 40 to 52 </w:t>
            </w:r>
            <w:r>
              <w:rPr>
                <w:rFonts w:ascii="Verdana" w:hAnsi="Verdana"/>
                <w:sz w:val="20"/>
                <w:szCs w:val="20"/>
                <w:lang w:val="en-GB"/>
              </w:rPr>
              <w:t xml:space="preserve">of the </w:t>
            </w:r>
            <w:r w:rsidRPr="00415BF7">
              <w:rPr>
                <w:rFonts w:ascii="Verdana" w:hAnsi="Verdana"/>
                <w:sz w:val="20"/>
                <w:szCs w:val="20"/>
                <w:lang w:val="en-GB"/>
              </w:rPr>
              <w:t>Local Councils Act</w:t>
            </w:r>
            <w:r w:rsidRPr="00415BF7">
              <w:rPr>
                <w:rStyle w:val="FootnoteReference"/>
                <w:rFonts w:ascii="Verdana" w:hAnsi="Verdana"/>
                <w:sz w:val="20"/>
                <w:szCs w:val="20"/>
                <w:lang w:val="en-GB"/>
              </w:rPr>
              <w:footnoteReference w:id="22"/>
            </w:r>
            <w:r>
              <w:rPr>
                <w:rFonts w:ascii="Verdana" w:hAnsi="Verdana"/>
                <w:sz w:val="20"/>
                <w:szCs w:val="20"/>
                <w:lang w:val="en-GB"/>
              </w:rPr>
              <w:t xml:space="preserve">  allow</w:t>
            </w:r>
            <w:r w:rsidRPr="00415BF7">
              <w:rPr>
                <w:rFonts w:ascii="Verdana" w:hAnsi="Verdana"/>
                <w:sz w:val="20"/>
                <w:szCs w:val="20"/>
                <w:lang w:val="en-GB"/>
              </w:rPr>
              <w:t xml:space="preserve"> for polling stations to be set up in retirement homes and hospitals and for voting documents to be delivered to such</w:t>
            </w:r>
            <w:r>
              <w:rPr>
                <w:rFonts w:ascii="Verdana" w:hAnsi="Verdana"/>
                <w:sz w:val="20"/>
                <w:szCs w:val="20"/>
                <w:lang w:val="en-GB"/>
              </w:rPr>
              <w:t xml:space="preserve"> for municipal e</w:t>
            </w:r>
            <w:r w:rsidRPr="00415BF7">
              <w:rPr>
                <w:rFonts w:ascii="Verdana" w:hAnsi="Verdana"/>
                <w:sz w:val="20"/>
                <w:szCs w:val="20"/>
                <w:lang w:val="en-GB"/>
              </w:rPr>
              <w:t>lections</w:t>
            </w:r>
            <w:r>
              <w:rPr>
                <w:rFonts w:ascii="Verdana" w:hAnsi="Verdana"/>
                <w:sz w:val="20"/>
                <w:szCs w:val="20"/>
                <w:lang w:val="en-GB"/>
              </w:rPr>
              <w:t>.</w:t>
            </w:r>
          </w:p>
          <w:p w14:paraId="44A5B522" w14:textId="72162A7B" w:rsidR="0043168A" w:rsidRPr="00415BF7" w:rsidRDefault="0043168A" w:rsidP="005C4F75">
            <w:pPr>
              <w:spacing w:before="240" w:after="0" w:line="240" w:lineRule="auto"/>
              <w:contextualSpacing/>
              <w:rPr>
                <w:rFonts w:ascii="Verdana" w:hAnsi="Verdana"/>
                <w:sz w:val="20"/>
                <w:szCs w:val="20"/>
                <w:lang w:val="en-GB"/>
              </w:rPr>
            </w:pPr>
            <w:r w:rsidRPr="00415BF7">
              <w:rPr>
                <w:rFonts w:ascii="Verdana" w:hAnsi="Verdana"/>
                <w:sz w:val="20"/>
                <w:szCs w:val="20"/>
                <w:lang w:val="en-GB"/>
              </w:rPr>
              <w:t xml:space="preserve"> </w:t>
            </w:r>
          </w:p>
          <w:p w14:paraId="2422B239" w14:textId="77777777" w:rsidR="0043168A" w:rsidRPr="00415BF7" w:rsidRDefault="0043168A" w:rsidP="005C4F75">
            <w:pPr>
              <w:pStyle w:val="CommentText"/>
              <w:rPr>
                <w:rFonts w:ascii="Verdana" w:hAnsi="Verdana"/>
              </w:rPr>
            </w:pPr>
            <w:r w:rsidRPr="00415BF7">
              <w:rPr>
                <w:rFonts w:ascii="Verdana" w:hAnsi="Verdana"/>
              </w:rPr>
              <w:t>The European Parliament Elections Act does not contain an equivalent provision. However, Article 21 of the European Parliament Elections Act states that the provisions of the General Elections Act and of the Electoral Polling Ordinance shall apply to the conduct of elections, and to the counting of votes in elections, of members of the European Parliament.</w:t>
            </w:r>
          </w:p>
        </w:tc>
      </w:tr>
      <w:tr w:rsidR="0043168A" w:rsidRPr="00415BF7" w14:paraId="41ABA6D8" w14:textId="77777777" w:rsidTr="0043168A">
        <w:trPr>
          <w:trHeight w:val="454"/>
        </w:trPr>
        <w:tc>
          <w:tcPr>
            <w:tcW w:w="4717" w:type="dxa"/>
            <w:tcBorders>
              <w:top w:val="single" w:sz="4" w:space="0" w:color="000000"/>
              <w:left w:val="single" w:sz="4" w:space="0" w:color="000000"/>
              <w:bottom w:val="single" w:sz="4" w:space="0" w:color="000000"/>
            </w:tcBorders>
            <w:shd w:val="clear" w:color="auto" w:fill="FFFFFF"/>
            <w:vAlign w:val="center"/>
          </w:tcPr>
          <w:p w14:paraId="37CCED5B" w14:textId="77777777" w:rsidR="0043168A" w:rsidRPr="00415BF7" w:rsidRDefault="0043168A" w:rsidP="00415BF7">
            <w:pPr>
              <w:spacing w:before="240"/>
              <w:contextualSpacing/>
              <w:rPr>
                <w:rFonts w:ascii="Verdana" w:hAnsi="Verdana"/>
                <w:sz w:val="20"/>
                <w:szCs w:val="20"/>
                <w:lang w:val="en-GB"/>
              </w:rPr>
            </w:pPr>
            <w:r w:rsidRPr="00415BF7">
              <w:rPr>
                <w:rFonts w:ascii="Verdana" w:hAnsi="Verdana"/>
                <w:sz w:val="20"/>
                <w:szCs w:val="20"/>
              </w:rPr>
              <w:t xml:space="preserve">Is there a duty under law to provide reasonable accommodation for persons with disabilities in voting procedures? For example, is there a duty to provide assistance at the polling station (e.g. braille or large print ballot papers, independent support person to assist with voting chosen </w:t>
            </w:r>
            <w:r w:rsidRPr="00415BF7">
              <w:rPr>
                <w:rFonts w:ascii="Verdana" w:hAnsi="Verdana"/>
                <w:sz w:val="20"/>
                <w:szCs w:val="20"/>
              </w:rPr>
              <w:lastRenderedPageBreak/>
              <w:t>by the person with a disability) or to allow for alternative means of voting (e.g. postal ballots, voting in advance, home-based voting, voting at institutions, mobile voting)?</w:t>
            </w:r>
          </w:p>
        </w:tc>
        <w:tc>
          <w:tcPr>
            <w:tcW w:w="86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D3969" w14:textId="5768A92B" w:rsidR="0043168A" w:rsidRPr="00415BF7" w:rsidRDefault="0043168A" w:rsidP="00415BF7">
            <w:pPr>
              <w:rPr>
                <w:rFonts w:ascii="Verdana" w:hAnsi="Verdana" w:cstheme="minorHAnsi"/>
                <w:sz w:val="20"/>
                <w:szCs w:val="20"/>
                <w:lang w:val="en-GB"/>
              </w:rPr>
            </w:pPr>
            <w:r w:rsidRPr="00415BF7">
              <w:rPr>
                <w:rFonts w:ascii="Verdana" w:hAnsi="Verdana" w:cstheme="minorHAnsi"/>
                <w:sz w:val="20"/>
                <w:szCs w:val="20"/>
                <w:lang w:val="en-GB"/>
              </w:rPr>
              <w:lastRenderedPageBreak/>
              <w:t xml:space="preserve">Since the adoption of the Equal Opportunities Act (2000), voting stations are required to be physically accessible to all, including people with disability. Moreover, support staff at polling stations </w:t>
            </w:r>
            <w:r>
              <w:rPr>
                <w:rFonts w:ascii="Verdana" w:hAnsi="Verdana" w:cstheme="minorHAnsi"/>
                <w:sz w:val="20"/>
                <w:szCs w:val="20"/>
                <w:lang w:val="en-GB"/>
              </w:rPr>
              <w:t>is</w:t>
            </w:r>
            <w:r w:rsidRPr="00415BF7">
              <w:rPr>
                <w:rFonts w:ascii="Verdana" w:hAnsi="Verdana" w:cstheme="minorHAnsi"/>
                <w:sz w:val="20"/>
                <w:szCs w:val="20"/>
                <w:lang w:val="en-GB"/>
              </w:rPr>
              <w:t xml:space="preserve"> obliged to offer people with disability assistance in getting to the appropriate venue and to cast their vote if required.  The provision has made it possible for many people with physical disability to vote on an equal basis with others.</w:t>
            </w:r>
          </w:p>
          <w:p w14:paraId="1BD7D24D" w14:textId="77777777" w:rsidR="0043168A" w:rsidRPr="00415BF7" w:rsidRDefault="0043168A" w:rsidP="00415BF7">
            <w:pPr>
              <w:spacing w:before="240"/>
              <w:contextualSpacing/>
              <w:jc w:val="both"/>
              <w:rPr>
                <w:rFonts w:ascii="Verdana" w:hAnsi="Verdana"/>
                <w:sz w:val="20"/>
                <w:szCs w:val="20"/>
                <w:lang w:val="en-GB"/>
              </w:rPr>
            </w:pPr>
          </w:p>
        </w:tc>
      </w:tr>
      <w:tr w:rsidR="0043168A" w:rsidRPr="00415BF7" w14:paraId="7322D06F" w14:textId="77777777" w:rsidTr="0043168A">
        <w:trPr>
          <w:trHeight w:val="454"/>
        </w:trPr>
        <w:tc>
          <w:tcPr>
            <w:tcW w:w="4717" w:type="dxa"/>
            <w:tcBorders>
              <w:top w:val="single" w:sz="4" w:space="0" w:color="000000"/>
              <w:left w:val="single" w:sz="4" w:space="0" w:color="000000"/>
              <w:bottom w:val="single" w:sz="4" w:space="0" w:color="000000"/>
            </w:tcBorders>
            <w:shd w:val="clear" w:color="auto" w:fill="FFFFFF"/>
            <w:vAlign w:val="center"/>
          </w:tcPr>
          <w:p w14:paraId="564FA4DF" w14:textId="77777777" w:rsidR="0043168A" w:rsidRDefault="0043168A" w:rsidP="00415BF7">
            <w:pPr>
              <w:spacing w:before="240"/>
              <w:contextualSpacing/>
              <w:rPr>
                <w:rFonts w:ascii="Verdana" w:hAnsi="Verdana"/>
                <w:sz w:val="20"/>
                <w:szCs w:val="20"/>
                <w:lang w:val="en-GB"/>
              </w:rPr>
            </w:pPr>
          </w:p>
          <w:p w14:paraId="538E1D5B" w14:textId="77777777" w:rsidR="0043168A" w:rsidRPr="00415BF7" w:rsidRDefault="0043168A" w:rsidP="00415BF7">
            <w:pPr>
              <w:spacing w:before="240"/>
              <w:contextualSpacing/>
              <w:rPr>
                <w:rFonts w:ascii="Verdana" w:hAnsi="Verdana"/>
                <w:sz w:val="20"/>
                <w:szCs w:val="20"/>
                <w:lang w:val="en-GB"/>
              </w:rPr>
            </w:pPr>
            <w:r w:rsidRPr="00415BF7">
              <w:rPr>
                <w:rFonts w:ascii="Verdana" w:hAnsi="Verdana"/>
                <w:sz w:val="20"/>
                <w:szCs w:val="20"/>
                <w:lang w:val="en-GB"/>
              </w:rPr>
              <w:t>Is there a duty under law for public and private providers of internet and web-based information to ensure that public information is subject to accessibility requirements (e.g. equivalent to Web Content Accessibility Guidelines (WCAG) 2.0 AA standard)</w:t>
            </w:r>
          </w:p>
        </w:tc>
        <w:tc>
          <w:tcPr>
            <w:tcW w:w="86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44459" w14:textId="70CEC325" w:rsidR="0043168A" w:rsidRDefault="0043168A" w:rsidP="00C02CD5">
            <w:pPr>
              <w:spacing w:before="240" w:after="0" w:line="240" w:lineRule="auto"/>
              <w:contextualSpacing/>
              <w:rPr>
                <w:rFonts w:ascii="Verdana" w:hAnsi="Verdana"/>
                <w:sz w:val="20"/>
                <w:szCs w:val="20"/>
                <w:lang w:val="en-GB"/>
              </w:rPr>
            </w:pPr>
            <w:r w:rsidRPr="00415BF7">
              <w:rPr>
                <w:rFonts w:ascii="Verdana" w:hAnsi="Verdana"/>
                <w:sz w:val="20"/>
                <w:szCs w:val="20"/>
                <w:lang w:val="en-GB"/>
              </w:rPr>
              <w:t>The Electronic Communications Networks and Services (General) Regulations, S.L. 399.28, that regulates the provision of public and non-public electronic communication services, telephone services and private and public electronic communication networks, obliges service providers to ensure equivalence in access and choice for disabled end-users (Regulation 41), the imposing of  “must carry” obligations</w:t>
            </w:r>
            <w:r>
              <w:rPr>
                <w:rStyle w:val="FootnoteReference"/>
                <w:rFonts w:ascii="Verdana" w:hAnsi="Verdana"/>
                <w:sz w:val="20"/>
                <w:szCs w:val="20"/>
                <w:lang w:val="en-GB"/>
              </w:rPr>
              <w:footnoteReference w:id="23"/>
            </w:r>
            <w:r w:rsidRPr="00415BF7">
              <w:rPr>
                <w:rFonts w:ascii="Verdana" w:hAnsi="Verdana"/>
                <w:sz w:val="20"/>
                <w:szCs w:val="20"/>
                <w:lang w:val="en-GB"/>
              </w:rPr>
              <w:t xml:space="preserve"> [</w:t>
            </w:r>
            <w:r w:rsidRPr="00415BF7">
              <w:rPr>
                <w:rFonts w:ascii="Verdana" w:hAnsi="Verdana"/>
                <w:sz w:val="20"/>
                <w:szCs w:val="20"/>
              </w:rPr>
              <w:t xml:space="preserve">] </w:t>
            </w:r>
            <w:r w:rsidRPr="00415BF7">
              <w:rPr>
                <w:rFonts w:ascii="Verdana" w:hAnsi="Verdana"/>
                <w:sz w:val="20"/>
                <w:szCs w:val="20"/>
                <w:lang w:val="en-GB"/>
              </w:rPr>
              <w:t>particularly to enable appropriate access for disabled end-users (Regulation 49) and the imposition of designated undertakings under the Regulations to pay phones and other comparable services are accessible to disabled end-users (Regulation 25).</w:t>
            </w:r>
            <w:r w:rsidRPr="00415BF7">
              <w:rPr>
                <w:rStyle w:val="FootnoteReference"/>
                <w:rFonts w:ascii="Verdana" w:hAnsi="Verdana"/>
                <w:sz w:val="20"/>
                <w:szCs w:val="20"/>
                <w:lang w:val="en-GB"/>
              </w:rPr>
              <w:footnoteReference w:id="24"/>
            </w:r>
            <w:r w:rsidRPr="00415BF7">
              <w:rPr>
                <w:rFonts w:ascii="Verdana" w:hAnsi="Verdana"/>
                <w:sz w:val="20"/>
                <w:szCs w:val="20"/>
                <w:lang w:val="en-GB"/>
              </w:rPr>
              <w:t xml:space="preserve"> </w:t>
            </w:r>
          </w:p>
          <w:p w14:paraId="632A5044" w14:textId="30980D4A" w:rsidR="0043168A" w:rsidRPr="00415BF7" w:rsidRDefault="0043168A" w:rsidP="00C02CD5">
            <w:pPr>
              <w:spacing w:before="240" w:after="0" w:line="240" w:lineRule="auto"/>
              <w:contextualSpacing/>
              <w:rPr>
                <w:rFonts w:ascii="Verdana" w:hAnsi="Verdana"/>
                <w:sz w:val="20"/>
                <w:szCs w:val="20"/>
                <w:lang w:val="en-GB"/>
              </w:rPr>
            </w:pPr>
            <w:r w:rsidRPr="00415BF7">
              <w:rPr>
                <w:rFonts w:ascii="Verdana" w:hAnsi="Verdana"/>
                <w:sz w:val="20"/>
                <w:szCs w:val="20"/>
              </w:rPr>
              <w:t>The Malta Communications Authority can impose on certain designated undertakings universal service obligations, such as telephony services. These undertakings must ensure that public pay phones meet the accessibility needs to disabled end-users. Regulation 25 relates to telephon</w:t>
            </w:r>
            <w:r>
              <w:rPr>
                <w:rFonts w:ascii="Verdana" w:hAnsi="Verdana"/>
                <w:sz w:val="20"/>
                <w:szCs w:val="20"/>
              </w:rPr>
              <w:t>e</w:t>
            </w:r>
            <w:r w:rsidRPr="00415BF7">
              <w:rPr>
                <w:rFonts w:ascii="Verdana" w:hAnsi="Verdana"/>
                <w:sz w:val="20"/>
                <w:szCs w:val="20"/>
              </w:rPr>
              <w:t xml:space="preserve"> services and can refer to both public and private undertakings.</w:t>
            </w:r>
            <w:r w:rsidRPr="00415BF7">
              <w:rPr>
                <w:rFonts w:ascii="Verdana" w:hAnsi="Verdana"/>
                <w:sz w:val="20"/>
                <w:szCs w:val="20"/>
                <w:lang w:val="en-GB"/>
              </w:rPr>
              <w:t>T</w:t>
            </w:r>
            <w:r w:rsidRPr="00415BF7">
              <w:rPr>
                <w:rFonts w:ascii="Verdana" w:hAnsi="Verdana"/>
                <w:sz w:val="20"/>
                <w:szCs w:val="20"/>
              </w:rPr>
              <w:t>he Regulations do not make reference to any particular accessibility standards which must be achieved. However, the Malta Communications Authority may itself specify, where appropriate, requirements to be met. No deadlines are envisaged under this Regulation.</w:t>
            </w:r>
          </w:p>
          <w:p w14:paraId="69563331" w14:textId="77777777" w:rsidR="0043168A" w:rsidRPr="00415BF7" w:rsidRDefault="0043168A" w:rsidP="00C02CD5">
            <w:pPr>
              <w:spacing w:before="240" w:after="0" w:line="240" w:lineRule="auto"/>
              <w:contextualSpacing/>
              <w:rPr>
                <w:rFonts w:ascii="Verdana" w:hAnsi="Verdana"/>
                <w:sz w:val="20"/>
                <w:szCs w:val="20"/>
                <w:lang w:val="en-GB"/>
              </w:rPr>
            </w:pPr>
            <w:r w:rsidRPr="00415BF7">
              <w:rPr>
                <w:rFonts w:ascii="Verdana" w:hAnsi="Verdana"/>
                <w:sz w:val="20"/>
                <w:szCs w:val="20"/>
                <w:lang w:val="en-GB"/>
              </w:rPr>
              <w:t>In addition, the Equal Opportunities (Persons with Disabilities) Act, Chapter 413 of the laws of Malta, provides in Article 13(1) and Article 13(2) that goods, services and facilities [both public and private] should be accessible to persons with disabilities.</w:t>
            </w:r>
            <w:r w:rsidRPr="00415BF7">
              <w:rPr>
                <w:rStyle w:val="FootnoteReference"/>
                <w:rFonts w:ascii="Verdana" w:hAnsi="Verdana"/>
                <w:sz w:val="20"/>
                <w:szCs w:val="20"/>
                <w:lang w:val="en-GB"/>
              </w:rPr>
              <w:footnoteReference w:id="25"/>
            </w:r>
          </w:p>
          <w:p w14:paraId="2AF6CD9F" w14:textId="77777777" w:rsidR="0043168A" w:rsidRPr="00415BF7" w:rsidRDefault="0043168A" w:rsidP="00C02CD5">
            <w:pPr>
              <w:spacing w:before="240" w:after="0" w:line="240" w:lineRule="auto"/>
              <w:contextualSpacing/>
              <w:rPr>
                <w:rFonts w:ascii="Verdana" w:hAnsi="Verdana"/>
                <w:sz w:val="20"/>
                <w:szCs w:val="20"/>
                <w:lang w:val="en-GB"/>
              </w:rPr>
            </w:pPr>
          </w:p>
          <w:p w14:paraId="4F51F0BA" w14:textId="095A6E82" w:rsidR="0043168A" w:rsidRDefault="0043168A" w:rsidP="00C02CD5">
            <w:pPr>
              <w:pStyle w:val="CommentText"/>
              <w:rPr>
                <w:rFonts w:ascii="Verdana" w:hAnsi="Verdana"/>
              </w:rPr>
            </w:pPr>
            <w:r w:rsidRPr="00415BF7">
              <w:rPr>
                <w:rFonts w:ascii="Verdana" w:hAnsi="Verdana"/>
                <w:lang w:val="en-GB"/>
              </w:rPr>
              <w:t xml:space="preserve">Pursuant to several complaints in 2005/06, </w:t>
            </w:r>
            <w:r>
              <w:rPr>
                <w:rFonts w:ascii="Verdana" w:hAnsi="Verdana"/>
                <w:lang w:val="en-GB"/>
              </w:rPr>
              <w:t xml:space="preserve">the </w:t>
            </w:r>
            <w:r w:rsidRPr="00415BF7">
              <w:rPr>
                <w:rFonts w:ascii="Verdana" w:hAnsi="Verdana"/>
                <w:lang w:val="en-GB"/>
              </w:rPr>
              <w:t xml:space="preserve">National Commission Persons with </w:t>
            </w:r>
            <w:r w:rsidRPr="00415BF7">
              <w:rPr>
                <w:rFonts w:ascii="Verdana" w:hAnsi="Verdana"/>
                <w:lang w:val="en-GB"/>
              </w:rPr>
              <w:lastRenderedPageBreak/>
              <w:t>Disability (KNPD) and the Foundation for Information Technology Accessibility (FITA) embarked on a project to ensure that websites of important entities are accessible to everyone in conformity with international standards</w:t>
            </w:r>
            <w:r w:rsidRPr="00415BF7">
              <w:rPr>
                <w:rStyle w:val="FootnoteReference"/>
                <w:rFonts w:ascii="Verdana" w:hAnsi="Verdana"/>
                <w:lang w:val="en-GB"/>
              </w:rPr>
              <w:footnoteReference w:id="26"/>
            </w:r>
            <w:r w:rsidRPr="00415BF7">
              <w:rPr>
                <w:rFonts w:ascii="Verdana" w:hAnsi="Verdana"/>
                <w:lang w:val="en-GB"/>
              </w:rPr>
              <w:t xml:space="preserve">.  </w:t>
            </w:r>
            <w:r w:rsidRPr="00415BF7">
              <w:rPr>
                <w:rFonts w:ascii="Verdana" w:hAnsi="Verdana"/>
              </w:rPr>
              <w:t xml:space="preserve"> The project is on-going. No data is available as to the number of websites linked to political participation are available.</w:t>
            </w:r>
          </w:p>
          <w:p w14:paraId="593B190A" w14:textId="6AAC1602" w:rsidR="0043168A" w:rsidRPr="00415BF7" w:rsidRDefault="0043168A" w:rsidP="00C02CD5">
            <w:pPr>
              <w:pStyle w:val="CommentText"/>
              <w:rPr>
                <w:rFonts w:ascii="Verdana" w:hAnsi="Verdana"/>
              </w:rPr>
            </w:pPr>
            <w:r w:rsidRPr="00415BF7">
              <w:rPr>
                <w:rFonts w:ascii="Verdana" w:hAnsi="Verdana"/>
              </w:rPr>
              <w:t>For the particular standards,  KNPD and FITA referred</w:t>
            </w:r>
            <w:r>
              <w:rPr>
                <w:rFonts w:ascii="Verdana" w:hAnsi="Verdana"/>
              </w:rPr>
              <w:t xml:space="preserve"> </w:t>
            </w:r>
            <w:r w:rsidRPr="00415BF7">
              <w:rPr>
                <w:rFonts w:ascii="Verdana" w:hAnsi="Verdana"/>
              </w:rPr>
              <w:t xml:space="preserve">to: </w:t>
            </w:r>
          </w:p>
          <w:p w14:paraId="4B3C6B06" w14:textId="63F66B18" w:rsidR="0043168A" w:rsidRPr="00415BF7" w:rsidRDefault="0043168A" w:rsidP="00415BF7">
            <w:pPr>
              <w:pStyle w:val="CommentText"/>
              <w:rPr>
                <w:rFonts w:ascii="Verdana" w:hAnsi="Verdana"/>
              </w:rPr>
            </w:pPr>
            <w:r w:rsidRPr="00415BF7">
              <w:rPr>
                <w:rFonts w:ascii="Verdana" w:hAnsi="Verdana"/>
              </w:rPr>
              <w:t xml:space="preserve"> • WCAG 2</w:t>
            </w:r>
            <w:r>
              <w:rPr>
                <w:rFonts w:ascii="Verdana" w:hAnsi="Verdana"/>
              </w:rPr>
              <w:t>.0</w:t>
            </w:r>
            <w:r w:rsidRPr="00415BF7">
              <w:rPr>
                <w:rFonts w:ascii="Verdana" w:hAnsi="Verdana"/>
              </w:rPr>
              <w:t xml:space="preserve"> </w:t>
            </w:r>
          </w:p>
          <w:p w14:paraId="67E2AF93" w14:textId="77777777" w:rsidR="0043168A" w:rsidRPr="00415BF7" w:rsidRDefault="0043168A" w:rsidP="00415BF7">
            <w:pPr>
              <w:pStyle w:val="CommentText"/>
              <w:rPr>
                <w:rFonts w:ascii="Verdana" w:hAnsi="Verdana"/>
                <w:lang w:val="es-ES_tradnl"/>
              </w:rPr>
            </w:pPr>
            <w:r w:rsidRPr="00415BF7">
              <w:rPr>
                <w:rFonts w:ascii="Verdana" w:hAnsi="Verdana"/>
                <w:lang w:val="es-ES_tradnl"/>
              </w:rPr>
              <w:t xml:space="preserve">• ADA Section 504 / 508 - </w:t>
            </w:r>
            <w:hyperlink r:id="rId13" w:history="1">
              <w:r w:rsidRPr="00415BF7">
                <w:rPr>
                  <w:rStyle w:val="Hyperlink"/>
                  <w:rFonts w:ascii="Verdana" w:hAnsi="Verdana"/>
                  <w:lang w:val="es-ES_tradnl"/>
                </w:rPr>
                <w:t>http://www.hhs.gov/web/508/section504.html</w:t>
              </w:r>
            </w:hyperlink>
            <w:r w:rsidRPr="00415BF7">
              <w:rPr>
                <w:rFonts w:ascii="Verdana" w:hAnsi="Verdana"/>
                <w:lang w:val="es-ES_tradnl"/>
              </w:rPr>
              <w:t xml:space="preserve"> </w:t>
            </w:r>
          </w:p>
          <w:p w14:paraId="7E7697E7" w14:textId="77777777" w:rsidR="0043168A" w:rsidRPr="00415BF7" w:rsidRDefault="0043168A" w:rsidP="00415BF7">
            <w:pPr>
              <w:pStyle w:val="CommentText"/>
              <w:rPr>
                <w:rFonts w:ascii="Verdana" w:hAnsi="Verdana"/>
                <w:lang w:val="es-ES_tradnl"/>
              </w:rPr>
            </w:pPr>
            <w:r w:rsidRPr="00415BF7">
              <w:rPr>
                <w:rFonts w:ascii="Verdana" w:hAnsi="Verdana"/>
                <w:lang w:val="es-ES_tradnl"/>
              </w:rPr>
              <w:t xml:space="preserve">• TERESIAS - </w:t>
            </w:r>
            <w:hyperlink r:id="rId14" w:history="1">
              <w:r w:rsidRPr="00415BF7">
                <w:rPr>
                  <w:rStyle w:val="Hyperlink"/>
                  <w:rFonts w:ascii="Verdana" w:hAnsi="Verdana"/>
                  <w:lang w:val="es-ES_tradnl"/>
                </w:rPr>
                <w:t>http://www.gaates.org/documents/ICT/GAATES_Procurement.pdf</w:t>
              </w:r>
            </w:hyperlink>
            <w:r w:rsidRPr="00415BF7">
              <w:rPr>
                <w:rFonts w:ascii="Verdana" w:hAnsi="Verdana"/>
                <w:lang w:val="es-ES_tradnl"/>
              </w:rPr>
              <w:t xml:space="preserve"> </w:t>
            </w:r>
          </w:p>
          <w:p w14:paraId="26AE82A3" w14:textId="77777777" w:rsidR="0043168A" w:rsidRPr="00415BF7" w:rsidRDefault="0043168A" w:rsidP="00415BF7">
            <w:pPr>
              <w:pStyle w:val="CommentText"/>
              <w:rPr>
                <w:rFonts w:ascii="Verdana" w:hAnsi="Verdana"/>
              </w:rPr>
            </w:pPr>
            <w:r w:rsidRPr="00415BF7">
              <w:rPr>
                <w:rFonts w:ascii="Verdana" w:hAnsi="Verdana"/>
              </w:rPr>
              <w:t>• ISO - ISO/TS 16071:2003 , ISO 9241-171:2008</w:t>
            </w:r>
          </w:p>
          <w:p w14:paraId="0FD67BAA" w14:textId="77777777" w:rsidR="0043168A" w:rsidRPr="00415BF7" w:rsidRDefault="0043168A" w:rsidP="00415BF7">
            <w:pPr>
              <w:pStyle w:val="CommentText"/>
              <w:rPr>
                <w:rFonts w:ascii="Verdana" w:hAnsi="Verdana"/>
              </w:rPr>
            </w:pPr>
            <w:r w:rsidRPr="00415BF7">
              <w:rPr>
                <w:rFonts w:ascii="Verdana" w:hAnsi="Verdana"/>
              </w:rPr>
              <w:t>Their implementation at a national level can be found in this document:</w:t>
            </w:r>
          </w:p>
          <w:p w14:paraId="3252D112" w14:textId="77777777" w:rsidR="0043168A" w:rsidRPr="00415BF7" w:rsidRDefault="0043168A" w:rsidP="00415BF7">
            <w:pPr>
              <w:pStyle w:val="CommentText"/>
              <w:rPr>
                <w:rFonts w:ascii="Verdana" w:hAnsi="Verdana"/>
              </w:rPr>
            </w:pPr>
            <w:r w:rsidRPr="00415BF7">
              <w:rPr>
                <w:rFonts w:ascii="Verdana" w:hAnsi="Verdana"/>
              </w:rPr>
              <w:t xml:space="preserve"> • MITA/FITA  GMICT Standards </w:t>
            </w:r>
            <w:hyperlink r:id="rId15" w:history="1">
              <w:r w:rsidRPr="00415BF7">
                <w:rPr>
                  <w:rStyle w:val="Hyperlink"/>
                  <w:rFonts w:ascii="Verdana" w:hAnsi="Verdana"/>
                </w:rPr>
                <w:t>https://www.mita.gov.mt/MediaCenter/PDFs/1_GMICT_S_0051-3_Website_Accessibility_Standard_v4.0.pdf</w:t>
              </w:r>
            </w:hyperlink>
            <w:r w:rsidRPr="00415BF7">
              <w:rPr>
                <w:rFonts w:ascii="Verdana" w:hAnsi="Verdana"/>
              </w:rPr>
              <w:t xml:space="preserve"> </w:t>
            </w:r>
          </w:p>
          <w:p w14:paraId="77E3BA8F" w14:textId="22F604CA" w:rsidR="0043168A" w:rsidRPr="00415BF7" w:rsidRDefault="0043168A" w:rsidP="00415BF7">
            <w:pPr>
              <w:spacing w:before="240" w:after="0" w:line="240" w:lineRule="auto"/>
              <w:contextualSpacing/>
              <w:rPr>
                <w:rFonts w:ascii="Verdana" w:hAnsi="Verdana"/>
                <w:sz w:val="20"/>
                <w:szCs w:val="20"/>
                <w:lang w:val="en-GB"/>
              </w:rPr>
            </w:pPr>
            <w:r>
              <w:rPr>
                <w:rFonts w:ascii="Verdana" w:hAnsi="Verdana"/>
                <w:sz w:val="20"/>
                <w:szCs w:val="20"/>
                <w:lang w:val="en-GB"/>
              </w:rPr>
              <w:t>Also s</w:t>
            </w:r>
            <w:r w:rsidRPr="00415BF7">
              <w:rPr>
                <w:rFonts w:ascii="Verdana" w:hAnsi="Verdana"/>
                <w:sz w:val="20"/>
                <w:szCs w:val="20"/>
                <w:lang w:val="en-GB"/>
              </w:rPr>
              <w:t>ee the 2005 (Pages 8, 15, 30), 2006 (Pages 8, 16, 28, 35) and 2007 (Pages 10, 21) Annual Report of the National Commission Persons with Disability Malta.</w:t>
            </w:r>
            <w:r w:rsidRPr="00415BF7">
              <w:rPr>
                <w:rStyle w:val="FootnoteReference"/>
                <w:rFonts w:ascii="Verdana" w:hAnsi="Verdana"/>
                <w:sz w:val="20"/>
                <w:szCs w:val="20"/>
                <w:lang w:val="en-GB"/>
              </w:rPr>
              <w:footnoteReference w:id="27"/>
            </w:r>
            <w:r w:rsidRPr="00415BF7">
              <w:rPr>
                <w:rFonts w:ascii="Verdana" w:hAnsi="Verdana"/>
                <w:sz w:val="20"/>
                <w:szCs w:val="20"/>
                <w:lang w:val="en-GB"/>
              </w:rPr>
              <w:t xml:space="preserve"> </w:t>
            </w:r>
          </w:p>
          <w:p w14:paraId="7678E5B3" w14:textId="77777777" w:rsidR="0043168A" w:rsidRPr="00415BF7" w:rsidRDefault="0043168A" w:rsidP="00415BF7">
            <w:pPr>
              <w:spacing w:before="240" w:after="0" w:line="240" w:lineRule="auto"/>
              <w:contextualSpacing/>
              <w:jc w:val="both"/>
              <w:rPr>
                <w:rFonts w:ascii="Verdana" w:hAnsi="Verdana"/>
                <w:sz w:val="20"/>
                <w:szCs w:val="20"/>
                <w:lang w:val="en-GB"/>
              </w:rPr>
            </w:pPr>
          </w:p>
          <w:p w14:paraId="1710F7A5" w14:textId="0D718B19" w:rsidR="0043168A" w:rsidRPr="00415BF7" w:rsidRDefault="0043168A" w:rsidP="00415BF7">
            <w:pPr>
              <w:spacing w:before="240" w:after="0" w:line="240" w:lineRule="auto"/>
              <w:contextualSpacing/>
              <w:jc w:val="both"/>
              <w:rPr>
                <w:rFonts w:ascii="Verdana" w:hAnsi="Verdana"/>
                <w:sz w:val="20"/>
                <w:szCs w:val="20"/>
                <w:lang w:val="en-GB"/>
              </w:rPr>
            </w:pPr>
            <w:r w:rsidRPr="00415BF7">
              <w:rPr>
                <w:rFonts w:ascii="Verdana" w:hAnsi="Verdana"/>
                <w:sz w:val="20"/>
                <w:szCs w:val="20"/>
                <w:lang w:val="en-GB"/>
              </w:rPr>
              <w:t xml:space="preserve">KNPD also issued the “Guidelines towards an inclusive society and a positive difference in the lives of Maltese and Gozitan disabled people” </w:t>
            </w:r>
            <w:r>
              <w:rPr>
                <w:rFonts w:ascii="Verdana" w:hAnsi="Verdana"/>
                <w:sz w:val="20"/>
                <w:szCs w:val="20"/>
                <w:lang w:val="en-GB"/>
              </w:rPr>
              <w:t>in</w:t>
            </w:r>
            <w:r w:rsidRPr="00415BF7">
              <w:rPr>
                <w:rFonts w:ascii="Verdana" w:hAnsi="Verdana"/>
                <w:sz w:val="20"/>
                <w:szCs w:val="20"/>
                <w:lang w:val="en-GB"/>
              </w:rPr>
              <w:t xml:space="preserve"> 2007, which </w:t>
            </w:r>
            <w:r>
              <w:rPr>
                <w:rFonts w:ascii="Verdana" w:hAnsi="Verdana"/>
                <w:sz w:val="20"/>
                <w:szCs w:val="20"/>
                <w:lang w:val="en-GB"/>
              </w:rPr>
              <w:t>also set out that</w:t>
            </w:r>
            <w:r w:rsidRPr="00415BF7">
              <w:rPr>
                <w:rFonts w:ascii="Verdana" w:hAnsi="Verdana"/>
                <w:sz w:val="20"/>
                <w:szCs w:val="20"/>
                <w:lang w:val="en-GB"/>
              </w:rPr>
              <w:t xml:space="preserve"> websites </w:t>
            </w:r>
            <w:r>
              <w:rPr>
                <w:rFonts w:ascii="Verdana" w:hAnsi="Verdana"/>
                <w:sz w:val="20"/>
                <w:szCs w:val="20"/>
                <w:lang w:val="en-GB"/>
              </w:rPr>
              <w:t>shall</w:t>
            </w:r>
            <w:r w:rsidRPr="00415BF7">
              <w:rPr>
                <w:rFonts w:ascii="Verdana" w:hAnsi="Verdana"/>
                <w:sz w:val="20"/>
                <w:szCs w:val="20"/>
                <w:lang w:val="en-GB"/>
              </w:rPr>
              <w:t xml:space="preserve"> be accessible for all.</w:t>
            </w:r>
            <w:r w:rsidRPr="00415BF7">
              <w:rPr>
                <w:rStyle w:val="FootnoteReference"/>
                <w:rFonts w:ascii="Verdana" w:hAnsi="Verdana"/>
                <w:sz w:val="20"/>
                <w:szCs w:val="20"/>
                <w:lang w:val="en-GB"/>
              </w:rPr>
              <w:footnoteReference w:id="28"/>
            </w:r>
            <w:r w:rsidRPr="00415BF7">
              <w:rPr>
                <w:rFonts w:ascii="Verdana" w:hAnsi="Verdana"/>
                <w:sz w:val="20"/>
                <w:szCs w:val="20"/>
                <w:lang w:val="en-GB"/>
              </w:rPr>
              <w:t xml:space="preserve">  </w:t>
            </w:r>
          </w:p>
          <w:p w14:paraId="00F932E9" w14:textId="77777777" w:rsidR="0043168A" w:rsidRPr="00415BF7" w:rsidRDefault="0043168A" w:rsidP="00415BF7">
            <w:pPr>
              <w:spacing w:before="240" w:after="0" w:line="240" w:lineRule="auto"/>
              <w:contextualSpacing/>
              <w:rPr>
                <w:rFonts w:ascii="Verdana" w:hAnsi="Verdana"/>
                <w:sz w:val="20"/>
                <w:szCs w:val="20"/>
                <w:lang w:val="en-GB"/>
              </w:rPr>
            </w:pPr>
          </w:p>
        </w:tc>
      </w:tr>
      <w:tr w:rsidR="0043168A" w:rsidRPr="00415BF7" w14:paraId="6FC2A5E9" w14:textId="77777777" w:rsidTr="0043168A">
        <w:trPr>
          <w:trHeight w:val="454"/>
        </w:trPr>
        <w:tc>
          <w:tcPr>
            <w:tcW w:w="4717" w:type="dxa"/>
            <w:tcBorders>
              <w:top w:val="single" w:sz="4" w:space="0" w:color="000000"/>
              <w:left w:val="single" w:sz="4" w:space="0" w:color="000000"/>
              <w:bottom w:val="single" w:sz="4" w:space="0" w:color="000000"/>
            </w:tcBorders>
            <w:shd w:val="clear" w:color="auto" w:fill="FFFFFF"/>
            <w:vAlign w:val="center"/>
          </w:tcPr>
          <w:p w14:paraId="248B85B1" w14:textId="77777777" w:rsidR="0043168A" w:rsidRPr="00415BF7" w:rsidRDefault="0043168A" w:rsidP="00415BF7">
            <w:pPr>
              <w:spacing w:before="240"/>
              <w:contextualSpacing/>
              <w:rPr>
                <w:rFonts w:ascii="Verdana" w:hAnsi="Verdana"/>
                <w:sz w:val="20"/>
                <w:szCs w:val="20"/>
                <w:lang w:val="en-GB"/>
              </w:rPr>
            </w:pPr>
            <w:r w:rsidRPr="00415BF7">
              <w:rPr>
                <w:rFonts w:ascii="Verdana" w:hAnsi="Verdana"/>
                <w:sz w:val="20"/>
                <w:szCs w:val="20"/>
                <w:lang w:val="en-GB"/>
              </w:rPr>
              <w:lastRenderedPageBreak/>
              <w:t xml:space="preserve">Is there a duty under law for public and </w:t>
            </w:r>
            <w:r w:rsidRPr="00415BF7">
              <w:rPr>
                <w:rFonts w:ascii="Verdana" w:hAnsi="Verdana"/>
                <w:sz w:val="20"/>
                <w:szCs w:val="20"/>
                <w:lang w:val="en-GB"/>
              </w:rPr>
              <w:lastRenderedPageBreak/>
              <w:t>private providers of media (including newspapers, TV, radio and internet) to ensure that their information and communications are subject to accessibility requirements?</w:t>
            </w:r>
          </w:p>
        </w:tc>
        <w:tc>
          <w:tcPr>
            <w:tcW w:w="86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E7A9D" w14:textId="3BAB5F51" w:rsidR="0043168A" w:rsidRPr="000E2DE1" w:rsidRDefault="0043168A" w:rsidP="000E2DE1">
            <w:pPr>
              <w:pStyle w:val="CommentText"/>
              <w:rPr>
                <w:rFonts w:ascii="Verdana" w:hAnsi="Verdana"/>
              </w:rPr>
            </w:pPr>
            <w:r w:rsidRPr="00415BF7">
              <w:rPr>
                <w:rFonts w:ascii="Verdana" w:hAnsi="Verdana"/>
                <w:lang w:val="en-GB"/>
              </w:rPr>
              <w:lastRenderedPageBreak/>
              <w:t xml:space="preserve">The Broadcasting Act, Chapter 350 of the Laws of Malta, provides in Article 16J(3) </w:t>
            </w:r>
            <w:r w:rsidRPr="00415BF7">
              <w:rPr>
                <w:rFonts w:ascii="Verdana" w:hAnsi="Verdana"/>
                <w:lang w:val="en-GB"/>
              </w:rPr>
              <w:lastRenderedPageBreak/>
              <w:t>that media service providers shall be encouraged that their services are gradually made accessible to people with a visual or hearing disability.</w:t>
            </w:r>
            <w:r w:rsidRPr="00415BF7">
              <w:rPr>
                <w:rStyle w:val="FootnoteReference"/>
                <w:rFonts w:ascii="Verdana" w:hAnsi="Verdana"/>
                <w:lang w:val="en-GB"/>
              </w:rPr>
              <w:footnoteReference w:id="29"/>
            </w:r>
            <w:r w:rsidRPr="00415BF7">
              <w:rPr>
                <w:rFonts w:ascii="Verdana" w:hAnsi="Verdana"/>
              </w:rPr>
              <w:t xml:space="preserve"> There is no timeframe envisaged for this process. The Act makes no reference to any measures that could be undertaken to make services more accessible.</w:t>
            </w:r>
          </w:p>
        </w:tc>
      </w:tr>
      <w:tr w:rsidR="0043168A" w:rsidRPr="00415BF7" w14:paraId="3215264C" w14:textId="77777777" w:rsidTr="0043168A">
        <w:trPr>
          <w:trHeight w:val="454"/>
        </w:trPr>
        <w:tc>
          <w:tcPr>
            <w:tcW w:w="4717" w:type="dxa"/>
            <w:tcBorders>
              <w:top w:val="single" w:sz="4" w:space="0" w:color="000000"/>
              <w:left w:val="single" w:sz="4" w:space="0" w:color="000000"/>
              <w:bottom w:val="single" w:sz="4" w:space="0" w:color="000000"/>
            </w:tcBorders>
            <w:shd w:val="clear" w:color="auto" w:fill="FFFFFF"/>
            <w:vAlign w:val="center"/>
          </w:tcPr>
          <w:p w14:paraId="2F248C36" w14:textId="47730BE2" w:rsidR="0043168A" w:rsidRPr="00415BF7" w:rsidRDefault="0043168A" w:rsidP="00415BF7">
            <w:pPr>
              <w:rPr>
                <w:rFonts w:ascii="Verdana" w:hAnsi="Verdana"/>
                <w:sz w:val="20"/>
                <w:szCs w:val="20"/>
              </w:rPr>
            </w:pPr>
            <w:r w:rsidRPr="00415BF7">
              <w:rPr>
                <w:rFonts w:ascii="Verdana" w:hAnsi="Verdana"/>
                <w:sz w:val="20"/>
                <w:szCs w:val="20"/>
              </w:rPr>
              <w:lastRenderedPageBreak/>
              <w:t>Is there legislation requiring that polling stations and voting processes be accessible to persons with disabilities (e.g. a certain percentage of polling stations must be accessible, one polling station per electoral district must be accessible etc</w:t>
            </w:r>
            <w:r>
              <w:rPr>
                <w:rFonts w:ascii="Verdana" w:hAnsi="Verdana"/>
                <w:sz w:val="20"/>
                <w:szCs w:val="20"/>
              </w:rPr>
              <w:t>.</w:t>
            </w:r>
            <w:r w:rsidRPr="00415BF7">
              <w:rPr>
                <w:rFonts w:ascii="Verdana" w:hAnsi="Verdana"/>
                <w:sz w:val="20"/>
                <w:szCs w:val="20"/>
              </w:rPr>
              <w:t>)?</w:t>
            </w:r>
          </w:p>
          <w:p w14:paraId="0037970F" w14:textId="239BBECF" w:rsidR="0043168A" w:rsidRPr="00415BF7" w:rsidRDefault="0043168A" w:rsidP="00415BF7">
            <w:pPr>
              <w:spacing w:before="240"/>
              <w:contextualSpacing/>
              <w:rPr>
                <w:rFonts w:ascii="Verdana" w:hAnsi="Verdana"/>
                <w:sz w:val="20"/>
                <w:szCs w:val="20"/>
                <w:lang w:val="en-GB"/>
              </w:rPr>
            </w:pPr>
            <w:r w:rsidRPr="00415BF7">
              <w:rPr>
                <w:rFonts w:ascii="Verdana" w:hAnsi="Verdana"/>
                <w:sz w:val="20"/>
                <w:szCs w:val="20"/>
              </w:rPr>
              <w:t>Please indicate whether the legislation requires that polling stations and voting processes are accessible for all persons with disabilities or for particular impairment groups (e.g. persons with visual, hearing, physical impairments etc</w:t>
            </w:r>
            <w:r>
              <w:rPr>
                <w:rFonts w:ascii="Verdana" w:hAnsi="Verdana"/>
                <w:sz w:val="20"/>
                <w:szCs w:val="20"/>
              </w:rPr>
              <w:t>.</w:t>
            </w:r>
            <w:r w:rsidRPr="00415BF7">
              <w:rPr>
                <w:rFonts w:ascii="Verdana" w:hAnsi="Verdana"/>
                <w:sz w:val="20"/>
                <w:szCs w:val="20"/>
              </w:rPr>
              <w:t>).</w:t>
            </w:r>
          </w:p>
        </w:tc>
        <w:tc>
          <w:tcPr>
            <w:tcW w:w="86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4D03F" w14:textId="7248C92A" w:rsidR="0043168A" w:rsidRPr="00415BF7" w:rsidRDefault="0043168A" w:rsidP="00415BF7">
            <w:pPr>
              <w:rPr>
                <w:rFonts w:ascii="Verdana" w:hAnsi="Verdana" w:cstheme="minorHAnsi"/>
                <w:sz w:val="20"/>
                <w:szCs w:val="20"/>
                <w:lang w:val="en-GB"/>
              </w:rPr>
            </w:pPr>
            <w:r w:rsidRPr="00415BF7">
              <w:rPr>
                <w:rFonts w:ascii="Verdana" w:hAnsi="Verdana" w:cstheme="minorHAnsi"/>
                <w:sz w:val="20"/>
                <w:szCs w:val="20"/>
                <w:lang w:val="en-GB"/>
              </w:rPr>
              <w:t xml:space="preserve">Since the adoption of the Equal Opportunities Act (2000), voting stations are required to be physically accessible to all, including people with disability. Moreover, support staff at polling stations </w:t>
            </w:r>
            <w:r>
              <w:rPr>
                <w:rFonts w:ascii="Verdana" w:hAnsi="Verdana" w:cstheme="minorHAnsi"/>
                <w:sz w:val="20"/>
                <w:szCs w:val="20"/>
                <w:lang w:val="en-GB"/>
              </w:rPr>
              <w:t>is</w:t>
            </w:r>
            <w:r w:rsidRPr="00415BF7">
              <w:rPr>
                <w:rFonts w:ascii="Verdana" w:hAnsi="Verdana" w:cstheme="minorHAnsi"/>
                <w:sz w:val="20"/>
                <w:szCs w:val="20"/>
                <w:lang w:val="en-GB"/>
              </w:rPr>
              <w:t xml:space="preserve"> obliged to offer people with disability assistance in getting to the appropriate venue and to cast their vote if required.  The provision </w:t>
            </w:r>
            <w:r>
              <w:rPr>
                <w:rFonts w:ascii="Verdana" w:hAnsi="Verdana" w:cstheme="minorHAnsi"/>
                <w:sz w:val="20"/>
                <w:szCs w:val="20"/>
                <w:lang w:val="en-GB"/>
              </w:rPr>
              <w:t xml:space="preserve"> has particular benefitted </w:t>
            </w:r>
            <w:r w:rsidRPr="00415BF7">
              <w:rPr>
                <w:rFonts w:ascii="Verdana" w:hAnsi="Verdana" w:cstheme="minorHAnsi"/>
                <w:sz w:val="20"/>
                <w:szCs w:val="20"/>
                <w:lang w:val="en-GB"/>
              </w:rPr>
              <w:t>people with physical disabilit</w:t>
            </w:r>
            <w:r>
              <w:rPr>
                <w:rFonts w:ascii="Verdana" w:hAnsi="Verdana" w:cstheme="minorHAnsi"/>
                <w:sz w:val="20"/>
                <w:szCs w:val="20"/>
                <w:lang w:val="en-GB"/>
              </w:rPr>
              <w:t>ies.</w:t>
            </w:r>
          </w:p>
          <w:p w14:paraId="677FEF88" w14:textId="77777777" w:rsidR="0043168A" w:rsidRPr="00415BF7" w:rsidRDefault="0043168A" w:rsidP="00415BF7">
            <w:pPr>
              <w:spacing w:before="240"/>
              <w:contextualSpacing/>
              <w:jc w:val="both"/>
              <w:rPr>
                <w:rFonts w:ascii="Verdana" w:hAnsi="Verdana"/>
                <w:sz w:val="20"/>
                <w:szCs w:val="20"/>
                <w:lang w:val="en-GB"/>
              </w:rPr>
            </w:pPr>
          </w:p>
        </w:tc>
      </w:tr>
      <w:tr w:rsidR="0043168A" w:rsidRPr="00415BF7" w14:paraId="21CD2E63" w14:textId="77777777" w:rsidTr="0043168A">
        <w:trPr>
          <w:trHeight w:val="454"/>
        </w:trPr>
        <w:tc>
          <w:tcPr>
            <w:tcW w:w="4717" w:type="dxa"/>
            <w:tcBorders>
              <w:top w:val="single" w:sz="4" w:space="0" w:color="000000"/>
              <w:left w:val="single" w:sz="4" w:space="0" w:color="000000"/>
              <w:bottom w:val="single" w:sz="4" w:space="0" w:color="000000"/>
            </w:tcBorders>
            <w:shd w:val="clear" w:color="auto" w:fill="FFFFFF"/>
            <w:vAlign w:val="center"/>
          </w:tcPr>
          <w:p w14:paraId="562D063E" w14:textId="77777777" w:rsidR="0043168A" w:rsidRPr="00415BF7" w:rsidRDefault="0043168A" w:rsidP="00415BF7">
            <w:pPr>
              <w:spacing w:before="240"/>
              <w:contextualSpacing/>
              <w:rPr>
                <w:rFonts w:ascii="Verdana" w:hAnsi="Verdana"/>
                <w:sz w:val="20"/>
                <w:szCs w:val="20"/>
                <w:lang w:val="en-GB"/>
              </w:rPr>
            </w:pPr>
            <w:r w:rsidRPr="00415BF7">
              <w:rPr>
                <w:rFonts w:ascii="Verdana" w:hAnsi="Verdana"/>
                <w:sz w:val="20"/>
                <w:szCs w:val="20"/>
                <w:lang w:val="en-GB"/>
              </w:rPr>
              <w:t>Does the law foresee training for election authorities and election officials on non-discrimination on the grounds of disability, accessibility and reasonable accommodation?</w:t>
            </w:r>
          </w:p>
        </w:tc>
        <w:tc>
          <w:tcPr>
            <w:tcW w:w="86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92215" w14:textId="44920EFF" w:rsidR="0043168A" w:rsidRPr="00415BF7" w:rsidRDefault="0043168A" w:rsidP="00BC6AF3">
            <w:pPr>
              <w:pStyle w:val="CommentText"/>
              <w:rPr>
                <w:rFonts w:ascii="Verdana" w:hAnsi="Verdana"/>
              </w:rPr>
            </w:pPr>
            <w:r>
              <w:rPr>
                <w:rFonts w:ascii="Verdana" w:hAnsi="Verdana"/>
              </w:rPr>
              <w:t>No</w:t>
            </w:r>
            <w:r w:rsidRPr="00415BF7">
              <w:rPr>
                <w:rFonts w:ascii="Verdana" w:hAnsi="Verdana"/>
              </w:rPr>
              <w:t xml:space="preserve"> requirement relating to the training of election authorities</w:t>
            </w:r>
            <w:r>
              <w:rPr>
                <w:rFonts w:ascii="Verdana" w:hAnsi="Verdana"/>
              </w:rPr>
              <w:t xml:space="preserve"> could be identified </w:t>
            </w:r>
            <w:r w:rsidRPr="00415BF7">
              <w:rPr>
                <w:rFonts w:ascii="Verdana" w:hAnsi="Verdana"/>
              </w:rPr>
              <w:t xml:space="preserve">after an analysis of the relevant </w:t>
            </w:r>
            <w:r>
              <w:rPr>
                <w:rFonts w:ascii="Verdana" w:hAnsi="Verdana"/>
              </w:rPr>
              <w:t>l</w:t>
            </w:r>
            <w:r w:rsidRPr="00415BF7">
              <w:rPr>
                <w:rFonts w:ascii="Verdana" w:hAnsi="Verdana"/>
              </w:rPr>
              <w:t>aws [</w:t>
            </w:r>
            <w:r w:rsidRPr="00415BF7">
              <w:rPr>
                <w:rFonts w:ascii="Verdana" w:hAnsi="Verdana"/>
                <w:lang w:val="en-GB"/>
              </w:rPr>
              <w:t>General Elections Act</w:t>
            </w:r>
            <w:r w:rsidRPr="00415BF7">
              <w:rPr>
                <w:rFonts w:ascii="Verdana" w:hAnsi="Verdana"/>
              </w:rPr>
              <w:t xml:space="preserve">, Local Councils Act, European Parliament Elections Act, and </w:t>
            </w:r>
            <w:r w:rsidRPr="00415BF7">
              <w:rPr>
                <w:rFonts w:ascii="Verdana" w:hAnsi="Verdana"/>
                <w:lang w:val="en-GB"/>
              </w:rPr>
              <w:t>Equal Opportunities (Persons with Disabilities) Act]</w:t>
            </w:r>
            <w:r>
              <w:rPr>
                <w:rFonts w:ascii="Verdana" w:hAnsi="Verdana"/>
              </w:rPr>
              <w:t xml:space="preserve"> and consultation </w:t>
            </w:r>
            <w:r w:rsidRPr="00415BF7">
              <w:rPr>
                <w:rFonts w:ascii="Verdana" w:hAnsi="Verdana"/>
              </w:rPr>
              <w:t>with KNPD, the Electoral Commission, the Local Councils’ Association, the Department of Local Government, Equal Partners Foundation, and, the Malta Federation of Organizations for Persons with Disability</w:t>
            </w:r>
            <w:r>
              <w:rPr>
                <w:rFonts w:ascii="Verdana" w:hAnsi="Verdana"/>
              </w:rPr>
              <w:t xml:space="preserve">. </w:t>
            </w:r>
            <w:r w:rsidRPr="00415BF7">
              <w:rPr>
                <w:rFonts w:ascii="Verdana" w:hAnsi="Verdana"/>
              </w:rPr>
              <w:t xml:space="preserve"> </w:t>
            </w:r>
          </w:p>
        </w:tc>
      </w:tr>
      <w:tr w:rsidR="0043168A" w:rsidRPr="00415BF7" w14:paraId="48F925AD" w14:textId="77777777" w:rsidTr="0043168A">
        <w:trPr>
          <w:trHeight w:val="454"/>
        </w:trPr>
        <w:tc>
          <w:tcPr>
            <w:tcW w:w="4717" w:type="dxa"/>
            <w:tcBorders>
              <w:top w:val="single" w:sz="4" w:space="0" w:color="000000"/>
              <w:left w:val="single" w:sz="4" w:space="0" w:color="000000"/>
              <w:bottom w:val="single" w:sz="4" w:space="0" w:color="000000"/>
            </w:tcBorders>
            <w:shd w:val="clear" w:color="auto" w:fill="FFFFFF"/>
            <w:vAlign w:val="center"/>
          </w:tcPr>
          <w:p w14:paraId="5DBD2337" w14:textId="77777777" w:rsidR="0043168A" w:rsidRPr="00415BF7" w:rsidRDefault="0043168A" w:rsidP="00415BF7">
            <w:pPr>
              <w:spacing w:before="240"/>
              <w:contextualSpacing/>
              <w:rPr>
                <w:rFonts w:ascii="Verdana" w:hAnsi="Verdana"/>
                <w:sz w:val="20"/>
                <w:szCs w:val="20"/>
                <w:lang w:val="en-GB"/>
              </w:rPr>
            </w:pPr>
            <w:r w:rsidRPr="00415BF7">
              <w:rPr>
                <w:rFonts w:ascii="Verdana" w:hAnsi="Verdana"/>
                <w:sz w:val="20"/>
                <w:szCs w:val="20"/>
                <w:lang w:val="en-GB"/>
              </w:rPr>
              <w:t xml:space="preserve">Are all persons with disabilities, including those who have been deprived of their legal capacity, able to access redress and complaint mechanisms in cases where they have not been able to exercise the right to </w:t>
            </w:r>
            <w:r w:rsidRPr="00415BF7">
              <w:rPr>
                <w:rFonts w:ascii="Verdana" w:hAnsi="Verdana"/>
                <w:sz w:val="20"/>
                <w:szCs w:val="20"/>
                <w:lang w:val="en-GB"/>
              </w:rPr>
              <w:lastRenderedPageBreak/>
              <w:t>vote?</w:t>
            </w:r>
          </w:p>
        </w:tc>
        <w:tc>
          <w:tcPr>
            <w:tcW w:w="86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81478" w14:textId="77777777" w:rsidR="0043168A" w:rsidRDefault="0043168A" w:rsidP="00415BF7">
            <w:pPr>
              <w:spacing w:before="240" w:after="0" w:line="240" w:lineRule="auto"/>
              <w:contextualSpacing/>
              <w:jc w:val="both"/>
              <w:rPr>
                <w:rFonts w:ascii="Verdana" w:hAnsi="Verdana"/>
                <w:sz w:val="20"/>
                <w:szCs w:val="20"/>
                <w:lang w:val="en-GB"/>
              </w:rPr>
            </w:pPr>
            <w:r w:rsidRPr="00415BF7">
              <w:rPr>
                <w:rFonts w:ascii="Verdana" w:hAnsi="Verdana"/>
                <w:sz w:val="20"/>
                <w:szCs w:val="20"/>
                <w:lang w:val="en-GB"/>
              </w:rPr>
              <w:lastRenderedPageBreak/>
              <w:t xml:space="preserve">The General Elections Act, Chapter 354 of the laws of Malta, Article 27 establishes that the Electoral commission may not refuse an application by a person to be registered as a voter, or cancel the registration of a voter or expunge his name from the electoral register on grounds of interdiction or incapacitation for any mental infirmity, or for being of unsound mind, before a decision by the Medical </w:t>
            </w:r>
            <w:r w:rsidRPr="00415BF7">
              <w:rPr>
                <w:rFonts w:ascii="Verdana" w:hAnsi="Verdana"/>
                <w:sz w:val="20"/>
                <w:szCs w:val="20"/>
                <w:lang w:val="en-GB"/>
              </w:rPr>
              <w:lastRenderedPageBreak/>
              <w:t>Board is obtained (according to the law) or the person is interdicted for mental incapacity by a competent court.  Once the decision is made such decision is deemed to be final and binding on the Commission and the voter.</w:t>
            </w:r>
          </w:p>
          <w:p w14:paraId="127C1DE7" w14:textId="77777777" w:rsidR="0043168A" w:rsidRPr="00415BF7" w:rsidRDefault="0043168A" w:rsidP="00415BF7">
            <w:pPr>
              <w:spacing w:before="240" w:after="0" w:line="240" w:lineRule="auto"/>
              <w:contextualSpacing/>
              <w:jc w:val="both"/>
              <w:rPr>
                <w:rFonts w:ascii="Verdana" w:hAnsi="Verdana"/>
                <w:sz w:val="20"/>
                <w:szCs w:val="20"/>
                <w:lang w:val="en-GB"/>
              </w:rPr>
            </w:pPr>
          </w:p>
          <w:p w14:paraId="1146110B" w14:textId="77777777" w:rsidR="0043168A" w:rsidRPr="00415BF7" w:rsidRDefault="0043168A" w:rsidP="00415BF7">
            <w:pPr>
              <w:spacing w:before="240" w:after="0" w:line="240" w:lineRule="auto"/>
              <w:contextualSpacing/>
              <w:jc w:val="both"/>
              <w:rPr>
                <w:rFonts w:ascii="Verdana" w:hAnsi="Verdana"/>
                <w:sz w:val="20"/>
                <w:szCs w:val="20"/>
                <w:lang w:val="en-GB"/>
              </w:rPr>
            </w:pPr>
            <w:r w:rsidRPr="00415BF7">
              <w:rPr>
                <w:rFonts w:ascii="Verdana" w:hAnsi="Verdana"/>
                <w:sz w:val="20"/>
                <w:szCs w:val="20"/>
                <w:lang w:val="en-GB"/>
              </w:rPr>
              <w:t xml:space="preserve">The law further establishes that no appeal shall lie from the decision of the medical board, saving the provision relating to the </w:t>
            </w:r>
            <w:r w:rsidRPr="00AB5982">
              <w:rPr>
                <w:rFonts w:ascii="Verdana" w:hAnsi="Verdana"/>
                <w:b/>
                <w:sz w:val="20"/>
                <w:szCs w:val="20"/>
                <w:lang w:val="en-GB"/>
              </w:rPr>
              <w:t>judicial review</w:t>
            </w:r>
            <w:r w:rsidRPr="00415BF7">
              <w:rPr>
                <w:rFonts w:ascii="Verdana" w:hAnsi="Verdana"/>
                <w:sz w:val="20"/>
                <w:szCs w:val="20"/>
                <w:lang w:val="en-GB"/>
              </w:rPr>
              <w:t xml:space="preserve"> of administrative acts.</w:t>
            </w:r>
          </w:p>
          <w:p w14:paraId="48EC0956" w14:textId="1BB87CA6" w:rsidR="0043168A" w:rsidRDefault="0043168A" w:rsidP="00415BF7">
            <w:pPr>
              <w:spacing w:before="240" w:after="0" w:line="240" w:lineRule="auto"/>
              <w:contextualSpacing/>
              <w:jc w:val="both"/>
              <w:rPr>
                <w:rFonts w:ascii="Verdana" w:hAnsi="Verdana"/>
                <w:sz w:val="20"/>
                <w:szCs w:val="20"/>
                <w:lang w:val="en-GB"/>
              </w:rPr>
            </w:pPr>
            <w:r w:rsidRPr="00415BF7">
              <w:rPr>
                <w:rFonts w:ascii="Verdana" w:hAnsi="Verdana"/>
                <w:sz w:val="20"/>
                <w:szCs w:val="20"/>
                <w:lang w:val="en-GB"/>
              </w:rPr>
              <w:t xml:space="preserve">In addition, Article 38 of the General Elections Act lays down that any person whose registration as a voter is cancelled from the Electoral Register has the right of </w:t>
            </w:r>
            <w:r w:rsidRPr="00AB5982">
              <w:rPr>
                <w:rFonts w:ascii="Verdana" w:hAnsi="Verdana"/>
                <w:b/>
                <w:sz w:val="20"/>
                <w:szCs w:val="20"/>
                <w:lang w:val="en-GB"/>
              </w:rPr>
              <w:t>appeal to before the Court of Magistrates.</w:t>
            </w:r>
          </w:p>
          <w:p w14:paraId="4808977B" w14:textId="0F92B85C" w:rsidR="0043168A" w:rsidRPr="00415BF7" w:rsidRDefault="0043168A" w:rsidP="00415BF7">
            <w:pPr>
              <w:spacing w:before="240" w:after="0" w:line="240" w:lineRule="auto"/>
              <w:contextualSpacing/>
              <w:jc w:val="both"/>
              <w:rPr>
                <w:rFonts w:ascii="Verdana" w:hAnsi="Verdana"/>
                <w:sz w:val="20"/>
                <w:szCs w:val="20"/>
                <w:lang w:val="en-GB"/>
              </w:rPr>
            </w:pPr>
          </w:p>
          <w:p w14:paraId="29845C0F" w14:textId="7FF87661" w:rsidR="0043168A" w:rsidRPr="00415BF7" w:rsidRDefault="0043168A" w:rsidP="00415BF7">
            <w:pPr>
              <w:spacing w:before="240" w:after="0" w:line="240" w:lineRule="auto"/>
              <w:contextualSpacing/>
              <w:jc w:val="both"/>
              <w:rPr>
                <w:rFonts w:ascii="Verdana" w:hAnsi="Verdana"/>
                <w:sz w:val="20"/>
                <w:szCs w:val="20"/>
                <w:lang w:val="en-GB"/>
              </w:rPr>
            </w:pPr>
            <w:r w:rsidRPr="00415BF7">
              <w:rPr>
                <w:rFonts w:ascii="Verdana" w:hAnsi="Verdana"/>
                <w:sz w:val="20"/>
                <w:szCs w:val="20"/>
                <w:lang w:val="en-GB"/>
              </w:rPr>
              <w:t xml:space="preserve">In addition, the Equal Opportunities (Persons with Disability) Act, Part VI, allows for a person with a disability to file a </w:t>
            </w:r>
            <w:r w:rsidRPr="00AB5982">
              <w:rPr>
                <w:rFonts w:ascii="Verdana" w:hAnsi="Verdana"/>
                <w:b/>
                <w:sz w:val="20"/>
                <w:szCs w:val="20"/>
                <w:lang w:val="en-GB"/>
              </w:rPr>
              <w:t xml:space="preserve">complaint with </w:t>
            </w:r>
            <w:r w:rsidRPr="00AB5982">
              <w:rPr>
                <w:rFonts w:ascii="Verdana" w:hAnsi="Verdana"/>
                <w:b/>
                <w:sz w:val="20"/>
                <w:szCs w:val="20"/>
              </w:rPr>
              <w:t>KNPD</w:t>
            </w:r>
            <w:r w:rsidRPr="00AB5982">
              <w:rPr>
                <w:rFonts w:ascii="Verdana" w:hAnsi="Verdana"/>
                <w:b/>
                <w:sz w:val="20"/>
                <w:szCs w:val="20"/>
                <w:lang w:val="en-GB"/>
              </w:rPr>
              <w:t xml:space="preserve"> </w:t>
            </w:r>
            <w:r>
              <w:rPr>
                <w:rFonts w:ascii="Verdana" w:hAnsi="Verdana"/>
                <w:b/>
                <w:sz w:val="20"/>
                <w:szCs w:val="20"/>
                <w:lang w:val="en-GB"/>
              </w:rPr>
              <w:t>(</w:t>
            </w:r>
            <w:r w:rsidRPr="00AB5982">
              <w:rPr>
                <w:rFonts w:ascii="Verdana" w:hAnsi="Verdana"/>
                <w:sz w:val="20"/>
                <w:szCs w:val="20"/>
                <w:lang w:val="en-GB"/>
              </w:rPr>
              <w:t>National Commission for Persons with a Disability</w:t>
            </w:r>
            <w:r w:rsidRPr="00AB5982">
              <w:rPr>
                <w:rFonts w:ascii="Verdana" w:hAnsi="Verdana"/>
                <w:sz w:val="20"/>
                <w:szCs w:val="20"/>
              </w:rPr>
              <w:t>)</w:t>
            </w:r>
            <w:r w:rsidRPr="00415BF7">
              <w:rPr>
                <w:rFonts w:ascii="Verdana" w:hAnsi="Verdana"/>
                <w:sz w:val="20"/>
                <w:szCs w:val="20"/>
                <w:lang w:val="en-GB"/>
              </w:rPr>
              <w:t>, on the basis that an act is contrary to the rights protected by the same Act.</w:t>
            </w:r>
          </w:p>
          <w:p w14:paraId="55CC81FE" w14:textId="77777777" w:rsidR="0043168A" w:rsidRPr="00415BF7" w:rsidRDefault="0043168A" w:rsidP="00415BF7">
            <w:pPr>
              <w:pStyle w:val="CommentText"/>
              <w:rPr>
                <w:rFonts w:ascii="Verdana" w:hAnsi="Verdana"/>
              </w:rPr>
            </w:pPr>
          </w:p>
          <w:p w14:paraId="21A3BF3F" w14:textId="5834C255" w:rsidR="0043168A" w:rsidRPr="00415BF7" w:rsidRDefault="0043168A" w:rsidP="00415BF7">
            <w:pPr>
              <w:pStyle w:val="CommentText"/>
              <w:rPr>
                <w:rFonts w:ascii="Verdana" w:hAnsi="Verdana"/>
              </w:rPr>
            </w:pPr>
            <w:r>
              <w:rPr>
                <w:rFonts w:ascii="Verdana" w:hAnsi="Verdana"/>
              </w:rPr>
              <w:t>T</w:t>
            </w:r>
            <w:r w:rsidRPr="00415BF7">
              <w:rPr>
                <w:rFonts w:ascii="Verdana" w:hAnsi="Verdana"/>
              </w:rPr>
              <w:t>he procedures in various scenarios</w:t>
            </w:r>
            <w:r>
              <w:rPr>
                <w:rFonts w:ascii="Verdana" w:hAnsi="Verdana"/>
              </w:rPr>
              <w:t xml:space="preserve"> consequently are</w:t>
            </w:r>
            <w:r w:rsidRPr="00415BF7">
              <w:rPr>
                <w:rFonts w:ascii="Verdana" w:hAnsi="Verdana"/>
              </w:rPr>
              <w:t>:</w:t>
            </w:r>
          </w:p>
          <w:p w14:paraId="21ECA2CA" w14:textId="75465918" w:rsidR="0043168A" w:rsidRPr="00415BF7" w:rsidRDefault="0043168A" w:rsidP="00547D06">
            <w:pPr>
              <w:pStyle w:val="CommentText"/>
              <w:numPr>
                <w:ilvl w:val="0"/>
                <w:numId w:val="20"/>
              </w:numPr>
              <w:rPr>
                <w:rFonts w:ascii="Verdana" w:hAnsi="Verdana"/>
              </w:rPr>
            </w:pPr>
            <w:r w:rsidRPr="00415BF7">
              <w:rPr>
                <w:rFonts w:ascii="Verdana" w:hAnsi="Verdana"/>
              </w:rPr>
              <w:t>Procedure when the Medical Board decides on incapacitation –judicial review ;</w:t>
            </w:r>
          </w:p>
          <w:p w14:paraId="0E2DDD21" w14:textId="77777777" w:rsidR="0043168A" w:rsidRPr="00415BF7" w:rsidRDefault="0043168A" w:rsidP="00547D06">
            <w:pPr>
              <w:pStyle w:val="CommentText"/>
              <w:numPr>
                <w:ilvl w:val="0"/>
                <w:numId w:val="20"/>
              </w:numPr>
              <w:rPr>
                <w:rFonts w:ascii="Verdana" w:hAnsi="Verdana"/>
              </w:rPr>
            </w:pPr>
            <w:r w:rsidRPr="00415BF7">
              <w:rPr>
                <w:rFonts w:ascii="Verdana" w:hAnsi="Verdana"/>
              </w:rPr>
              <w:t xml:space="preserve">Procedure when the Electoral Commission strikes a person off the register based on the Medical Board decision – appeal to court of magistrates. </w:t>
            </w:r>
          </w:p>
          <w:p w14:paraId="6E4E32A0" w14:textId="615346CB" w:rsidR="0043168A" w:rsidRPr="00AB5982" w:rsidRDefault="0043168A" w:rsidP="00AB5982">
            <w:pPr>
              <w:pStyle w:val="CommentText"/>
              <w:numPr>
                <w:ilvl w:val="0"/>
                <w:numId w:val="20"/>
              </w:numPr>
              <w:spacing w:before="240" w:after="0"/>
              <w:contextualSpacing/>
              <w:jc w:val="both"/>
              <w:rPr>
                <w:rFonts w:ascii="Verdana" w:hAnsi="Verdana"/>
                <w:lang w:val="en-GB"/>
              </w:rPr>
            </w:pPr>
            <w:r w:rsidRPr="00AB5982">
              <w:rPr>
                <w:rFonts w:ascii="Verdana" w:hAnsi="Verdana"/>
              </w:rPr>
              <w:t xml:space="preserve">Procedure when an act discriminates against a person with disability, </w:t>
            </w:r>
            <w:r>
              <w:rPr>
                <w:rFonts w:ascii="Verdana" w:hAnsi="Verdana"/>
              </w:rPr>
              <w:t xml:space="preserve">i.e. </w:t>
            </w:r>
            <w:r w:rsidRPr="00AB5982">
              <w:rPr>
                <w:rFonts w:ascii="Verdana" w:hAnsi="Verdana"/>
              </w:rPr>
              <w:t>lack of access</w:t>
            </w:r>
            <w:r>
              <w:rPr>
                <w:rFonts w:ascii="Verdana" w:hAnsi="Verdana"/>
              </w:rPr>
              <w:t xml:space="preserve">ibility </w:t>
            </w:r>
            <w:r w:rsidRPr="00AB5982">
              <w:rPr>
                <w:rFonts w:ascii="Verdana" w:hAnsi="Verdana"/>
              </w:rPr>
              <w:t>– complaint with KNPD.</w:t>
            </w:r>
          </w:p>
        </w:tc>
      </w:tr>
    </w:tbl>
    <w:p w14:paraId="4611804A" w14:textId="6F047036" w:rsidR="00E53C09" w:rsidRPr="00415BF7" w:rsidRDefault="00E53C09" w:rsidP="006B7FC1">
      <w:pPr>
        <w:spacing w:line="240" w:lineRule="auto"/>
        <w:contextualSpacing/>
        <w:jc w:val="both"/>
        <w:rPr>
          <w:rFonts w:ascii="Verdana" w:hAnsi="Verdana"/>
          <w:sz w:val="20"/>
          <w:szCs w:val="20"/>
          <w:lang w:val="en-GB"/>
        </w:rPr>
      </w:pPr>
      <w:r w:rsidRPr="00415BF7">
        <w:rPr>
          <w:rFonts w:ascii="Verdana" w:hAnsi="Verdana"/>
          <w:sz w:val="20"/>
          <w:szCs w:val="20"/>
          <w:lang w:val="en-GB"/>
        </w:rPr>
        <w:lastRenderedPageBreak/>
        <w:br w:type="textWrapping" w:clear="all"/>
      </w:r>
    </w:p>
    <w:p w14:paraId="4611804C" w14:textId="77777777" w:rsidR="00E53C09" w:rsidRDefault="00E53C09" w:rsidP="00912C69">
      <w:pPr>
        <w:numPr>
          <w:ilvl w:val="0"/>
          <w:numId w:val="6"/>
        </w:numPr>
        <w:spacing w:after="0" w:line="240" w:lineRule="auto"/>
        <w:ind w:left="567" w:hanging="567"/>
        <w:contextualSpacing/>
        <w:jc w:val="both"/>
        <w:rPr>
          <w:rFonts w:ascii="Verdana" w:hAnsi="Verdana"/>
          <w:b/>
          <w:sz w:val="24"/>
          <w:szCs w:val="20"/>
          <w:lang w:val="en-GB"/>
        </w:rPr>
      </w:pPr>
      <w:r w:rsidRPr="00D30860">
        <w:rPr>
          <w:rFonts w:ascii="Verdana" w:hAnsi="Verdana"/>
          <w:b/>
          <w:sz w:val="24"/>
          <w:szCs w:val="20"/>
          <w:lang w:val="en-GB"/>
        </w:rPr>
        <w:t>PROCESS INDICATORS</w:t>
      </w:r>
    </w:p>
    <w:tbl>
      <w:tblPr>
        <w:tblW w:w="13438" w:type="dxa"/>
        <w:tblInd w:w="-70" w:type="dxa"/>
        <w:tblLayout w:type="fixed"/>
        <w:tblLook w:val="0000" w:firstRow="0" w:lastRow="0" w:firstColumn="0" w:lastColumn="0" w:noHBand="0" w:noVBand="0"/>
      </w:tblPr>
      <w:tblGrid>
        <w:gridCol w:w="4791"/>
        <w:gridCol w:w="8647"/>
      </w:tblGrid>
      <w:tr w:rsidR="0043168A" w:rsidRPr="00415BF7" w14:paraId="5D86931F" w14:textId="77777777" w:rsidTr="0043168A">
        <w:trPr>
          <w:trHeight w:val="454"/>
        </w:trPr>
        <w:tc>
          <w:tcPr>
            <w:tcW w:w="4791" w:type="dxa"/>
            <w:tcBorders>
              <w:top w:val="single" w:sz="4" w:space="0" w:color="000000"/>
              <w:left w:val="single" w:sz="4" w:space="0" w:color="000000"/>
              <w:bottom w:val="single" w:sz="4" w:space="0" w:color="000000"/>
            </w:tcBorders>
            <w:shd w:val="clear" w:color="auto" w:fill="C6D9F1"/>
            <w:vAlign w:val="center"/>
          </w:tcPr>
          <w:p w14:paraId="504EB218" w14:textId="77777777" w:rsidR="0043168A" w:rsidRPr="00415BF7" w:rsidRDefault="0043168A" w:rsidP="00415BF7">
            <w:pPr>
              <w:spacing w:before="240" w:after="0" w:line="100" w:lineRule="atLeast"/>
              <w:rPr>
                <w:rFonts w:ascii="Verdana" w:hAnsi="Verdana"/>
                <w:b/>
                <w:sz w:val="20"/>
                <w:szCs w:val="20"/>
                <w:lang w:val="en-GB"/>
              </w:rPr>
            </w:pPr>
            <w:r w:rsidRPr="00415BF7">
              <w:rPr>
                <w:rFonts w:ascii="Verdana" w:hAnsi="Verdana"/>
                <w:b/>
                <w:sz w:val="20"/>
                <w:szCs w:val="20"/>
                <w:lang w:val="en-GB"/>
              </w:rPr>
              <w:t>Process indicators</w:t>
            </w:r>
          </w:p>
        </w:tc>
        <w:tc>
          <w:tcPr>
            <w:tcW w:w="864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F4B0EE0" w14:textId="77777777" w:rsidR="0043168A" w:rsidRPr="00415BF7" w:rsidRDefault="0043168A" w:rsidP="00415BF7">
            <w:pPr>
              <w:spacing w:before="240" w:after="0" w:line="100" w:lineRule="atLeast"/>
              <w:rPr>
                <w:rFonts w:ascii="Verdana" w:hAnsi="Verdana"/>
                <w:sz w:val="20"/>
                <w:szCs w:val="20"/>
                <w:lang w:val="en-GB"/>
              </w:rPr>
            </w:pPr>
            <w:r w:rsidRPr="00415BF7">
              <w:rPr>
                <w:rFonts w:ascii="Verdana" w:hAnsi="Verdana"/>
                <w:b/>
                <w:sz w:val="20"/>
                <w:szCs w:val="20"/>
                <w:lang w:val="en-GB"/>
              </w:rPr>
              <w:t>Source and supporting information</w:t>
            </w:r>
          </w:p>
        </w:tc>
      </w:tr>
      <w:tr w:rsidR="0043168A" w:rsidRPr="00415BF7" w14:paraId="26547B93" w14:textId="77777777" w:rsidTr="0043168A">
        <w:trPr>
          <w:trHeight w:val="454"/>
        </w:trPr>
        <w:tc>
          <w:tcPr>
            <w:tcW w:w="4791" w:type="dxa"/>
            <w:tcBorders>
              <w:top w:val="single" w:sz="4" w:space="0" w:color="000000"/>
              <w:left w:val="single" w:sz="4" w:space="0" w:color="000000"/>
              <w:bottom w:val="single" w:sz="4" w:space="0" w:color="000000"/>
            </w:tcBorders>
            <w:shd w:val="clear" w:color="auto" w:fill="FFFFFF"/>
            <w:vAlign w:val="center"/>
          </w:tcPr>
          <w:p w14:paraId="67FC4AC2" w14:textId="77777777" w:rsidR="0043168A" w:rsidRPr="00415BF7" w:rsidRDefault="0043168A" w:rsidP="00415BF7">
            <w:pPr>
              <w:spacing w:before="240" w:after="0" w:line="100" w:lineRule="atLeast"/>
              <w:rPr>
                <w:rFonts w:ascii="Verdana" w:hAnsi="Verdana"/>
                <w:sz w:val="20"/>
                <w:szCs w:val="20"/>
                <w:lang w:val="en-GB"/>
              </w:rPr>
            </w:pPr>
            <w:r w:rsidRPr="00415BF7">
              <w:rPr>
                <w:rFonts w:ascii="Verdana" w:hAnsi="Verdana"/>
                <w:sz w:val="20"/>
                <w:szCs w:val="20"/>
                <w:lang w:val="en-GB"/>
              </w:rPr>
              <w:t xml:space="preserve">Are there mechanisms in place to ensure that disabled people’s organisations (DPOs) </w:t>
            </w:r>
            <w:r w:rsidRPr="00415BF7">
              <w:rPr>
                <w:rFonts w:ascii="Verdana" w:hAnsi="Verdana"/>
                <w:sz w:val="20"/>
                <w:szCs w:val="20"/>
                <w:lang w:val="en-GB"/>
              </w:rPr>
              <w:lastRenderedPageBreak/>
              <w:t>are consulted and involved in the development of laws and policies in electoral matters? Please give details of the mechanisms through which DPOs are involved.</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042EC" w14:textId="5F647E6F" w:rsidR="0043168A" w:rsidRDefault="0043168A" w:rsidP="006158E5">
            <w:pPr>
              <w:spacing w:before="240" w:after="0" w:line="240" w:lineRule="auto"/>
              <w:contextualSpacing/>
              <w:rPr>
                <w:rFonts w:ascii="Verdana" w:hAnsi="Verdana"/>
                <w:sz w:val="20"/>
                <w:szCs w:val="20"/>
                <w:lang w:val="en-GB"/>
              </w:rPr>
            </w:pPr>
            <w:r w:rsidRPr="00415BF7">
              <w:rPr>
                <w:rFonts w:ascii="Verdana" w:hAnsi="Verdana"/>
                <w:sz w:val="20"/>
                <w:szCs w:val="20"/>
                <w:lang w:val="en-GB"/>
              </w:rPr>
              <w:lastRenderedPageBreak/>
              <w:t>The Equal Opportunities (Persons with Disability) Act</w:t>
            </w:r>
            <w:r w:rsidRPr="00415BF7">
              <w:rPr>
                <w:rStyle w:val="FootnoteReference"/>
                <w:rFonts w:ascii="Verdana" w:hAnsi="Verdana"/>
                <w:sz w:val="20"/>
                <w:szCs w:val="20"/>
                <w:lang w:val="en-GB"/>
              </w:rPr>
              <w:footnoteReference w:id="30"/>
            </w:r>
            <w:r w:rsidRPr="00415BF7">
              <w:rPr>
                <w:rFonts w:ascii="Verdana" w:hAnsi="Verdana"/>
                <w:sz w:val="20"/>
                <w:szCs w:val="20"/>
                <w:lang w:val="en-GB"/>
              </w:rPr>
              <w:t xml:space="preserve"> </w:t>
            </w:r>
            <w:r>
              <w:rPr>
                <w:rFonts w:ascii="Verdana" w:hAnsi="Verdana"/>
                <w:sz w:val="20"/>
                <w:szCs w:val="20"/>
                <w:lang w:val="en-GB"/>
              </w:rPr>
              <w:t xml:space="preserve">in </w:t>
            </w:r>
            <w:r w:rsidRPr="00415BF7">
              <w:rPr>
                <w:rFonts w:ascii="Verdana" w:hAnsi="Verdana"/>
                <w:sz w:val="20"/>
                <w:szCs w:val="20"/>
                <w:lang w:val="en-GB"/>
              </w:rPr>
              <w:t>Article 21provides for the establishment of the National Commission Persons with</w:t>
            </w:r>
            <w:r>
              <w:rPr>
                <w:rFonts w:ascii="Verdana" w:hAnsi="Verdana"/>
                <w:sz w:val="20"/>
                <w:szCs w:val="20"/>
                <w:lang w:val="en-GB"/>
              </w:rPr>
              <w:t xml:space="preserve"> </w:t>
            </w:r>
            <w:r w:rsidRPr="00415BF7">
              <w:rPr>
                <w:rFonts w:ascii="Verdana" w:hAnsi="Verdana"/>
                <w:sz w:val="20"/>
                <w:szCs w:val="20"/>
                <w:lang w:val="en-GB"/>
              </w:rPr>
              <w:t xml:space="preserve">Disability (KNPD) , composed of 7 people deemed to represent the Ministries responsible for Social </w:t>
            </w:r>
            <w:r w:rsidRPr="00415BF7">
              <w:rPr>
                <w:rFonts w:ascii="Verdana" w:hAnsi="Verdana"/>
                <w:sz w:val="20"/>
                <w:szCs w:val="20"/>
                <w:lang w:val="en-GB"/>
              </w:rPr>
              <w:lastRenderedPageBreak/>
              <w:t>Policy, Labour, Health, Education, Housing and Economic Planning and another 7 appointed from amongst persons best represent voluntary organisations working in the field of disability issues.</w:t>
            </w:r>
          </w:p>
          <w:p w14:paraId="5364FA5A" w14:textId="595437DE" w:rsidR="0043168A" w:rsidRPr="00415BF7" w:rsidRDefault="0043168A" w:rsidP="006158E5">
            <w:pPr>
              <w:spacing w:before="240" w:after="0" w:line="240" w:lineRule="auto"/>
              <w:contextualSpacing/>
              <w:rPr>
                <w:rFonts w:ascii="Verdana" w:hAnsi="Verdana"/>
                <w:sz w:val="20"/>
                <w:szCs w:val="20"/>
                <w:lang w:val="en-GB"/>
              </w:rPr>
            </w:pPr>
            <w:r w:rsidRPr="00415BF7">
              <w:rPr>
                <w:rFonts w:ascii="Verdana" w:hAnsi="Verdana"/>
                <w:sz w:val="20"/>
                <w:szCs w:val="20"/>
                <w:lang w:val="en-GB"/>
              </w:rPr>
              <w:t xml:space="preserve">  </w:t>
            </w:r>
          </w:p>
          <w:p w14:paraId="63E52383" w14:textId="3980F159" w:rsidR="0043168A" w:rsidRPr="00415BF7" w:rsidRDefault="0043168A" w:rsidP="006158E5">
            <w:pPr>
              <w:spacing w:before="240" w:after="0" w:line="240" w:lineRule="auto"/>
              <w:contextualSpacing/>
              <w:rPr>
                <w:rFonts w:ascii="Verdana" w:hAnsi="Verdana"/>
                <w:sz w:val="20"/>
                <w:szCs w:val="20"/>
                <w:lang w:val="en-GB"/>
              </w:rPr>
            </w:pPr>
            <w:r w:rsidRPr="00415BF7">
              <w:rPr>
                <w:rFonts w:ascii="Verdana" w:hAnsi="Verdana"/>
                <w:sz w:val="20"/>
                <w:szCs w:val="20"/>
                <w:lang w:val="en-GB"/>
              </w:rPr>
              <w:t>Article 22 lays down the function of the</w:t>
            </w:r>
            <w:r>
              <w:rPr>
                <w:rFonts w:ascii="Verdana" w:hAnsi="Verdana"/>
                <w:sz w:val="20"/>
                <w:szCs w:val="20"/>
                <w:lang w:val="en-GB"/>
              </w:rPr>
              <w:t xml:space="preserve"> KNPD</w:t>
            </w:r>
            <w:r w:rsidRPr="00415BF7">
              <w:rPr>
                <w:rFonts w:ascii="Verdana" w:hAnsi="Verdana"/>
                <w:sz w:val="20"/>
                <w:szCs w:val="20"/>
                <w:lang w:val="en-GB"/>
              </w:rPr>
              <w:t xml:space="preserve"> which include the establishment of all national policies directly or indirectly related to disability issue</w:t>
            </w:r>
            <w:r>
              <w:rPr>
                <w:rFonts w:ascii="Verdana" w:hAnsi="Verdana"/>
                <w:sz w:val="20"/>
                <w:szCs w:val="20"/>
                <w:lang w:val="en-GB"/>
              </w:rPr>
              <w:t>, (that is</w:t>
            </w:r>
            <w:r w:rsidRPr="00415BF7">
              <w:rPr>
                <w:rFonts w:ascii="Verdana" w:hAnsi="Verdana"/>
                <w:sz w:val="20"/>
                <w:szCs w:val="20"/>
              </w:rPr>
              <w:t>drafting, as well as consultation</w:t>
            </w:r>
            <w:r>
              <w:rPr>
                <w:rFonts w:ascii="Verdana" w:hAnsi="Verdana"/>
                <w:sz w:val="20"/>
                <w:szCs w:val="20"/>
              </w:rPr>
              <w:t>)</w:t>
            </w:r>
            <w:r w:rsidRPr="00415BF7">
              <w:rPr>
                <w:rFonts w:ascii="Verdana" w:hAnsi="Verdana"/>
                <w:sz w:val="20"/>
                <w:szCs w:val="20"/>
                <w:lang w:val="en-GB"/>
              </w:rPr>
              <w:t xml:space="preserve">; ensuring that all government programmes are implemented in accordance with national policies for disability issues; identifying needs of persons with disabilities and proposing appropriate measures to cater to such needs; examining laws and draft laws for the purpose of ascertaining whether they are or would be inconsistent with or contrary to the objects of the law; and provide an independent mechanism to promote, protect and monitor the implementation of the United Nations Convention on the Rights of Persons with Disability and its Optional Protocol. </w:t>
            </w:r>
          </w:p>
          <w:p w14:paraId="68904A1B" w14:textId="77777777" w:rsidR="0043168A" w:rsidRPr="00415BF7" w:rsidRDefault="0043168A" w:rsidP="006158E5">
            <w:pPr>
              <w:spacing w:before="240" w:after="0" w:line="240" w:lineRule="auto"/>
              <w:contextualSpacing/>
              <w:rPr>
                <w:rFonts w:ascii="Verdana" w:hAnsi="Verdana"/>
                <w:sz w:val="20"/>
                <w:szCs w:val="20"/>
                <w:lang w:val="en-GB"/>
              </w:rPr>
            </w:pPr>
            <w:r w:rsidRPr="00415BF7">
              <w:rPr>
                <w:rFonts w:ascii="Verdana" w:hAnsi="Verdana"/>
                <w:sz w:val="20"/>
                <w:szCs w:val="20"/>
                <w:lang w:val="en-GB"/>
              </w:rPr>
              <w:t xml:space="preserve">However, one may point out that this is generally worded and not specifically in reference to laws and policies in electoral matters. </w:t>
            </w:r>
          </w:p>
          <w:p w14:paraId="0277CEC5" w14:textId="1BAFF0A7" w:rsidR="0043168A" w:rsidRPr="00415BF7" w:rsidRDefault="0043168A" w:rsidP="006158E5">
            <w:pPr>
              <w:spacing w:before="240" w:after="0" w:line="240" w:lineRule="auto"/>
              <w:contextualSpacing/>
              <w:rPr>
                <w:rFonts w:ascii="Verdana" w:hAnsi="Verdana"/>
                <w:sz w:val="20"/>
                <w:szCs w:val="20"/>
                <w:lang w:val="en-GB"/>
              </w:rPr>
            </w:pPr>
            <w:r>
              <w:rPr>
                <w:rFonts w:ascii="Verdana" w:hAnsi="Verdana"/>
                <w:sz w:val="20"/>
                <w:szCs w:val="20"/>
                <w:lang w:val="en-GB"/>
              </w:rPr>
              <w:t>There is no specific</w:t>
            </w:r>
            <w:r w:rsidRPr="00415BF7">
              <w:rPr>
                <w:rFonts w:ascii="Verdana" w:hAnsi="Verdana"/>
                <w:sz w:val="20"/>
                <w:szCs w:val="20"/>
                <w:lang w:val="en-GB"/>
              </w:rPr>
              <w:t xml:space="preserve"> </w:t>
            </w:r>
            <w:r>
              <w:rPr>
                <w:rFonts w:ascii="Verdana" w:hAnsi="Verdana"/>
                <w:sz w:val="20"/>
                <w:szCs w:val="20"/>
                <w:lang w:val="en-GB"/>
              </w:rPr>
              <w:t xml:space="preserve">mechanism of </w:t>
            </w:r>
            <w:r w:rsidRPr="00415BF7">
              <w:rPr>
                <w:rFonts w:ascii="Verdana" w:hAnsi="Verdana"/>
                <w:sz w:val="20"/>
                <w:szCs w:val="20"/>
                <w:lang w:val="en-GB"/>
              </w:rPr>
              <w:t>consultation with disabled people’s organisations (DPOs) in the development of laws an</w:t>
            </w:r>
            <w:r>
              <w:rPr>
                <w:rFonts w:ascii="Verdana" w:hAnsi="Verdana"/>
                <w:sz w:val="20"/>
                <w:szCs w:val="20"/>
                <w:lang w:val="en-GB"/>
              </w:rPr>
              <w:t xml:space="preserve">d policies in electoral matters. </w:t>
            </w:r>
          </w:p>
          <w:p w14:paraId="494410B1" w14:textId="77777777" w:rsidR="0043168A" w:rsidRPr="00415BF7" w:rsidRDefault="0043168A" w:rsidP="006158E5">
            <w:pPr>
              <w:spacing w:before="240" w:after="0" w:line="240" w:lineRule="auto"/>
              <w:contextualSpacing/>
              <w:rPr>
                <w:rFonts w:ascii="Verdana" w:hAnsi="Verdana"/>
                <w:sz w:val="20"/>
                <w:szCs w:val="20"/>
                <w:lang w:val="en-GB"/>
              </w:rPr>
            </w:pPr>
          </w:p>
          <w:p w14:paraId="0771B11D" w14:textId="77777777" w:rsidR="0043168A" w:rsidRDefault="0043168A" w:rsidP="006158E5">
            <w:pPr>
              <w:pStyle w:val="CommentText"/>
              <w:rPr>
                <w:rFonts w:ascii="Verdana" w:hAnsi="Verdana"/>
              </w:rPr>
            </w:pPr>
            <w:r w:rsidRPr="00415BF7">
              <w:rPr>
                <w:rFonts w:ascii="Verdana" w:hAnsi="Verdana"/>
              </w:rPr>
              <w:t xml:space="preserve">The KNPD informed us that discussions are currently being held between the Ministry for family and Social Solidarity (MFSS), KNPD and the electoral commission to explore the best way forward and policies regarding elections and persons with disabilities.  The discussions are not public. </w:t>
            </w:r>
          </w:p>
          <w:p w14:paraId="05A1AC1D" w14:textId="56D3C1EA" w:rsidR="0043168A" w:rsidRPr="00415BF7" w:rsidRDefault="0043168A" w:rsidP="00E079E9">
            <w:pPr>
              <w:pStyle w:val="CommentText"/>
              <w:rPr>
                <w:rFonts w:ascii="Verdana" w:hAnsi="Verdana"/>
              </w:rPr>
            </w:pPr>
            <w:r>
              <w:rPr>
                <w:rFonts w:ascii="Verdana" w:hAnsi="Verdana"/>
              </w:rPr>
              <w:t xml:space="preserve">The NFP, having reviewed the respective laws, and media reports on consultations, and consulting </w:t>
            </w:r>
            <w:r w:rsidRPr="00415BF7">
              <w:rPr>
                <w:rFonts w:ascii="Verdana" w:hAnsi="Verdana"/>
              </w:rPr>
              <w:t xml:space="preserve">KNPD, </w:t>
            </w:r>
            <w:r>
              <w:rPr>
                <w:rFonts w:ascii="Verdana" w:hAnsi="Verdana"/>
              </w:rPr>
              <w:t xml:space="preserve">the </w:t>
            </w:r>
            <w:r w:rsidRPr="00415BF7">
              <w:rPr>
                <w:rFonts w:ascii="Verdana" w:hAnsi="Verdana"/>
              </w:rPr>
              <w:t>Equal Partners Foundation, and the Malta Federation of Organizations for Persons with Disability</w:t>
            </w:r>
            <w:r>
              <w:rPr>
                <w:rFonts w:ascii="Verdana" w:hAnsi="Verdana"/>
              </w:rPr>
              <w:t xml:space="preserve">, came to the conclusion that consultations are </w:t>
            </w:r>
            <w:r w:rsidRPr="00415BF7">
              <w:rPr>
                <w:rFonts w:ascii="Verdana" w:hAnsi="Verdana"/>
              </w:rPr>
              <w:t>largely informal and ad hoc</w:t>
            </w:r>
            <w:r>
              <w:rPr>
                <w:rFonts w:ascii="Verdana" w:hAnsi="Verdana"/>
              </w:rPr>
              <w:t>.</w:t>
            </w:r>
          </w:p>
        </w:tc>
      </w:tr>
      <w:tr w:rsidR="0043168A" w:rsidRPr="00415BF7" w14:paraId="228D31D5" w14:textId="77777777" w:rsidTr="0043168A">
        <w:trPr>
          <w:trHeight w:val="454"/>
        </w:trPr>
        <w:tc>
          <w:tcPr>
            <w:tcW w:w="4791" w:type="dxa"/>
            <w:tcBorders>
              <w:top w:val="single" w:sz="4" w:space="0" w:color="000000"/>
              <w:left w:val="single" w:sz="4" w:space="0" w:color="000000"/>
              <w:bottom w:val="single" w:sz="4" w:space="0" w:color="000000"/>
            </w:tcBorders>
            <w:shd w:val="clear" w:color="auto" w:fill="FFFFFF"/>
            <w:vAlign w:val="center"/>
          </w:tcPr>
          <w:p w14:paraId="35C4D3DF" w14:textId="77777777" w:rsidR="0043168A" w:rsidRPr="00415BF7" w:rsidRDefault="0043168A" w:rsidP="00415BF7">
            <w:pPr>
              <w:rPr>
                <w:rFonts w:ascii="Verdana" w:hAnsi="Verdana"/>
                <w:sz w:val="20"/>
                <w:szCs w:val="20"/>
              </w:rPr>
            </w:pPr>
            <w:r w:rsidRPr="00415BF7">
              <w:rPr>
                <w:rFonts w:ascii="Verdana" w:hAnsi="Verdana"/>
                <w:sz w:val="20"/>
                <w:szCs w:val="20"/>
              </w:rPr>
              <w:lastRenderedPageBreak/>
              <w:t xml:space="preserve">Have national judicial redress mechanisms considered any cases related to the right to political participation of persons with </w:t>
            </w:r>
            <w:r w:rsidRPr="00415BF7">
              <w:rPr>
                <w:rFonts w:ascii="Verdana" w:hAnsi="Verdana"/>
                <w:sz w:val="20"/>
                <w:szCs w:val="20"/>
              </w:rPr>
              <w:lastRenderedPageBreak/>
              <w:t>disabilities?</w:t>
            </w:r>
          </w:p>
          <w:p w14:paraId="5B00EF39" w14:textId="77777777" w:rsidR="0043168A" w:rsidRPr="00415BF7" w:rsidRDefault="0043168A" w:rsidP="00415BF7">
            <w:pPr>
              <w:spacing w:before="240"/>
              <w:contextualSpacing/>
              <w:rPr>
                <w:rFonts w:ascii="Verdana" w:hAnsi="Verdana"/>
                <w:sz w:val="20"/>
                <w:szCs w:val="20"/>
                <w:lang w:val="en-GB"/>
              </w:rPr>
            </w:pPr>
            <w:r w:rsidRPr="00415BF7">
              <w:rPr>
                <w:rFonts w:ascii="Verdana" w:hAnsi="Verdana"/>
                <w:sz w:val="20"/>
                <w:szCs w:val="20"/>
              </w:rPr>
              <w:t>Please give details of relevant case law and any available data on the number of such cases.</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C3FFC" w14:textId="272F6791" w:rsidR="0043168A" w:rsidRDefault="0043168A" w:rsidP="00415BF7">
            <w:pPr>
              <w:spacing w:before="240" w:after="0" w:line="240" w:lineRule="auto"/>
              <w:contextualSpacing/>
              <w:rPr>
                <w:rFonts w:ascii="Verdana" w:hAnsi="Verdana"/>
                <w:sz w:val="20"/>
                <w:szCs w:val="20"/>
              </w:rPr>
            </w:pPr>
            <w:r w:rsidRPr="00415BF7">
              <w:rPr>
                <w:rFonts w:ascii="Verdana" w:hAnsi="Verdana"/>
                <w:sz w:val="20"/>
                <w:szCs w:val="20"/>
                <w:lang w:val="en-GB"/>
              </w:rPr>
              <w:lastRenderedPageBreak/>
              <w:t>Prior to the 2008 General election, the Society of the Blind</w:t>
            </w:r>
            <w:r w:rsidRPr="00415BF7">
              <w:rPr>
                <w:rStyle w:val="FootnoteReference"/>
                <w:rFonts w:ascii="Verdana" w:hAnsi="Verdana"/>
                <w:sz w:val="20"/>
                <w:szCs w:val="20"/>
                <w:lang w:val="en-GB"/>
              </w:rPr>
              <w:footnoteReference w:id="31"/>
            </w:r>
            <w:r w:rsidRPr="00415BF7">
              <w:rPr>
                <w:rFonts w:ascii="Verdana" w:hAnsi="Verdana"/>
                <w:sz w:val="20"/>
                <w:szCs w:val="20"/>
                <w:lang w:val="en-GB"/>
              </w:rPr>
              <w:t xml:space="preserve"> had opened a court case for the right to vote in secret rather than with the assistance of the assistant commissioners. A number of individuals filed the applications against the Electoral Commission and the Attorney General, claiming that the authorities failed to provide a voting system that was adequate for blind people.  The applicants </w:t>
            </w:r>
            <w:r w:rsidRPr="00415BF7">
              <w:rPr>
                <w:rFonts w:ascii="Verdana" w:hAnsi="Verdana"/>
                <w:sz w:val="20"/>
                <w:szCs w:val="20"/>
                <w:lang w:val="en-GB"/>
              </w:rPr>
              <w:lastRenderedPageBreak/>
              <w:t xml:space="preserve">described the lack of privacy when voting as humiliating and degrading and in breach of Malta's equality legislation. The Court decided against the applicants, claiming lack of jurisdiction in such cases. </w:t>
            </w:r>
            <w:r w:rsidRPr="00415BF7">
              <w:rPr>
                <w:rFonts w:ascii="Verdana" w:hAnsi="Verdana"/>
                <w:sz w:val="20"/>
                <w:szCs w:val="20"/>
              </w:rPr>
              <w:t>The judgment is not publically available.</w:t>
            </w:r>
          </w:p>
          <w:p w14:paraId="60A4F4CC" w14:textId="77777777" w:rsidR="0043168A" w:rsidRPr="00415BF7" w:rsidRDefault="0043168A" w:rsidP="00415BF7">
            <w:pPr>
              <w:spacing w:before="240" w:after="0" w:line="240" w:lineRule="auto"/>
              <w:contextualSpacing/>
              <w:rPr>
                <w:rFonts w:ascii="Verdana" w:hAnsi="Verdana"/>
                <w:sz w:val="20"/>
                <w:szCs w:val="20"/>
                <w:lang w:val="en-GB"/>
              </w:rPr>
            </w:pPr>
          </w:p>
          <w:p w14:paraId="4D7F6D47" w14:textId="093BCC34" w:rsidR="0043168A" w:rsidRPr="00415BF7" w:rsidRDefault="0043168A" w:rsidP="00415BF7">
            <w:pPr>
              <w:spacing w:before="240" w:after="0" w:line="240" w:lineRule="auto"/>
              <w:contextualSpacing/>
              <w:rPr>
                <w:rFonts w:ascii="Verdana" w:hAnsi="Verdana"/>
                <w:sz w:val="20"/>
                <w:szCs w:val="20"/>
                <w:lang w:val="en-GB"/>
              </w:rPr>
            </w:pPr>
            <w:r w:rsidRPr="00415BF7">
              <w:rPr>
                <w:rFonts w:ascii="Verdana" w:hAnsi="Verdana"/>
                <w:sz w:val="20"/>
                <w:szCs w:val="20"/>
                <w:lang w:val="en-GB"/>
              </w:rPr>
              <w:t>It seems that as a result of this case, Act XXI of 2007</w:t>
            </w:r>
            <w:r>
              <w:rPr>
                <w:rStyle w:val="FootnoteReference"/>
                <w:rFonts w:ascii="Verdana" w:hAnsi="Verdana"/>
                <w:sz w:val="20"/>
                <w:szCs w:val="20"/>
                <w:lang w:val="en-GB"/>
              </w:rPr>
              <w:footnoteReference w:id="32"/>
            </w:r>
            <w:r w:rsidRPr="00415BF7">
              <w:rPr>
                <w:rFonts w:ascii="Verdana" w:hAnsi="Verdana"/>
                <w:sz w:val="20"/>
                <w:szCs w:val="20"/>
                <w:lang w:val="en-GB"/>
              </w:rPr>
              <w:t xml:space="preserve"> that amended the General Elections Acts include</w:t>
            </w:r>
            <w:r>
              <w:rPr>
                <w:rFonts w:ascii="Verdana" w:hAnsi="Verdana"/>
                <w:sz w:val="20"/>
                <w:szCs w:val="20"/>
                <w:lang w:val="en-GB"/>
              </w:rPr>
              <w:t>s</w:t>
            </w:r>
            <w:r w:rsidRPr="00415BF7">
              <w:rPr>
                <w:rFonts w:ascii="Verdana" w:hAnsi="Verdana"/>
                <w:sz w:val="20"/>
                <w:szCs w:val="20"/>
                <w:lang w:val="en-GB"/>
              </w:rPr>
              <w:t xml:space="preserve"> the obligation o</w:t>
            </w:r>
            <w:r>
              <w:rPr>
                <w:rFonts w:ascii="Verdana" w:hAnsi="Verdana"/>
                <w:sz w:val="20"/>
                <w:szCs w:val="20"/>
                <w:lang w:val="en-GB"/>
              </w:rPr>
              <w:t>f</w:t>
            </w:r>
            <w:r w:rsidRPr="00415BF7">
              <w:rPr>
                <w:rFonts w:ascii="Verdana" w:hAnsi="Verdana"/>
                <w:sz w:val="20"/>
                <w:szCs w:val="20"/>
                <w:lang w:val="en-GB"/>
              </w:rPr>
              <w:t xml:space="preserve"> the Electoral Commission to produce templates in Braille and as well as a playback listening devices. These have enabled some, but not all, blind persons, to vote on their own. </w:t>
            </w:r>
            <w:r w:rsidRPr="00415BF7">
              <w:rPr>
                <w:rStyle w:val="FootnoteReference"/>
                <w:rFonts w:ascii="Verdana" w:hAnsi="Verdana"/>
                <w:sz w:val="20"/>
                <w:szCs w:val="20"/>
                <w:lang w:val="en-GB"/>
              </w:rPr>
              <w:footnoteReference w:id="33"/>
            </w:r>
            <w:r w:rsidRPr="00415BF7">
              <w:rPr>
                <w:rFonts w:ascii="Verdana" w:hAnsi="Verdana"/>
                <w:sz w:val="20"/>
                <w:szCs w:val="20"/>
                <w:lang w:val="en-GB"/>
              </w:rPr>
              <w:t xml:space="preserve">  </w:t>
            </w:r>
          </w:p>
          <w:p w14:paraId="2C90289E" w14:textId="53D93B97" w:rsidR="0043168A" w:rsidRDefault="0043168A" w:rsidP="00415BF7">
            <w:pPr>
              <w:spacing w:before="240" w:after="0" w:line="240" w:lineRule="auto"/>
              <w:contextualSpacing/>
              <w:rPr>
                <w:rFonts w:ascii="Verdana" w:hAnsi="Verdana"/>
                <w:sz w:val="20"/>
                <w:szCs w:val="20"/>
              </w:rPr>
            </w:pPr>
            <w:r w:rsidRPr="00415BF7">
              <w:rPr>
                <w:rFonts w:ascii="Verdana" w:hAnsi="Verdana"/>
                <w:sz w:val="20"/>
                <w:szCs w:val="20"/>
                <w:lang w:val="en-GB"/>
              </w:rPr>
              <w:t>[</w:t>
            </w:r>
            <w:r w:rsidRPr="00415BF7">
              <w:rPr>
                <w:rFonts w:ascii="Verdana" w:hAnsi="Verdana"/>
                <w:sz w:val="20"/>
                <w:szCs w:val="20"/>
              </w:rPr>
              <w:t>]</w:t>
            </w:r>
          </w:p>
          <w:p w14:paraId="7C0A7213" w14:textId="47CC1081" w:rsidR="0043168A" w:rsidRDefault="0043168A" w:rsidP="001B04A3">
            <w:pPr>
              <w:spacing w:before="240" w:after="0" w:line="240" w:lineRule="auto"/>
              <w:contextualSpacing/>
              <w:rPr>
                <w:rFonts w:ascii="Verdana" w:hAnsi="Verdana"/>
                <w:sz w:val="20"/>
                <w:szCs w:val="20"/>
                <w:lang w:val="en-GB"/>
              </w:rPr>
            </w:pPr>
            <w:r>
              <w:rPr>
                <w:rFonts w:ascii="Verdana" w:hAnsi="Verdana"/>
                <w:sz w:val="20"/>
                <w:szCs w:val="20"/>
              </w:rPr>
              <w:t xml:space="preserve">Malta has entered a reservation to </w:t>
            </w:r>
            <w:r w:rsidRPr="00415BF7">
              <w:rPr>
                <w:rFonts w:ascii="Verdana" w:hAnsi="Verdana"/>
                <w:sz w:val="20"/>
                <w:szCs w:val="20"/>
                <w:lang w:val="en-GB"/>
              </w:rPr>
              <w:t xml:space="preserve">Article 29a (i) and (iii) </w:t>
            </w:r>
            <w:r>
              <w:rPr>
                <w:rFonts w:ascii="Verdana" w:hAnsi="Verdana"/>
                <w:sz w:val="20"/>
                <w:szCs w:val="20"/>
                <w:lang w:val="en-GB"/>
              </w:rPr>
              <w:t xml:space="preserve">of </w:t>
            </w:r>
            <w:r>
              <w:rPr>
                <w:rFonts w:ascii="Verdana" w:hAnsi="Verdana"/>
                <w:sz w:val="20"/>
                <w:szCs w:val="20"/>
              </w:rPr>
              <w:t>the CRPD (see under 1).</w:t>
            </w:r>
          </w:p>
          <w:p w14:paraId="3172F77D" w14:textId="6FC872C3" w:rsidR="0043168A" w:rsidRPr="00415BF7" w:rsidRDefault="0043168A" w:rsidP="001B04A3">
            <w:pPr>
              <w:spacing w:before="240" w:after="0" w:line="240" w:lineRule="auto"/>
              <w:contextualSpacing/>
              <w:rPr>
                <w:rFonts w:ascii="Verdana" w:hAnsi="Verdana"/>
                <w:sz w:val="20"/>
                <w:szCs w:val="20"/>
                <w:lang w:val="en-GB"/>
              </w:rPr>
            </w:pPr>
            <w:r>
              <w:rPr>
                <w:rFonts w:ascii="Verdana" w:hAnsi="Verdana"/>
                <w:sz w:val="20"/>
                <w:szCs w:val="20"/>
                <w:lang w:val="en-GB"/>
              </w:rPr>
              <w:t xml:space="preserve">It thus </w:t>
            </w:r>
            <w:r w:rsidRPr="00415BF7">
              <w:rPr>
                <w:rFonts w:ascii="Verdana" w:hAnsi="Verdana"/>
                <w:sz w:val="20"/>
                <w:szCs w:val="20"/>
                <w:lang w:val="en-GB"/>
              </w:rPr>
              <w:t xml:space="preserve">has not yet provided disabled people with the facility to vote with the assistance of a trusted friend of their own choice. The current system for disabled persons who cannot vote without assistance is for them to vote in front of the assistant commissioners present in their polling booth. No other voters are allowed at this time and assistant commissioners are sworn to secrecy. However, many disabled people find this arrangement inadequate as confidentiality cannot be fully guaranteed especially in a place with a very small population. </w:t>
            </w:r>
          </w:p>
        </w:tc>
      </w:tr>
      <w:tr w:rsidR="0043168A" w:rsidRPr="00415BF7" w14:paraId="2AF3B5DE" w14:textId="77777777" w:rsidTr="0043168A">
        <w:trPr>
          <w:trHeight w:val="454"/>
        </w:trPr>
        <w:tc>
          <w:tcPr>
            <w:tcW w:w="4791" w:type="dxa"/>
            <w:tcBorders>
              <w:top w:val="single" w:sz="4" w:space="0" w:color="000000"/>
              <w:left w:val="single" w:sz="4" w:space="0" w:color="000000"/>
              <w:bottom w:val="single" w:sz="4" w:space="0" w:color="000000"/>
            </w:tcBorders>
            <w:shd w:val="clear" w:color="auto" w:fill="FFFFFF"/>
            <w:vAlign w:val="center"/>
          </w:tcPr>
          <w:p w14:paraId="071BDF85" w14:textId="77777777" w:rsidR="0043168A" w:rsidRPr="00415BF7" w:rsidRDefault="0043168A" w:rsidP="00415BF7">
            <w:pPr>
              <w:rPr>
                <w:rFonts w:ascii="Verdana" w:hAnsi="Verdana"/>
                <w:sz w:val="20"/>
                <w:szCs w:val="20"/>
              </w:rPr>
            </w:pPr>
            <w:r w:rsidRPr="00415BF7">
              <w:rPr>
                <w:rFonts w:ascii="Verdana" w:hAnsi="Verdana"/>
                <w:sz w:val="20"/>
                <w:szCs w:val="20"/>
              </w:rPr>
              <w:lastRenderedPageBreak/>
              <w:t>Have national non-judicial redress mechanisms (e.g. National Human Rights Institutions, Equality Bodies, Ombuds institutions) considered any cases related to the right to political participation of persons with disabilities?</w:t>
            </w:r>
          </w:p>
          <w:p w14:paraId="535A9A87" w14:textId="77777777" w:rsidR="0043168A" w:rsidRPr="00415BF7" w:rsidRDefault="0043168A" w:rsidP="00415BF7">
            <w:pPr>
              <w:spacing w:before="240"/>
              <w:contextualSpacing/>
              <w:rPr>
                <w:rFonts w:ascii="Verdana" w:hAnsi="Verdana"/>
                <w:sz w:val="20"/>
                <w:szCs w:val="20"/>
                <w:lang w:val="en-GB"/>
              </w:rPr>
            </w:pPr>
            <w:r w:rsidRPr="00415BF7">
              <w:rPr>
                <w:rFonts w:ascii="Verdana" w:hAnsi="Verdana"/>
                <w:sz w:val="20"/>
                <w:szCs w:val="20"/>
              </w:rPr>
              <w:t>Please give details of relevant case law and any available data on the number of such cases.</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F43E1" w14:textId="3209CB42" w:rsidR="0043168A" w:rsidRPr="0043168A" w:rsidRDefault="0043168A" w:rsidP="0043168A">
            <w:pPr>
              <w:spacing w:before="240" w:after="0" w:line="240" w:lineRule="auto"/>
              <w:contextualSpacing/>
              <w:rPr>
                <w:rFonts w:ascii="Verdana" w:hAnsi="Verdana"/>
                <w:sz w:val="20"/>
                <w:szCs w:val="20"/>
                <w:lang w:val="en-GB"/>
              </w:rPr>
            </w:pPr>
            <w:r w:rsidRPr="00415BF7">
              <w:rPr>
                <w:rFonts w:ascii="Verdana" w:hAnsi="Verdana"/>
                <w:sz w:val="20"/>
                <w:szCs w:val="20"/>
                <w:lang w:val="en-GB"/>
              </w:rPr>
              <w:t>In 2013, The Deaf Persons Association lodged a complaint with the KNPD</w:t>
            </w:r>
            <w:r>
              <w:rPr>
                <w:rFonts w:ascii="Verdana" w:hAnsi="Verdana"/>
                <w:sz w:val="20"/>
                <w:szCs w:val="20"/>
                <w:lang w:val="en-GB"/>
              </w:rPr>
              <w:t xml:space="preserve"> (</w:t>
            </w:r>
            <w:r w:rsidRPr="00415BF7">
              <w:rPr>
                <w:rFonts w:ascii="Verdana" w:hAnsi="Verdana"/>
                <w:sz w:val="20"/>
                <w:szCs w:val="20"/>
                <w:lang w:val="en-GB"/>
              </w:rPr>
              <w:t xml:space="preserve">National Commission Persons with Disability) regarding the lack of Maltese sign language interpretation </w:t>
            </w:r>
            <w:r>
              <w:rPr>
                <w:rFonts w:ascii="Verdana" w:hAnsi="Verdana"/>
                <w:sz w:val="20"/>
                <w:szCs w:val="20"/>
                <w:lang w:val="en-GB"/>
              </w:rPr>
              <w:t>i</w:t>
            </w:r>
            <w:r w:rsidRPr="00415BF7">
              <w:rPr>
                <w:rFonts w:ascii="Verdana" w:hAnsi="Verdana"/>
                <w:sz w:val="20"/>
                <w:szCs w:val="20"/>
                <w:lang w:val="en-GB"/>
              </w:rPr>
              <w:t>n the national television during election broadcasts. KNPD contacted the Broadcasting Authority and the Public Broadcasting Services to remedy the situation and as a result, the Broadcasting Authority included Maltese Sign Language Interpretation in all its election broadcasts.</w:t>
            </w:r>
            <w:r w:rsidRPr="00415BF7">
              <w:rPr>
                <w:rStyle w:val="FootnoteReference"/>
                <w:rFonts w:ascii="Verdana" w:hAnsi="Verdana"/>
                <w:sz w:val="20"/>
                <w:szCs w:val="20"/>
                <w:lang w:val="en-GB"/>
              </w:rPr>
              <w:footnoteReference w:id="34"/>
            </w:r>
            <w:r>
              <w:rPr>
                <w:rFonts w:ascii="Verdana" w:hAnsi="Verdana"/>
                <w:sz w:val="20"/>
                <w:szCs w:val="20"/>
                <w:lang w:val="en-GB"/>
              </w:rPr>
              <w:t xml:space="preserve"> </w:t>
            </w:r>
          </w:p>
          <w:p w14:paraId="34209E04" w14:textId="1A7A95AE" w:rsidR="0043168A" w:rsidRDefault="0043168A" w:rsidP="00415BF7">
            <w:pPr>
              <w:spacing w:before="240" w:after="0" w:line="240" w:lineRule="auto"/>
              <w:contextualSpacing/>
              <w:rPr>
                <w:rFonts w:ascii="Verdana" w:hAnsi="Verdana"/>
                <w:sz w:val="20"/>
                <w:szCs w:val="20"/>
                <w:lang w:val="en-GB"/>
              </w:rPr>
            </w:pPr>
            <w:r w:rsidRPr="00415BF7">
              <w:rPr>
                <w:rFonts w:ascii="Verdana" w:hAnsi="Verdana"/>
                <w:sz w:val="20"/>
                <w:szCs w:val="20"/>
                <w:lang w:val="en-GB"/>
              </w:rPr>
              <w:t xml:space="preserve">In addition, in its capacity as the regulator of the national television station, the Broadcasting Authority decided on the complaint lodged by the Deaf Persons Association. However, the complaint relating to the lack of Maltese sign language during television political debate programmes was not upheld. It ruled that in the circumstances prevailing at the time, the Public Broadcasting Services (PBS) </w:t>
            </w:r>
            <w:r w:rsidRPr="00415BF7">
              <w:rPr>
                <w:rFonts w:ascii="Verdana" w:hAnsi="Verdana"/>
                <w:sz w:val="20"/>
                <w:szCs w:val="20"/>
                <w:lang w:val="en-GB"/>
              </w:rPr>
              <w:lastRenderedPageBreak/>
              <w:t>running the television station could not provide more sign language interpretation than it had, in order to include all important political debates.</w:t>
            </w:r>
            <w:r w:rsidRPr="00415BF7">
              <w:rPr>
                <w:rStyle w:val="FootnoteReference"/>
                <w:rFonts w:ascii="Verdana" w:hAnsi="Verdana"/>
                <w:sz w:val="20"/>
                <w:szCs w:val="20"/>
                <w:lang w:val="en-GB"/>
              </w:rPr>
              <w:footnoteReference w:id="35"/>
            </w:r>
            <w:r w:rsidRPr="00415BF7">
              <w:rPr>
                <w:rFonts w:ascii="Verdana" w:hAnsi="Verdana"/>
                <w:sz w:val="20"/>
                <w:szCs w:val="20"/>
                <w:lang w:val="en-GB"/>
              </w:rPr>
              <w:t xml:space="preserve"> </w:t>
            </w:r>
          </w:p>
          <w:p w14:paraId="53011BE6" w14:textId="77777777" w:rsidR="0043168A" w:rsidRDefault="0043168A" w:rsidP="00415BF7">
            <w:pPr>
              <w:spacing w:before="240" w:after="0" w:line="240" w:lineRule="auto"/>
              <w:contextualSpacing/>
              <w:rPr>
                <w:rFonts w:ascii="Verdana" w:hAnsi="Verdana"/>
                <w:sz w:val="20"/>
                <w:szCs w:val="20"/>
                <w:lang w:val="en-GB"/>
              </w:rPr>
            </w:pPr>
          </w:p>
          <w:p w14:paraId="6656CC97" w14:textId="760D9CE6" w:rsidR="0043168A" w:rsidRPr="00415BF7" w:rsidRDefault="0043168A" w:rsidP="005E59C8">
            <w:pPr>
              <w:spacing w:before="240" w:after="0" w:line="240" w:lineRule="auto"/>
              <w:contextualSpacing/>
              <w:rPr>
                <w:rFonts w:ascii="Verdana" w:hAnsi="Verdana"/>
                <w:sz w:val="20"/>
                <w:szCs w:val="20"/>
                <w:lang w:val="en-GB"/>
              </w:rPr>
            </w:pPr>
            <w:r w:rsidRPr="00415BF7">
              <w:rPr>
                <w:rFonts w:ascii="Verdana" w:hAnsi="Verdana"/>
                <w:sz w:val="20"/>
                <w:szCs w:val="20"/>
                <w:lang w:val="en-GB"/>
              </w:rPr>
              <w:t>As a result of the above complaint, the Broadcasting Authority included Maltese Sign Language Interpretation in all its official scheme of election broadcasts.  However, the Broadcasting Authority ruled that a televised political debate produced by a private company but broadcasted by PBS, the national television station, did not have the resources to provide more sign language interpretation than it had</w:t>
            </w:r>
            <w:r>
              <w:rPr>
                <w:rFonts w:ascii="Verdana" w:hAnsi="Verdana"/>
                <w:sz w:val="20"/>
                <w:szCs w:val="20"/>
                <w:lang w:val="en-GB"/>
              </w:rPr>
              <w:t>.</w:t>
            </w:r>
            <w:r>
              <w:rPr>
                <w:rStyle w:val="FootnoteReference"/>
                <w:rFonts w:ascii="Verdana" w:hAnsi="Verdana"/>
                <w:sz w:val="20"/>
                <w:szCs w:val="20"/>
                <w:lang w:val="en-GB"/>
              </w:rPr>
              <w:footnoteReference w:id="36"/>
            </w:r>
          </w:p>
        </w:tc>
      </w:tr>
      <w:tr w:rsidR="0043168A" w:rsidRPr="00415BF7" w14:paraId="24FE76B1" w14:textId="77777777" w:rsidTr="0043168A">
        <w:trPr>
          <w:trHeight w:val="454"/>
        </w:trPr>
        <w:tc>
          <w:tcPr>
            <w:tcW w:w="4791" w:type="dxa"/>
            <w:tcBorders>
              <w:top w:val="single" w:sz="4" w:space="0" w:color="000000"/>
              <w:left w:val="single" w:sz="4" w:space="0" w:color="000000"/>
              <w:bottom w:val="single" w:sz="4" w:space="0" w:color="000000"/>
            </w:tcBorders>
            <w:shd w:val="clear" w:color="auto" w:fill="FFFFFF"/>
            <w:vAlign w:val="center"/>
          </w:tcPr>
          <w:p w14:paraId="00915B27" w14:textId="77777777" w:rsidR="0043168A" w:rsidRPr="00415BF7" w:rsidRDefault="0043168A" w:rsidP="00415BF7">
            <w:pPr>
              <w:rPr>
                <w:rFonts w:ascii="Verdana" w:hAnsi="Verdana"/>
                <w:sz w:val="20"/>
                <w:szCs w:val="20"/>
              </w:rPr>
            </w:pPr>
            <w:r w:rsidRPr="00415BF7">
              <w:rPr>
                <w:rFonts w:ascii="Verdana" w:hAnsi="Verdana"/>
                <w:sz w:val="20"/>
                <w:szCs w:val="20"/>
                <w:lang w:val="en-GB"/>
              </w:rPr>
              <w:lastRenderedPageBreak/>
              <w:t>Is information about how and where to complain in the case of problems with exercising the right to political participation accessible to all persons with disabilities?</w:t>
            </w:r>
            <w:r w:rsidRPr="00415BF7">
              <w:rPr>
                <w:rStyle w:val="CommentReference"/>
                <w:rFonts w:ascii="Verdana" w:hAnsi="Verdana"/>
                <w:sz w:val="20"/>
                <w:szCs w:val="20"/>
              </w:rPr>
              <w:t xml:space="preserve"> </w:t>
            </w:r>
          </w:p>
        </w:tc>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1F456" w14:textId="57E67243" w:rsidR="0043168A" w:rsidRPr="00415BF7" w:rsidRDefault="0043168A" w:rsidP="00415BF7">
            <w:pPr>
              <w:spacing w:before="240" w:after="0" w:line="240" w:lineRule="auto"/>
              <w:contextualSpacing/>
              <w:jc w:val="both"/>
              <w:rPr>
                <w:rFonts w:ascii="Verdana" w:hAnsi="Verdana"/>
                <w:sz w:val="20"/>
                <w:szCs w:val="20"/>
                <w:lang w:val="en-GB"/>
              </w:rPr>
            </w:pPr>
            <w:r w:rsidRPr="00415BF7">
              <w:rPr>
                <w:rFonts w:ascii="Verdana" w:hAnsi="Verdana"/>
                <w:sz w:val="20"/>
                <w:szCs w:val="20"/>
                <w:lang w:val="en-GB"/>
              </w:rPr>
              <w:t xml:space="preserve">The National Commission Persons with Disability (KNPD) has produced accessible versions of the Equal Opportunities (Persons with Disability) Act that is in easy-to-read Maltese, audio Maltese, and a Maltese Sign Language DVD. KNPD also makes available on its website and through information leaflets (in accessible versions) information about how to make a complaint in accordance with the Act. </w:t>
            </w:r>
          </w:p>
          <w:p w14:paraId="79D6155C" w14:textId="03491560" w:rsidR="0043168A" w:rsidRPr="00415BF7" w:rsidRDefault="0043168A" w:rsidP="00415BF7">
            <w:pPr>
              <w:spacing w:before="240" w:after="0" w:line="240" w:lineRule="auto"/>
              <w:contextualSpacing/>
              <w:jc w:val="both"/>
              <w:rPr>
                <w:rFonts w:ascii="Verdana" w:hAnsi="Verdana"/>
                <w:sz w:val="20"/>
                <w:szCs w:val="20"/>
                <w:lang w:val="en-GB"/>
              </w:rPr>
            </w:pPr>
            <w:r w:rsidRPr="00415BF7">
              <w:rPr>
                <w:rFonts w:ascii="Verdana" w:hAnsi="Verdana"/>
                <w:sz w:val="20"/>
                <w:szCs w:val="20"/>
                <w:lang w:val="en-GB"/>
              </w:rPr>
              <w:t>The above relates to complaints in general and does not specifically target political rights.</w:t>
            </w:r>
            <w:r w:rsidRPr="00415BF7">
              <w:rPr>
                <w:rStyle w:val="FootnoteReference"/>
                <w:rFonts w:ascii="Verdana" w:hAnsi="Verdana"/>
                <w:sz w:val="20"/>
                <w:szCs w:val="20"/>
                <w:lang w:val="en-GB"/>
              </w:rPr>
              <w:footnoteReference w:id="37"/>
            </w:r>
          </w:p>
        </w:tc>
      </w:tr>
    </w:tbl>
    <w:p w14:paraId="46118078" w14:textId="77777777" w:rsidR="00E53C09" w:rsidRPr="00415BF7" w:rsidRDefault="00E53C09" w:rsidP="00225B23">
      <w:pPr>
        <w:spacing w:after="0" w:line="240" w:lineRule="auto"/>
        <w:contextualSpacing/>
        <w:jc w:val="both"/>
        <w:rPr>
          <w:rFonts w:ascii="Verdana" w:hAnsi="Verdana"/>
          <w:b/>
          <w:sz w:val="20"/>
          <w:szCs w:val="20"/>
          <w:lang w:val="en-GB"/>
        </w:rPr>
      </w:pPr>
    </w:p>
    <w:p w14:paraId="60E2D01E" w14:textId="77777777" w:rsidR="007045B0" w:rsidRDefault="007045B0" w:rsidP="00D30860">
      <w:pPr>
        <w:pStyle w:val="ListParagraph"/>
        <w:spacing w:after="0" w:line="240" w:lineRule="auto"/>
        <w:ind w:left="1080"/>
        <w:rPr>
          <w:rFonts w:ascii="Verdana" w:hAnsi="Verdana"/>
          <w:b/>
          <w:sz w:val="24"/>
          <w:szCs w:val="20"/>
          <w:lang w:val="en-GB"/>
        </w:rPr>
      </w:pPr>
    </w:p>
    <w:p w14:paraId="46118079" w14:textId="037AFC46" w:rsidR="00E53C09" w:rsidRPr="00D30860" w:rsidRDefault="00E53C09" w:rsidP="00D30860">
      <w:pPr>
        <w:pStyle w:val="ListParagraph"/>
        <w:numPr>
          <w:ilvl w:val="0"/>
          <w:numId w:val="6"/>
        </w:numPr>
        <w:spacing w:after="0" w:line="240" w:lineRule="auto"/>
        <w:rPr>
          <w:rFonts w:ascii="Verdana" w:hAnsi="Verdana"/>
          <w:b/>
          <w:sz w:val="24"/>
          <w:szCs w:val="20"/>
          <w:lang w:val="en-GB"/>
        </w:rPr>
      </w:pPr>
      <w:r w:rsidRPr="00D30860">
        <w:rPr>
          <w:rFonts w:ascii="Verdana" w:hAnsi="Verdana"/>
          <w:b/>
          <w:sz w:val="24"/>
          <w:szCs w:val="20"/>
          <w:lang w:val="en-GB"/>
        </w:rPr>
        <w:t>OUTCOME INDICATORS</w:t>
      </w:r>
    </w:p>
    <w:p w14:paraId="587D9316" w14:textId="77777777" w:rsidR="00D30860" w:rsidRPr="00D30860" w:rsidRDefault="00D30860" w:rsidP="00D30860">
      <w:pPr>
        <w:spacing w:after="0" w:line="240" w:lineRule="auto"/>
        <w:ind w:left="567"/>
        <w:contextualSpacing/>
        <w:jc w:val="both"/>
        <w:rPr>
          <w:rFonts w:ascii="Verdana" w:hAnsi="Verdana"/>
          <w:b/>
          <w:sz w:val="24"/>
          <w:szCs w:val="20"/>
          <w:lang w:val="en-GB"/>
        </w:rPr>
      </w:pPr>
    </w:p>
    <w:tbl>
      <w:tblPr>
        <w:tblStyle w:val="TableGrid"/>
        <w:tblW w:w="5000" w:type="pct"/>
        <w:tblLook w:val="04A0" w:firstRow="1" w:lastRow="0" w:firstColumn="1" w:lastColumn="0" w:noHBand="0" w:noVBand="1"/>
      </w:tblPr>
      <w:tblGrid>
        <w:gridCol w:w="4643"/>
        <w:gridCol w:w="9531"/>
      </w:tblGrid>
      <w:tr w:rsidR="0043168A" w:rsidRPr="00415BF7" w14:paraId="6960C640" w14:textId="77777777" w:rsidTr="0043168A">
        <w:trPr>
          <w:trHeight w:val="454"/>
        </w:trPr>
        <w:tc>
          <w:tcPr>
            <w:tcW w:w="1638" w:type="pct"/>
            <w:shd w:val="clear" w:color="auto" w:fill="C6D9F1" w:themeFill="text2" w:themeFillTint="33"/>
            <w:vAlign w:val="center"/>
          </w:tcPr>
          <w:p w14:paraId="4F52F17B" w14:textId="77777777" w:rsidR="0043168A" w:rsidRPr="00415BF7" w:rsidRDefault="0043168A" w:rsidP="00415BF7">
            <w:pPr>
              <w:spacing w:before="240"/>
              <w:contextualSpacing/>
              <w:rPr>
                <w:rFonts w:ascii="Verdana" w:hAnsi="Verdana"/>
                <w:b/>
                <w:sz w:val="20"/>
                <w:szCs w:val="20"/>
                <w:lang w:val="en-GB"/>
              </w:rPr>
            </w:pPr>
            <w:r w:rsidRPr="00415BF7">
              <w:rPr>
                <w:rFonts w:ascii="Verdana" w:hAnsi="Verdana"/>
                <w:b/>
                <w:sz w:val="20"/>
                <w:szCs w:val="20"/>
                <w:lang w:val="en-GB"/>
              </w:rPr>
              <w:t>Outcome indicators</w:t>
            </w:r>
          </w:p>
        </w:tc>
        <w:tc>
          <w:tcPr>
            <w:tcW w:w="3362" w:type="pct"/>
            <w:shd w:val="clear" w:color="auto" w:fill="C6D9F1" w:themeFill="text2" w:themeFillTint="33"/>
            <w:vAlign w:val="center"/>
          </w:tcPr>
          <w:p w14:paraId="7064E2E1" w14:textId="77777777" w:rsidR="0043168A" w:rsidRPr="00415BF7" w:rsidRDefault="0043168A" w:rsidP="00415BF7">
            <w:pPr>
              <w:spacing w:before="240" w:line="100" w:lineRule="atLeast"/>
              <w:rPr>
                <w:rFonts w:ascii="Verdana" w:hAnsi="Verdana"/>
                <w:sz w:val="20"/>
                <w:szCs w:val="20"/>
                <w:lang w:val="en-GB"/>
              </w:rPr>
            </w:pPr>
            <w:r w:rsidRPr="00415BF7">
              <w:rPr>
                <w:rFonts w:ascii="Verdana" w:hAnsi="Verdana"/>
                <w:b/>
                <w:sz w:val="20"/>
                <w:szCs w:val="20"/>
                <w:lang w:val="en-GB"/>
              </w:rPr>
              <w:t>Source and supporting information</w:t>
            </w:r>
          </w:p>
        </w:tc>
      </w:tr>
      <w:tr w:rsidR="0043168A" w:rsidRPr="00415BF7" w14:paraId="5569D9D3" w14:textId="77777777" w:rsidTr="0043168A">
        <w:trPr>
          <w:trHeight w:val="454"/>
        </w:trPr>
        <w:tc>
          <w:tcPr>
            <w:tcW w:w="1638" w:type="pct"/>
            <w:shd w:val="clear" w:color="auto" w:fill="auto"/>
            <w:vAlign w:val="center"/>
          </w:tcPr>
          <w:p w14:paraId="32C1A906" w14:textId="77777777" w:rsidR="0043168A" w:rsidRPr="00415BF7" w:rsidRDefault="0043168A" w:rsidP="00415BF7">
            <w:pPr>
              <w:spacing w:before="240"/>
              <w:contextualSpacing/>
              <w:rPr>
                <w:rFonts w:ascii="Verdana" w:hAnsi="Verdana"/>
                <w:sz w:val="20"/>
                <w:szCs w:val="20"/>
              </w:rPr>
            </w:pPr>
            <w:r w:rsidRPr="00415BF7">
              <w:rPr>
                <w:rFonts w:ascii="Verdana" w:hAnsi="Verdana"/>
                <w:sz w:val="20"/>
                <w:szCs w:val="20"/>
              </w:rPr>
              <w:t xml:space="preserve">What was the voter turnout rate for persons with disabilities in the most recent municipal elections and in the 2009 European Parliament elections? How does this compare with the voter turnout rate </w:t>
            </w:r>
            <w:r w:rsidRPr="00415BF7">
              <w:rPr>
                <w:rFonts w:ascii="Verdana" w:hAnsi="Verdana"/>
                <w:sz w:val="20"/>
                <w:szCs w:val="20"/>
              </w:rPr>
              <w:lastRenderedPageBreak/>
              <w:t>among the general population?</w:t>
            </w:r>
          </w:p>
          <w:p w14:paraId="4A7E2791" w14:textId="77777777" w:rsidR="0043168A" w:rsidRPr="00415BF7" w:rsidRDefault="0043168A" w:rsidP="00415BF7">
            <w:pPr>
              <w:spacing w:before="240"/>
              <w:contextualSpacing/>
              <w:rPr>
                <w:rFonts w:ascii="Verdana" w:hAnsi="Verdana"/>
                <w:sz w:val="20"/>
                <w:szCs w:val="20"/>
              </w:rPr>
            </w:pPr>
          </w:p>
          <w:p w14:paraId="64C0BE17" w14:textId="77777777" w:rsidR="0043168A" w:rsidRPr="00415BF7" w:rsidRDefault="0043168A" w:rsidP="00415BF7">
            <w:pPr>
              <w:spacing w:before="240"/>
              <w:contextualSpacing/>
              <w:rPr>
                <w:rFonts w:ascii="Verdana" w:hAnsi="Verdana"/>
                <w:sz w:val="20"/>
                <w:szCs w:val="20"/>
              </w:rPr>
            </w:pPr>
            <w:r w:rsidRPr="00415BF7">
              <w:rPr>
                <w:rFonts w:ascii="Verdana" w:hAnsi="Verdana"/>
                <w:sz w:val="20"/>
                <w:szCs w:val="20"/>
              </w:rPr>
              <w:t>What was the voter turnout rate for persons with disabilities in the most recent national elections? How does this compare with the voter turnout rate among the general population?</w:t>
            </w:r>
          </w:p>
        </w:tc>
        <w:tc>
          <w:tcPr>
            <w:tcW w:w="3362" w:type="pct"/>
          </w:tcPr>
          <w:p w14:paraId="2EB22554" w14:textId="61C0FA61" w:rsidR="0043168A" w:rsidRPr="00415BF7" w:rsidRDefault="0043168A" w:rsidP="00415BF7">
            <w:pPr>
              <w:spacing w:before="240" w:after="0" w:line="240" w:lineRule="auto"/>
              <w:contextualSpacing/>
              <w:rPr>
                <w:rFonts w:ascii="Verdana" w:hAnsi="Verdana"/>
                <w:sz w:val="20"/>
                <w:szCs w:val="20"/>
                <w:lang w:val="en-GB"/>
              </w:rPr>
            </w:pPr>
            <w:r>
              <w:rPr>
                <w:rFonts w:ascii="Verdana" w:hAnsi="Verdana"/>
                <w:sz w:val="20"/>
                <w:szCs w:val="20"/>
                <w:lang w:val="en-GB"/>
              </w:rPr>
              <w:lastRenderedPageBreak/>
              <w:t>In a r</w:t>
            </w:r>
            <w:r w:rsidRPr="007045B0">
              <w:rPr>
                <w:rFonts w:ascii="Verdana" w:hAnsi="Verdana"/>
                <w:sz w:val="20"/>
                <w:szCs w:val="20"/>
                <w:lang w:val="en-GB"/>
              </w:rPr>
              <w:t xml:space="preserve">eply </w:t>
            </w:r>
            <w:r>
              <w:rPr>
                <w:rFonts w:ascii="Verdana" w:hAnsi="Verdana"/>
                <w:sz w:val="20"/>
                <w:szCs w:val="20"/>
                <w:lang w:val="en-GB"/>
              </w:rPr>
              <w:t xml:space="preserve">to an information request received in writing from </w:t>
            </w:r>
            <w:r w:rsidRPr="007045B0">
              <w:rPr>
                <w:rFonts w:ascii="Verdana" w:hAnsi="Verdana"/>
                <w:sz w:val="20"/>
                <w:szCs w:val="20"/>
                <w:lang w:val="en-GB"/>
              </w:rPr>
              <w:t>the National Commi</w:t>
            </w:r>
            <w:r>
              <w:rPr>
                <w:rFonts w:ascii="Verdana" w:hAnsi="Verdana"/>
                <w:sz w:val="20"/>
                <w:szCs w:val="20"/>
                <w:lang w:val="en-GB"/>
              </w:rPr>
              <w:t xml:space="preserve">ssion Persons with Disability on </w:t>
            </w:r>
            <w:r w:rsidRPr="007045B0">
              <w:rPr>
                <w:rFonts w:ascii="Verdana" w:hAnsi="Verdana"/>
                <w:sz w:val="20"/>
                <w:szCs w:val="20"/>
                <w:lang w:val="en-GB"/>
              </w:rPr>
              <w:t>29 July 2013</w:t>
            </w:r>
            <w:r>
              <w:rPr>
                <w:rFonts w:ascii="Verdana" w:hAnsi="Verdana"/>
                <w:sz w:val="20"/>
                <w:szCs w:val="20"/>
                <w:lang w:val="en-GB"/>
              </w:rPr>
              <w:t xml:space="preserve"> the Commission stated that d</w:t>
            </w:r>
            <w:r w:rsidRPr="00415BF7">
              <w:rPr>
                <w:rFonts w:ascii="Verdana" w:hAnsi="Verdana"/>
                <w:sz w:val="20"/>
                <w:szCs w:val="20"/>
                <w:lang w:val="en-GB"/>
              </w:rPr>
              <w:t xml:space="preserve">ata </w:t>
            </w:r>
            <w:r>
              <w:rPr>
                <w:rFonts w:ascii="Verdana" w:hAnsi="Verdana"/>
                <w:sz w:val="20"/>
                <w:szCs w:val="20"/>
                <w:lang w:val="en-GB"/>
              </w:rPr>
              <w:t xml:space="preserve">was </w:t>
            </w:r>
            <w:r w:rsidRPr="00415BF7">
              <w:rPr>
                <w:rFonts w:ascii="Verdana" w:hAnsi="Verdana"/>
                <w:sz w:val="20"/>
                <w:szCs w:val="20"/>
                <w:lang w:val="en-GB"/>
              </w:rPr>
              <w:t>not available.</w:t>
            </w:r>
          </w:p>
          <w:p w14:paraId="0E2D46A4" w14:textId="77777777" w:rsidR="0043168A" w:rsidRPr="00415BF7" w:rsidRDefault="0043168A" w:rsidP="00415BF7">
            <w:pPr>
              <w:spacing w:before="240" w:after="0" w:line="240" w:lineRule="auto"/>
              <w:contextualSpacing/>
              <w:rPr>
                <w:rFonts w:ascii="Verdana" w:hAnsi="Verdana"/>
                <w:sz w:val="20"/>
                <w:szCs w:val="20"/>
                <w:lang w:val="en-GB"/>
              </w:rPr>
            </w:pPr>
          </w:p>
          <w:p w14:paraId="47F91049" w14:textId="07D1FA10" w:rsidR="0043168A" w:rsidRPr="00415BF7" w:rsidRDefault="0043168A" w:rsidP="00415BF7">
            <w:pPr>
              <w:spacing w:before="240" w:after="0" w:line="240" w:lineRule="auto"/>
              <w:contextualSpacing/>
              <w:rPr>
                <w:rFonts w:ascii="Verdana" w:hAnsi="Verdana"/>
                <w:sz w:val="20"/>
                <w:szCs w:val="20"/>
                <w:lang w:val="en-GB"/>
              </w:rPr>
            </w:pPr>
            <w:r>
              <w:rPr>
                <w:rFonts w:ascii="Verdana" w:hAnsi="Verdana"/>
                <w:sz w:val="20"/>
                <w:szCs w:val="20"/>
                <w:lang w:val="en-GB"/>
              </w:rPr>
              <w:t>However, d</w:t>
            </w:r>
            <w:r w:rsidRPr="00415BF7">
              <w:rPr>
                <w:rFonts w:ascii="Verdana" w:hAnsi="Verdana"/>
                <w:sz w:val="20"/>
                <w:szCs w:val="20"/>
                <w:lang w:val="en-GB"/>
              </w:rPr>
              <w:t xml:space="preserve">uring the 2013 general election, 17,349 persons stated under oath that they could not fill in the ballot paper and consequently asked the assistant commissioners to fill </w:t>
            </w:r>
            <w:r w:rsidRPr="00415BF7">
              <w:rPr>
                <w:rFonts w:ascii="Verdana" w:hAnsi="Verdana"/>
                <w:sz w:val="20"/>
                <w:szCs w:val="20"/>
                <w:lang w:val="en-GB"/>
              </w:rPr>
              <w:lastRenderedPageBreak/>
              <w:t>in the ballot paper on their behalf. This does not</w:t>
            </w:r>
            <w:r>
              <w:rPr>
                <w:rFonts w:ascii="Verdana" w:hAnsi="Verdana"/>
                <w:sz w:val="20"/>
                <w:szCs w:val="20"/>
                <w:lang w:val="en-GB"/>
              </w:rPr>
              <w:t xml:space="preserve"> necessarily </w:t>
            </w:r>
            <w:r w:rsidRPr="00415BF7">
              <w:rPr>
                <w:rFonts w:ascii="Verdana" w:hAnsi="Verdana"/>
                <w:sz w:val="20"/>
                <w:szCs w:val="20"/>
                <w:lang w:val="en-GB"/>
              </w:rPr>
              <w:t>imply that all those persons had a disability</w:t>
            </w:r>
            <w:r>
              <w:rPr>
                <w:rFonts w:ascii="Verdana" w:hAnsi="Verdana"/>
                <w:sz w:val="20"/>
                <w:szCs w:val="20"/>
                <w:lang w:val="en-GB"/>
              </w:rPr>
              <w:t>.</w:t>
            </w:r>
            <w:r>
              <w:rPr>
                <w:rStyle w:val="FootnoteReference"/>
                <w:rFonts w:ascii="Verdana" w:hAnsi="Verdana"/>
                <w:sz w:val="20"/>
                <w:szCs w:val="20"/>
                <w:lang w:val="en-GB"/>
              </w:rPr>
              <w:t xml:space="preserve"> </w:t>
            </w:r>
            <w:r>
              <w:rPr>
                <w:rStyle w:val="FootnoteReference"/>
                <w:rFonts w:ascii="Verdana" w:hAnsi="Verdana"/>
                <w:sz w:val="20"/>
                <w:szCs w:val="20"/>
                <w:lang w:val="en-GB"/>
              </w:rPr>
              <w:footnoteReference w:id="38"/>
            </w:r>
          </w:p>
          <w:p w14:paraId="034EC975" w14:textId="77777777" w:rsidR="0043168A" w:rsidRPr="00415BF7" w:rsidRDefault="0043168A" w:rsidP="00415BF7">
            <w:pPr>
              <w:spacing w:after="0" w:line="240" w:lineRule="auto"/>
              <w:contextualSpacing/>
              <w:rPr>
                <w:rFonts w:ascii="Verdana" w:hAnsi="Verdana"/>
                <w:sz w:val="20"/>
                <w:szCs w:val="20"/>
                <w:lang w:val="en-GB"/>
              </w:rPr>
            </w:pPr>
          </w:p>
          <w:p w14:paraId="00933AFD" w14:textId="5AAE80EA" w:rsidR="0043168A" w:rsidRPr="00415BF7" w:rsidRDefault="0043168A" w:rsidP="00415BF7">
            <w:pPr>
              <w:pStyle w:val="CommentText"/>
              <w:spacing w:after="0"/>
              <w:rPr>
                <w:rFonts w:ascii="Verdana" w:hAnsi="Verdana"/>
              </w:rPr>
            </w:pPr>
            <w:r w:rsidRPr="00415BF7">
              <w:rPr>
                <w:rFonts w:ascii="Verdana" w:hAnsi="Verdana"/>
              </w:rPr>
              <w:t>The numbers available for the last elections relate to the persons who voted in hospitals (not specifically persons with a disability) and public old persons residence homes</w:t>
            </w:r>
            <w:r>
              <w:rPr>
                <w:rFonts w:ascii="Verdana" w:hAnsi="Verdana"/>
              </w:rPr>
              <w:t>:</w:t>
            </w:r>
          </w:p>
          <w:p w14:paraId="2B4AB935" w14:textId="77777777" w:rsidR="0043168A" w:rsidRPr="00415BF7" w:rsidRDefault="0043168A" w:rsidP="00415BF7">
            <w:pPr>
              <w:pStyle w:val="CommentText"/>
              <w:spacing w:after="0"/>
              <w:rPr>
                <w:rFonts w:ascii="Verdana" w:hAnsi="Verdana"/>
              </w:rPr>
            </w:pPr>
          </w:p>
          <w:p w14:paraId="6CAFE0B1" w14:textId="77777777" w:rsidR="0043168A" w:rsidRPr="00415BF7" w:rsidRDefault="0043168A" w:rsidP="00415BF7">
            <w:pPr>
              <w:pStyle w:val="CommentText"/>
              <w:spacing w:after="0"/>
              <w:rPr>
                <w:rFonts w:ascii="Verdana" w:hAnsi="Verdana"/>
              </w:rPr>
            </w:pPr>
            <w:r w:rsidRPr="00415BF7">
              <w:rPr>
                <w:rFonts w:ascii="Verdana" w:hAnsi="Verdana"/>
                <w:b/>
              </w:rPr>
              <w:t>General Hospitals</w:t>
            </w:r>
            <w:r w:rsidRPr="00415BF7">
              <w:rPr>
                <w:rFonts w:ascii="Verdana" w:hAnsi="Verdana"/>
              </w:rPr>
              <w:t>:</w:t>
            </w:r>
          </w:p>
          <w:p w14:paraId="324BC712" w14:textId="77777777" w:rsidR="0043168A" w:rsidRPr="00415BF7" w:rsidRDefault="0043168A" w:rsidP="00415BF7">
            <w:pPr>
              <w:pStyle w:val="CommentText"/>
              <w:spacing w:after="0"/>
              <w:rPr>
                <w:rFonts w:ascii="Verdana" w:hAnsi="Verdana"/>
              </w:rPr>
            </w:pPr>
            <w:r w:rsidRPr="00415BF7">
              <w:rPr>
                <w:rFonts w:ascii="Verdana" w:hAnsi="Verdana"/>
              </w:rPr>
              <w:t>Mater Dei Hospital - 499 votes</w:t>
            </w:r>
          </w:p>
          <w:p w14:paraId="2020DAD4" w14:textId="77777777" w:rsidR="0043168A" w:rsidRPr="00415BF7" w:rsidRDefault="0043168A" w:rsidP="00415BF7">
            <w:pPr>
              <w:spacing w:after="0" w:line="240" w:lineRule="auto"/>
              <w:rPr>
                <w:rFonts w:ascii="Verdana" w:hAnsi="Verdana"/>
                <w:sz w:val="20"/>
                <w:szCs w:val="20"/>
              </w:rPr>
            </w:pPr>
            <w:r w:rsidRPr="00415BF7">
              <w:rPr>
                <w:rFonts w:ascii="Verdana" w:hAnsi="Verdana"/>
                <w:sz w:val="20"/>
                <w:szCs w:val="20"/>
              </w:rPr>
              <w:t>Gozo General Hospital - 131 votes</w:t>
            </w:r>
          </w:p>
          <w:p w14:paraId="2777AFF7" w14:textId="77777777" w:rsidR="0043168A" w:rsidRPr="00415BF7" w:rsidRDefault="0043168A" w:rsidP="00415BF7">
            <w:pPr>
              <w:pStyle w:val="CommentText"/>
              <w:spacing w:after="0"/>
              <w:rPr>
                <w:rFonts w:ascii="Verdana" w:hAnsi="Verdana"/>
              </w:rPr>
            </w:pPr>
            <w:r w:rsidRPr="00415BF7">
              <w:rPr>
                <w:rFonts w:ascii="Verdana" w:hAnsi="Verdana"/>
              </w:rPr>
              <w:t>Mount Carmel Mental Health Hospital - 304 votes </w:t>
            </w:r>
          </w:p>
          <w:p w14:paraId="35A64C01" w14:textId="77777777" w:rsidR="0043168A" w:rsidRPr="00415BF7" w:rsidRDefault="0043168A" w:rsidP="00415BF7">
            <w:pPr>
              <w:pStyle w:val="CommentText"/>
              <w:spacing w:after="0"/>
              <w:rPr>
                <w:rFonts w:ascii="Verdana" w:hAnsi="Verdana"/>
              </w:rPr>
            </w:pPr>
          </w:p>
          <w:p w14:paraId="47BEA1D2" w14:textId="77777777" w:rsidR="0043168A" w:rsidRPr="00415BF7" w:rsidRDefault="0043168A" w:rsidP="00415BF7">
            <w:pPr>
              <w:pStyle w:val="CommentText"/>
              <w:spacing w:after="0"/>
              <w:rPr>
                <w:rFonts w:ascii="Verdana" w:hAnsi="Verdana"/>
              </w:rPr>
            </w:pPr>
            <w:r w:rsidRPr="00415BF7">
              <w:rPr>
                <w:rFonts w:ascii="Verdana" w:hAnsi="Verdana"/>
                <w:b/>
              </w:rPr>
              <w:t>Residence homes for the elderly</w:t>
            </w:r>
            <w:r w:rsidRPr="00415BF7">
              <w:rPr>
                <w:rFonts w:ascii="Verdana" w:hAnsi="Verdana"/>
              </w:rPr>
              <w:t>:</w:t>
            </w:r>
          </w:p>
          <w:p w14:paraId="7752DEDC" w14:textId="77777777" w:rsidR="0043168A" w:rsidRPr="00415BF7" w:rsidRDefault="0043168A" w:rsidP="00415BF7">
            <w:pPr>
              <w:spacing w:after="0" w:line="240" w:lineRule="auto"/>
              <w:rPr>
                <w:rFonts w:ascii="Verdana" w:hAnsi="Verdana"/>
                <w:sz w:val="20"/>
                <w:szCs w:val="20"/>
                <w:lang w:val="fr-BE"/>
              </w:rPr>
            </w:pPr>
            <w:r w:rsidRPr="00415BF7">
              <w:rPr>
                <w:rFonts w:ascii="Verdana" w:hAnsi="Verdana"/>
                <w:sz w:val="20"/>
                <w:szCs w:val="20"/>
                <w:lang w:val="fr-BE"/>
              </w:rPr>
              <w:t xml:space="preserve">Saint Vincent de Paul Residence - 810 votes </w:t>
            </w:r>
          </w:p>
          <w:p w14:paraId="413C9B80" w14:textId="77777777" w:rsidR="0043168A" w:rsidRPr="00415BF7" w:rsidRDefault="0043168A" w:rsidP="00415BF7">
            <w:pPr>
              <w:spacing w:after="0" w:line="240" w:lineRule="auto"/>
              <w:rPr>
                <w:rFonts w:ascii="Verdana" w:hAnsi="Verdana"/>
                <w:sz w:val="20"/>
                <w:szCs w:val="20"/>
              </w:rPr>
            </w:pPr>
            <w:r w:rsidRPr="00415BF7">
              <w:rPr>
                <w:rFonts w:ascii="Verdana" w:hAnsi="Verdana"/>
                <w:sz w:val="20"/>
                <w:szCs w:val="20"/>
              </w:rPr>
              <w:t>Karin Grech Hospital – 235 votes</w:t>
            </w:r>
          </w:p>
          <w:p w14:paraId="4D2667D3" w14:textId="1FA8BA72" w:rsidR="0043168A" w:rsidRPr="00415BF7" w:rsidRDefault="0043168A" w:rsidP="00415BF7">
            <w:pPr>
              <w:spacing w:after="0" w:line="240" w:lineRule="auto"/>
              <w:contextualSpacing/>
              <w:rPr>
                <w:rFonts w:ascii="Verdana" w:hAnsi="Verdana"/>
                <w:sz w:val="20"/>
                <w:szCs w:val="20"/>
                <w:lang w:val="en-GB"/>
              </w:rPr>
            </w:pPr>
            <w:r w:rsidRPr="00415BF7">
              <w:rPr>
                <w:rFonts w:ascii="Verdana" w:hAnsi="Verdana"/>
                <w:sz w:val="20"/>
                <w:szCs w:val="20"/>
              </w:rPr>
              <w:t>No other data is available.</w:t>
            </w:r>
          </w:p>
        </w:tc>
      </w:tr>
      <w:tr w:rsidR="0043168A" w:rsidRPr="00415BF7" w14:paraId="559061DF" w14:textId="77777777" w:rsidTr="0043168A">
        <w:trPr>
          <w:trHeight w:val="454"/>
        </w:trPr>
        <w:tc>
          <w:tcPr>
            <w:tcW w:w="1638" w:type="pct"/>
            <w:shd w:val="clear" w:color="auto" w:fill="auto"/>
            <w:vAlign w:val="center"/>
          </w:tcPr>
          <w:p w14:paraId="3272D4E9" w14:textId="77777777" w:rsidR="0043168A" w:rsidRPr="00415BF7" w:rsidRDefault="0043168A" w:rsidP="00415BF7">
            <w:pPr>
              <w:spacing w:before="240"/>
              <w:contextualSpacing/>
              <w:rPr>
                <w:rFonts w:ascii="Verdana" w:hAnsi="Verdana"/>
                <w:sz w:val="20"/>
                <w:szCs w:val="20"/>
                <w:highlight w:val="yellow"/>
              </w:rPr>
            </w:pPr>
            <w:r w:rsidRPr="00415BF7">
              <w:rPr>
                <w:rFonts w:ascii="Verdana" w:hAnsi="Verdana"/>
                <w:sz w:val="20"/>
                <w:szCs w:val="20"/>
              </w:rPr>
              <w:lastRenderedPageBreak/>
              <w:t>How many members of the current national parliament identify as having a disability?</w:t>
            </w:r>
          </w:p>
        </w:tc>
        <w:tc>
          <w:tcPr>
            <w:tcW w:w="3362" w:type="pct"/>
            <w:vAlign w:val="center"/>
          </w:tcPr>
          <w:p w14:paraId="1E0233F8" w14:textId="5DF6A436" w:rsidR="0043168A" w:rsidRPr="00415BF7" w:rsidRDefault="0043168A" w:rsidP="007045B0">
            <w:pPr>
              <w:spacing w:before="240" w:after="0" w:line="240" w:lineRule="auto"/>
              <w:contextualSpacing/>
              <w:rPr>
                <w:rFonts w:ascii="Verdana" w:hAnsi="Verdana"/>
                <w:sz w:val="20"/>
                <w:szCs w:val="20"/>
                <w:highlight w:val="yellow"/>
                <w:lang w:val="en-GB"/>
              </w:rPr>
            </w:pPr>
            <w:r w:rsidRPr="00415BF7">
              <w:rPr>
                <w:rFonts w:ascii="Verdana" w:hAnsi="Verdana"/>
                <w:sz w:val="20"/>
                <w:szCs w:val="20"/>
                <w:lang w:val="en-GB"/>
              </w:rPr>
              <w:t>One member of parliament has recently publicly identified himself as having mental health issues. No other MP has identified as a person with disability.</w:t>
            </w:r>
            <w:r w:rsidRPr="00415BF7">
              <w:rPr>
                <w:rStyle w:val="FootnoteReference"/>
                <w:rFonts w:ascii="Verdana" w:hAnsi="Verdana"/>
                <w:sz w:val="20"/>
                <w:szCs w:val="20"/>
                <w:lang w:val="en-GB"/>
              </w:rPr>
              <w:t xml:space="preserve"> </w:t>
            </w:r>
            <w:r w:rsidRPr="00415BF7">
              <w:rPr>
                <w:rStyle w:val="FootnoteReference"/>
                <w:rFonts w:ascii="Verdana" w:hAnsi="Verdana"/>
                <w:sz w:val="20"/>
                <w:szCs w:val="20"/>
                <w:lang w:val="en-GB"/>
              </w:rPr>
              <w:footnoteReference w:id="39"/>
            </w:r>
            <w:r w:rsidRPr="00415BF7">
              <w:rPr>
                <w:rStyle w:val="FootnoteReference"/>
                <w:rFonts w:ascii="Verdana" w:hAnsi="Verdana"/>
                <w:sz w:val="20"/>
                <w:szCs w:val="20"/>
                <w:lang w:val="en-GB"/>
              </w:rPr>
              <w:t xml:space="preserve"> </w:t>
            </w:r>
          </w:p>
        </w:tc>
      </w:tr>
      <w:tr w:rsidR="0043168A" w:rsidRPr="00415BF7" w14:paraId="5CBEDF89" w14:textId="77777777" w:rsidTr="0043168A">
        <w:trPr>
          <w:trHeight w:val="454"/>
        </w:trPr>
        <w:tc>
          <w:tcPr>
            <w:tcW w:w="1638" w:type="pct"/>
            <w:shd w:val="clear" w:color="auto" w:fill="auto"/>
            <w:vAlign w:val="center"/>
          </w:tcPr>
          <w:p w14:paraId="7F7A6970" w14:textId="77777777" w:rsidR="0043168A" w:rsidRPr="00415BF7" w:rsidRDefault="0043168A" w:rsidP="00415BF7">
            <w:pPr>
              <w:spacing w:before="240"/>
              <w:contextualSpacing/>
              <w:rPr>
                <w:rFonts w:ascii="Verdana" w:hAnsi="Verdana"/>
                <w:sz w:val="20"/>
                <w:szCs w:val="20"/>
                <w:lang w:val="en-GB"/>
              </w:rPr>
            </w:pPr>
            <w:r w:rsidRPr="00415BF7">
              <w:rPr>
                <w:rFonts w:ascii="Verdana" w:hAnsi="Verdana"/>
                <w:sz w:val="20"/>
                <w:szCs w:val="20"/>
              </w:rPr>
              <w:t>How many members of current municipal governments identify as having a disability?</w:t>
            </w:r>
          </w:p>
        </w:tc>
        <w:tc>
          <w:tcPr>
            <w:tcW w:w="3362" w:type="pct"/>
            <w:vAlign w:val="center"/>
          </w:tcPr>
          <w:p w14:paraId="7B1DBD0F" w14:textId="77777777" w:rsidR="0043168A" w:rsidRPr="00415BF7" w:rsidRDefault="0043168A" w:rsidP="00415BF7">
            <w:pPr>
              <w:spacing w:before="240" w:after="0" w:line="240" w:lineRule="auto"/>
              <w:contextualSpacing/>
              <w:rPr>
                <w:rFonts w:ascii="Verdana" w:hAnsi="Verdana"/>
                <w:sz w:val="20"/>
                <w:szCs w:val="20"/>
                <w:lang w:val="en-GB"/>
              </w:rPr>
            </w:pPr>
            <w:r w:rsidRPr="00415BF7">
              <w:rPr>
                <w:rFonts w:ascii="Verdana" w:hAnsi="Verdana"/>
                <w:sz w:val="20"/>
                <w:szCs w:val="20"/>
                <w:lang w:val="en-GB"/>
              </w:rPr>
              <w:t>There are no records of local council members having been identified as a person with disability.</w:t>
            </w:r>
            <w:r w:rsidRPr="00415BF7">
              <w:rPr>
                <w:rStyle w:val="FootnoteReference"/>
                <w:rFonts w:ascii="Verdana" w:hAnsi="Verdana"/>
                <w:sz w:val="20"/>
                <w:szCs w:val="20"/>
                <w:lang w:val="en-GB"/>
              </w:rPr>
              <w:footnoteReference w:id="40"/>
            </w:r>
            <w:r w:rsidRPr="00415BF7">
              <w:rPr>
                <w:rFonts w:ascii="Verdana" w:hAnsi="Verdana"/>
                <w:sz w:val="20"/>
                <w:szCs w:val="20"/>
                <w:lang w:val="en-GB"/>
              </w:rPr>
              <w:t xml:space="preserve"> </w:t>
            </w:r>
          </w:p>
          <w:p w14:paraId="513D4AD5" w14:textId="77777777" w:rsidR="0043168A" w:rsidRPr="00415BF7" w:rsidRDefault="0043168A" w:rsidP="00415BF7">
            <w:pPr>
              <w:spacing w:before="240" w:after="0" w:line="240" w:lineRule="auto"/>
              <w:contextualSpacing/>
              <w:rPr>
                <w:rFonts w:ascii="Verdana" w:hAnsi="Verdana"/>
                <w:sz w:val="20"/>
                <w:szCs w:val="20"/>
                <w:lang w:val="en-GB"/>
              </w:rPr>
            </w:pPr>
          </w:p>
          <w:p w14:paraId="304EDE9C" w14:textId="25C5B40E" w:rsidR="0043168A" w:rsidRPr="000E2DE1" w:rsidRDefault="0043168A" w:rsidP="000E2DE1">
            <w:pPr>
              <w:pStyle w:val="CommentText"/>
              <w:rPr>
                <w:rFonts w:ascii="Verdana" w:hAnsi="Verdana"/>
              </w:rPr>
            </w:pPr>
            <w:r>
              <w:rPr>
                <w:rFonts w:ascii="Verdana" w:hAnsi="Verdana"/>
              </w:rPr>
              <w:t xml:space="preserve">A blind </w:t>
            </w:r>
            <w:r w:rsidRPr="00415BF7">
              <w:rPr>
                <w:rFonts w:ascii="Verdana" w:hAnsi="Verdana"/>
              </w:rPr>
              <w:t xml:space="preserve">Local Council </w:t>
            </w:r>
            <w:r>
              <w:rPr>
                <w:rFonts w:ascii="Verdana" w:hAnsi="Verdana"/>
              </w:rPr>
              <w:t>member will stand as a candidate for</w:t>
            </w:r>
            <w:r w:rsidRPr="00415BF7">
              <w:rPr>
                <w:rFonts w:ascii="Verdana" w:hAnsi="Verdana"/>
              </w:rPr>
              <w:t xml:space="preserve"> the forthcoming European Parliament elections.</w:t>
            </w:r>
          </w:p>
        </w:tc>
      </w:tr>
      <w:tr w:rsidR="0043168A" w:rsidRPr="00415BF7" w14:paraId="0B363491" w14:textId="77777777" w:rsidTr="0043168A">
        <w:trPr>
          <w:trHeight w:val="454"/>
        </w:trPr>
        <w:tc>
          <w:tcPr>
            <w:tcW w:w="1638" w:type="pct"/>
            <w:shd w:val="clear" w:color="auto" w:fill="auto"/>
            <w:vAlign w:val="center"/>
          </w:tcPr>
          <w:p w14:paraId="0A9D2A27" w14:textId="6EC5254E" w:rsidR="0043168A" w:rsidRPr="00415BF7" w:rsidRDefault="0043168A" w:rsidP="00415BF7">
            <w:pPr>
              <w:spacing w:before="240"/>
              <w:contextualSpacing/>
              <w:rPr>
                <w:rFonts w:ascii="Verdana" w:hAnsi="Verdana"/>
                <w:sz w:val="20"/>
                <w:szCs w:val="20"/>
                <w:lang w:val="en-GB"/>
              </w:rPr>
            </w:pPr>
            <w:r w:rsidRPr="00415BF7">
              <w:rPr>
                <w:rFonts w:ascii="Verdana" w:hAnsi="Verdana"/>
                <w:sz w:val="20"/>
                <w:szCs w:val="20"/>
                <w:lang w:val="en-GB"/>
              </w:rPr>
              <w:t xml:space="preserve">What proportion of polling stations is accessible for persons with disabilities? Please indicate whether polling stations are accessible for all persons with disabilities or for particular impairment groups e.g. persons with visual, hearing, physical </w:t>
            </w:r>
            <w:r w:rsidRPr="00415BF7">
              <w:rPr>
                <w:rFonts w:ascii="Verdana" w:hAnsi="Verdana"/>
                <w:sz w:val="20"/>
                <w:szCs w:val="20"/>
                <w:lang w:val="en-GB"/>
              </w:rPr>
              <w:lastRenderedPageBreak/>
              <w:t>impairments etc</w:t>
            </w:r>
            <w:r>
              <w:rPr>
                <w:rFonts w:ascii="Verdana" w:hAnsi="Verdana"/>
                <w:sz w:val="20"/>
                <w:szCs w:val="20"/>
                <w:lang w:val="en-GB"/>
              </w:rPr>
              <w:t>.</w:t>
            </w:r>
            <w:r w:rsidRPr="00415BF7">
              <w:rPr>
                <w:rFonts w:ascii="Verdana" w:hAnsi="Verdana"/>
                <w:sz w:val="20"/>
                <w:szCs w:val="20"/>
                <w:lang w:val="en-GB"/>
              </w:rPr>
              <w:t>)</w:t>
            </w:r>
          </w:p>
        </w:tc>
        <w:tc>
          <w:tcPr>
            <w:tcW w:w="3362" w:type="pct"/>
            <w:vAlign w:val="center"/>
          </w:tcPr>
          <w:p w14:paraId="68335ED9" w14:textId="174FCF36" w:rsidR="0043168A" w:rsidRPr="00415BF7" w:rsidRDefault="0043168A" w:rsidP="00415BF7">
            <w:pPr>
              <w:pStyle w:val="CommentText"/>
              <w:rPr>
                <w:rFonts w:ascii="Verdana" w:hAnsi="Verdana"/>
              </w:rPr>
            </w:pPr>
            <w:r w:rsidRPr="00415BF7">
              <w:rPr>
                <w:rFonts w:ascii="Verdana" w:hAnsi="Verdana"/>
              </w:rPr>
              <w:lastRenderedPageBreak/>
              <w:t>During elections</w:t>
            </w:r>
            <w:r w:rsidRPr="00415BF7">
              <w:rPr>
                <w:rFonts w:ascii="Verdana" w:hAnsi="Verdana"/>
                <w:lang w:val="mt-MT"/>
              </w:rPr>
              <w:t xml:space="preserve">, </w:t>
            </w:r>
            <w:r w:rsidRPr="00415BF7">
              <w:rPr>
                <w:rFonts w:ascii="Verdana" w:hAnsi="Verdana"/>
              </w:rPr>
              <w:t xml:space="preserve">all buildings that are used as polling stations </w:t>
            </w:r>
            <w:r w:rsidRPr="00415BF7">
              <w:rPr>
                <w:rFonts w:ascii="Verdana" w:hAnsi="Verdana"/>
                <w:lang w:val="mt-MT"/>
              </w:rPr>
              <w:t xml:space="preserve">and </w:t>
            </w:r>
            <w:r w:rsidRPr="00415BF7">
              <w:rPr>
                <w:rFonts w:ascii="Verdana" w:hAnsi="Verdana"/>
              </w:rPr>
              <w:t xml:space="preserve">that may not be accessible to all are adapted for physical access using ramps and </w:t>
            </w:r>
            <w:r w:rsidRPr="00415BF7">
              <w:rPr>
                <w:rFonts w:ascii="Verdana" w:hAnsi="Verdana"/>
                <w:lang w:val="mt-MT"/>
              </w:rPr>
              <w:t>other means</w:t>
            </w:r>
            <w:r w:rsidRPr="00415BF7">
              <w:rPr>
                <w:rFonts w:ascii="Verdana" w:hAnsi="Verdana"/>
              </w:rPr>
              <w:t>. However, persons with certain physical impairments are not given the right to vote in secret and must use the assistance of the assistant commissioners.</w:t>
            </w:r>
          </w:p>
          <w:p w14:paraId="15CA9C80" w14:textId="77777777" w:rsidR="0043168A" w:rsidRPr="00415BF7" w:rsidRDefault="0043168A" w:rsidP="00415BF7">
            <w:pPr>
              <w:spacing w:after="0" w:line="240" w:lineRule="auto"/>
              <w:rPr>
                <w:rFonts w:ascii="Verdana" w:hAnsi="Verdana"/>
                <w:sz w:val="20"/>
                <w:szCs w:val="20"/>
              </w:rPr>
            </w:pPr>
          </w:p>
          <w:p w14:paraId="18E2A309" w14:textId="5ED9402A" w:rsidR="0043168A" w:rsidRPr="00415BF7" w:rsidRDefault="0043168A" w:rsidP="00415BF7">
            <w:pPr>
              <w:spacing w:after="0" w:line="240" w:lineRule="auto"/>
              <w:rPr>
                <w:rFonts w:ascii="Verdana" w:hAnsi="Verdana"/>
                <w:sz w:val="20"/>
                <w:szCs w:val="20"/>
              </w:rPr>
            </w:pPr>
            <w:r w:rsidRPr="00415BF7">
              <w:rPr>
                <w:rFonts w:ascii="Verdana" w:hAnsi="Verdana"/>
                <w:sz w:val="20"/>
                <w:szCs w:val="20"/>
              </w:rPr>
              <w:t>Although blind people have the option of using a Braille template and playback listening device, not all blind people can use the template. No provision of sign language assistance is provided at polling stations.</w:t>
            </w:r>
            <w:r w:rsidRPr="00415BF7">
              <w:rPr>
                <w:rStyle w:val="FootnoteReference"/>
                <w:rFonts w:ascii="Verdana" w:hAnsi="Verdana"/>
                <w:sz w:val="20"/>
                <w:szCs w:val="20"/>
              </w:rPr>
              <w:footnoteReference w:id="41"/>
            </w:r>
            <w:r w:rsidRPr="00415BF7">
              <w:rPr>
                <w:rFonts w:ascii="Verdana" w:hAnsi="Verdana"/>
                <w:sz w:val="20"/>
                <w:szCs w:val="20"/>
              </w:rPr>
              <w:t xml:space="preserve"> </w:t>
            </w:r>
          </w:p>
          <w:p w14:paraId="49953D27" w14:textId="77777777" w:rsidR="0043168A" w:rsidRPr="00415BF7" w:rsidRDefault="0043168A" w:rsidP="00415BF7">
            <w:pPr>
              <w:spacing w:after="0" w:line="240" w:lineRule="auto"/>
              <w:rPr>
                <w:rFonts w:ascii="Verdana" w:hAnsi="Verdana"/>
                <w:sz w:val="20"/>
                <w:szCs w:val="20"/>
              </w:rPr>
            </w:pPr>
          </w:p>
          <w:p w14:paraId="2D575A76" w14:textId="2C994F10" w:rsidR="0043168A" w:rsidRPr="000E2DE1" w:rsidRDefault="0043168A" w:rsidP="000E2DE1">
            <w:pPr>
              <w:pStyle w:val="CommentText"/>
              <w:rPr>
                <w:rFonts w:ascii="Verdana" w:hAnsi="Verdana"/>
              </w:rPr>
            </w:pPr>
            <w:r w:rsidRPr="00415BF7">
              <w:rPr>
                <w:rFonts w:ascii="Verdana" w:hAnsi="Verdana"/>
              </w:rPr>
              <w:t>The Election Commission and KNPD confirmed that there is no statistical data available.</w:t>
            </w:r>
          </w:p>
        </w:tc>
      </w:tr>
      <w:tr w:rsidR="0043168A" w:rsidRPr="00415BF7" w14:paraId="23354742" w14:textId="77777777" w:rsidTr="0043168A">
        <w:trPr>
          <w:trHeight w:val="454"/>
        </w:trPr>
        <w:tc>
          <w:tcPr>
            <w:tcW w:w="1638" w:type="pct"/>
            <w:shd w:val="clear" w:color="auto" w:fill="auto"/>
            <w:vAlign w:val="center"/>
          </w:tcPr>
          <w:p w14:paraId="303D5AF4" w14:textId="77777777" w:rsidR="0043168A" w:rsidRPr="00415BF7" w:rsidRDefault="0043168A" w:rsidP="00415BF7">
            <w:pPr>
              <w:spacing w:before="240"/>
              <w:contextualSpacing/>
              <w:rPr>
                <w:rFonts w:ascii="Verdana" w:hAnsi="Verdana"/>
                <w:sz w:val="20"/>
                <w:szCs w:val="20"/>
                <w:lang w:val="en-GB"/>
              </w:rPr>
            </w:pPr>
            <w:r w:rsidRPr="00415BF7">
              <w:rPr>
                <w:rFonts w:ascii="Verdana" w:hAnsi="Verdana"/>
                <w:sz w:val="20"/>
                <w:szCs w:val="20"/>
                <w:lang w:val="en-GB"/>
              </w:rPr>
              <w:lastRenderedPageBreak/>
              <w:t>Does the website to provide instructions for voting and information on candidates run by the ministry responsible for organising elections meet accessibility standards (e.g. equivalent to Web Content Accessibility Guidelines (WCAG) 2.0 AA standard)?</w:t>
            </w:r>
          </w:p>
        </w:tc>
        <w:tc>
          <w:tcPr>
            <w:tcW w:w="3362" w:type="pct"/>
            <w:vAlign w:val="center"/>
          </w:tcPr>
          <w:p w14:paraId="22D41336" w14:textId="77777777" w:rsidR="0043168A" w:rsidRPr="00415BF7" w:rsidRDefault="0043168A" w:rsidP="00415BF7">
            <w:pPr>
              <w:spacing w:before="240" w:after="0" w:line="240" w:lineRule="auto"/>
              <w:contextualSpacing/>
              <w:rPr>
                <w:rFonts w:ascii="Verdana" w:hAnsi="Verdana"/>
                <w:sz w:val="20"/>
                <w:szCs w:val="20"/>
                <w:lang w:val="en-GB"/>
              </w:rPr>
            </w:pPr>
            <w:r w:rsidRPr="00415BF7">
              <w:rPr>
                <w:rFonts w:ascii="Verdana" w:hAnsi="Verdana"/>
                <w:sz w:val="20"/>
                <w:szCs w:val="20"/>
                <w:lang w:val="en-GB"/>
              </w:rPr>
              <w:t>The Electoral Commission and the main political parties all manage websites providing instructions to voters. During the March 2013 general elections no complaints were received regarding the inaccessibility of any of these websites.</w:t>
            </w:r>
            <w:r w:rsidRPr="00415BF7">
              <w:rPr>
                <w:rStyle w:val="FootnoteReference"/>
                <w:rFonts w:ascii="Verdana" w:hAnsi="Verdana"/>
                <w:sz w:val="20"/>
                <w:szCs w:val="20"/>
                <w:lang w:val="en-GB"/>
              </w:rPr>
              <w:t xml:space="preserve"> </w:t>
            </w:r>
            <w:r w:rsidRPr="00415BF7">
              <w:rPr>
                <w:rStyle w:val="FootnoteReference"/>
                <w:rFonts w:ascii="Verdana" w:hAnsi="Verdana"/>
                <w:sz w:val="20"/>
                <w:szCs w:val="20"/>
                <w:lang w:val="en-GB"/>
              </w:rPr>
              <w:footnoteReference w:id="42"/>
            </w:r>
          </w:p>
          <w:p w14:paraId="3CF1CC3E" w14:textId="107AD85B" w:rsidR="0043168A" w:rsidRPr="000E2DE1" w:rsidRDefault="0043168A" w:rsidP="007A2947">
            <w:pPr>
              <w:spacing w:before="240" w:after="0" w:line="240" w:lineRule="auto"/>
              <w:contextualSpacing/>
              <w:rPr>
                <w:rFonts w:ascii="Verdana" w:hAnsi="Verdana"/>
                <w:sz w:val="20"/>
                <w:szCs w:val="20"/>
              </w:rPr>
            </w:pPr>
            <w:r w:rsidRPr="00415BF7">
              <w:rPr>
                <w:rFonts w:ascii="Verdana" w:hAnsi="Verdana"/>
                <w:sz w:val="20"/>
                <w:szCs w:val="20"/>
              </w:rPr>
              <w:t>The Malta Information Technology Accessibility (FITA), the Office in Charge of Web Accessibility Audits and ICT Training, replied that the Electoral Commission website “does not seem bad”, however a detailed accessibility audit report in order to assess whether it meet</w:t>
            </w:r>
            <w:r>
              <w:rPr>
                <w:rFonts w:ascii="Verdana" w:hAnsi="Verdana"/>
                <w:sz w:val="20"/>
                <w:szCs w:val="20"/>
              </w:rPr>
              <w:t xml:space="preserve">s </w:t>
            </w:r>
            <w:r w:rsidRPr="00415BF7">
              <w:rPr>
                <w:rFonts w:ascii="Verdana" w:hAnsi="Verdana"/>
                <w:sz w:val="20"/>
                <w:szCs w:val="20"/>
              </w:rPr>
              <w:t>the accessibility standards</w:t>
            </w:r>
            <w:r>
              <w:rPr>
                <w:rFonts w:ascii="Verdana" w:hAnsi="Verdana"/>
                <w:sz w:val="20"/>
                <w:szCs w:val="20"/>
              </w:rPr>
              <w:t xml:space="preserve"> is not available</w:t>
            </w:r>
            <w:r w:rsidRPr="00415BF7">
              <w:rPr>
                <w:rFonts w:ascii="Verdana" w:hAnsi="Verdana"/>
                <w:sz w:val="20"/>
                <w:szCs w:val="20"/>
              </w:rPr>
              <w:t>.</w:t>
            </w:r>
            <w:r>
              <w:rPr>
                <w:rFonts w:ascii="Verdana" w:hAnsi="Verdana"/>
                <w:sz w:val="20"/>
                <w:szCs w:val="20"/>
              </w:rPr>
              <w:t xml:space="preserve"> </w:t>
            </w:r>
            <w:r w:rsidRPr="00415BF7">
              <w:rPr>
                <w:rFonts w:ascii="Verdana" w:hAnsi="Verdana"/>
                <w:sz w:val="20"/>
                <w:szCs w:val="20"/>
              </w:rPr>
              <w:t>The same would apply for the websites of political parties.</w:t>
            </w:r>
          </w:p>
        </w:tc>
      </w:tr>
      <w:tr w:rsidR="0043168A" w:rsidRPr="00415BF7" w14:paraId="60949DD5" w14:textId="77777777" w:rsidTr="0043168A">
        <w:trPr>
          <w:trHeight w:val="454"/>
        </w:trPr>
        <w:tc>
          <w:tcPr>
            <w:tcW w:w="1638" w:type="pct"/>
            <w:shd w:val="clear" w:color="auto" w:fill="auto"/>
            <w:vAlign w:val="center"/>
          </w:tcPr>
          <w:p w14:paraId="42D9CCD6" w14:textId="77777777" w:rsidR="0043168A" w:rsidRPr="00415BF7" w:rsidRDefault="0043168A" w:rsidP="00415BF7">
            <w:pPr>
              <w:spacing w:before="240"/>
              <w:contextualSpacing/>
              <w:rPr>
                <w:rFonts w:ascii="Verdana" w:hAnsi="Verdana"/>
                <w:sz w:val="20"/>
                <w:szCs w:val="20"/>
                <w:lang w:val="en-GB"/>
              </w:rPr>
            </w:pPr>
            <w:r w:rsidRPr="00415BF7">
              <w:rPr>
                <w:rFonts w:ascii="Verdana" w:hAnsi="Verdana"/>
                <w:sz w:val="20"/>
                <w:szCs w:val="20"/>
                <w:lang w:val="en-GB"/>
              </w:rPr>
              <w:t>What proportion of main public and/or private television broadcasts providing instructions for voting and information on candidates has national language subtitles?</w:t>
            </w:r>
          </w:p>
        </w:tc>
        <w:tc>
          <w:tcPr>
            <w:tcW w:w="3362" w:type="pct"/>
          </w:tcPr>
          <w:p w14:paraId="2817EF8A" w14:textId="73A938B6" w:rsidR="0043168A" w:rsidRPr="00415BF7" w:rsidRDefault="0043168A" w:rsidP="00415BF7">
            <w:pPr>
              <w:spacing w:after="0" w:line="240" w:lineRule="auto"/>
              <w:rPr>
                <w:rFonts w:ascii="Verdana" w:hAnsi="Verdana"/>
                <w:sz w:val="20"/>
                <w:szCs w:val="20"/>
                <w:lang w:val="en-GB"/>
              </w:rPr>
            </w:pPr>
            <w:r w:rsidRPr="00415BF7">
              <w:rPr>
                <w:rFonts w:ascii="Verdana" w:hAnsi="Verdana"/>
                <w:sz w:val="20"/>
                <w:szCs w:val="20"/>
                <w:lang w:val="en-GB"/>
              </w:rPr>
              <w:t>All voting instruction and candidate information featured on Maltese television programmes in general made use of captions and subtitles including the graphical representation of the party’s emblem, the graphical depiction of the candidate concerned, and the name of the candidate.</w:t>
            </w:r>
            <w:r w:rsidRPr="00415BF7">
              <w:rPr>
                <w:rStyle w:val="FootnoteReference"/>
                <w:rFonts w:ascii="Verdana" w:hAnsi="Verdana"/>
                <w:sz w:val="20"/>
                <w:szCs w:val="20"/>
                <w:lang w:val="en-GB"/>
              </w:rPr>
              <w:footnoteReference w:id="43"/>
            </w:r>
            <w:r w:rsidRPr="00415BF7">
              <w:rPr>
                <w:rFonts w:ascii="Verdana" w:hAnsi="Verdana"/>
                <w:sz w:val="20"/>
                <w:szCs w:val="20"/>
                <w:lang w:val="en-GB"/>
              </w:rPr>
              <w:t xml:space="preserve"> Such representation by the different political parties concerned was in general made in proportion to parliamentary representation, the exception being for those parties who did not have any parliamentary representation but who were also contesting the general election being given an equal air-time</w:t>
            </w:r>
            <w:r>
              <w:rPr>
                <w:rFonts w:ascii="Verdana" w:hAnsi="Verdana"/>
                <w:sz w:val="20"/>
                <w:szCs w:val="20"/>
                <w:lang w:val="en-GB"/>
              </w:rPr>
              <w:t>.</w:t>
            </w:r>
            <w:r>
              <w:rPr>
                <w:rStyle w:val="FootnoteReference"/>
                <w:rFonts w:ascii="Verdana" w:hAnsi="Verdana"/>
                <w:sz w:val="20"/>
                <w:szCs w:val="20"/>
                <w:lang w:val="en-GB"/>
              </w:rPr>
              <w:footnoteReference w:id="44"/>
            </w:r>
            <w:r w:rsidRPr="00415BF7">
              <w:rPr>
                <w:rFonts w:ascii="Verdana" w:hAnsi="Verdana"/>
                <w:sz w:val="20"/>
                <w:szCs w:val="20"/>
                <w:lang w:val="en-GB"/>
              </w:rPr>
              <w:t xml:space="preserve"> [</w:t>
            </w:r>
          </w:p>
          <w:p w14:paraId="394D4D09" w14:textId="77777777" w:rsidR="0043168A" w:rsidRPr="00415BF7" w:rsidRDefault="0043168A" w:rsidP="00415BF7">
            <w:pPr>
              <w:spacing w:after="0" w:line="240" w:lineRule="auto"/>
              <w:rPr>
                <w:rFonts w:ascii="Verdana" w:hAnsi="Verdana"/>
                <w:sz w:val="20"/>
                <w:szCs w:val="20"/>
                <w:lang w:val="en-GB"/>
              </w:rPr>
            </w:pPr>
          </w:p>
          <w:p w14:paraId="65912C2E" w14:textId="77777777" w:rsidR="0043168A" w:rsidRPr="00415BF7" w:rsidRDefault="0043168A" w:rsidP="00415BF7">
            <w:pPr>
              <w:spacing w:after="0" w:line="240" w:lineRule="auto"/>
              <w:rPr>
                <w:rFonts w:ascii="Verdana" w:hAnsi="Verdana"/>
                <w:sz w:val="20"/>
                <w:szCs w:val="20"/>
                <w:lang w:val="en-GB"/>
              </w:rPr>
            </w:pPr>
            <w:r w:rsidRPr="00415BF7">
              <w:rPr>
                <w:rFonts w:ascii="Verdana" w:hAnsi="Verdana"/>
                <w:sz w:val="20"/>
                <w:szCs w:val="20"/>
                <w:lang w:val="en-GB"/>
              </w:rPr>
              <w:t>Information slots providing voting instructions on certain political party television stations, such as One TV, did not have sign language interpretation</w:t>
            </w:r>
            <w:r w:rsidRPr="00415BF7">
              <w:rPr>
                <w:rStyle w:val="FootnoteReference"/>
                <w:rFonts w:ascii="Verdana" w:hAnsi="Verdana"/>
                <w:sz w:val="20"/>
                <w:szCs w:val="20"/>
                <w:lang w:val="en-GB"/>
              </w:rPr>
              <w:footnoteReference w:id="45"/>
            </w:r>
            <w:r w:rsidRPr="00415BF7">
              <w:rPr>
                <w:rFonts w:ascii="Verdana" w:hAnsi="Verdana"/>
                <w:sz w:val="20"/>
                <w:szCs w:val="20"/>
                <w:lang w:val="en-GB"/>
              </w:rPr>
              <w:t>.</w:t>
            </w:r>
          </w:p>
          <w:p w14:paraId="0D58DFB8" w14:textId="77777777" w:rsidR="0043168A" w:rsidRPr="00415BF7" w:rsidRDefault="0043168A" w:rsidP="00415BF7">
            <w:pPr>
              <w:spacing w:after="0" w:line="240" w:lineRule="auto"/>
              <w:rPr>
                <w:rFonts w:ascii="Verdana" w:hAnsi="Verdana"/>
                <w:sz w:val="20"/>
                <w:szCs w:val="20"/>
                <w:lang w:val="en-GB"/>
              </w:rPr>
            </w:pPr>
          </w:p>
          <w:p w14:paraId="258B44C0" w14:textId="77777777" w:rsidR="0043168A" w:rsidRPr="00415BF7" w:rsidRDefault="0043168A" w:rsidP="00415BF7">
            <w:pPr>
              <w:spacing w:after="0" w:line="240" w:lineRule="auto"/>
              <w:rPr>
                <w:rFonts w:ascii="Verdana" w:hAnsi="Verdana"/>
                <w:sz w:val="20"/>
                <w:szCs w:val="20"/>
                <w:lang w:val="en-GB"/>
              </w:rPr>
            </w:pPr>
            <w:r w:rsidRPr="00415BF7">
              <w:rPr>
                <w:rFonts w:ascii="Verdana" w:hAnsi="Verdana"/>
                <w:sz w:val="20"/>
                <w:szCs w:val="20"/>
                <w:lang w:val="en-GB"/>
              </w:rPr>
              <w:t>There is not data regarding the proportion of airtime instructions for voting and information on candidates as compared to total broadcasting schedules for the election campaign period.</w:t>
            </w:r>
            <w:r w:rsidRPr="00415BF7">
              <w:rPr>
                <w:rStyle w:val="FootnoteReference"/>
                <w:rFonts w:ascii="Verdana" w:hAnsi="Verdana"/>
                <w:sz w:val="20"/>
                <w:szCs w:val="20"/>
                <w:lang w:val="en-GB"/>
              </w:rPr>
              <w:footnoteReference w:id="46"/>
            </w:r>
          </w:p>
          <w:p w14:paraId="6AD94859" w14:textId="77777777" w:rsidR="0043168A" w:rsidRPr="00415BF7" w:rsidRDefault="0043168A" w:rsidP="00415BF7">
            <w:pPr>
              <w:spacing w:after="0" w:line="240" w:lineRule="auto"/>
              <w:rPr>
                <w:rFonts w:ascii="Verdana" w:hAnsi="Verdana"/>
                <w:sz w:val="20"/>
                <w:szCs w:val="20"/>
                <w:lang w:val="en-GB"/>
              </w:rPr>
            </w:pPr>
          </w:p>
          <w:p w14:paraId="2CB96CED" w14:textId="3DF1A01E" w:rsidR="0043168A" w:rsidRPr="00415BF7" w:rsidRDefault="0043168A" w:rsidP="00415BF7">
            <w:pPr>
              <w:spacing w:after="0" w:line="240" w:lineRule="auto"/>
              <w:rPr>
                <w:rFonts w:ascii="Verdana" w:hAnsi="Verdana"/>
                <w:sz w:val="20"/>
                <w:szCs w:val="20"/>
              </w:rPr>
            </w:pPr>
            <w:r w:rsidRPr="00415BF7">
              <w:rPr>
                <w:rFonts w:ascii="Verdana" w:hAnsi="Verdana"/>
                <w:sz w:val="20"/>
                <w:szCs w:val="20"/>
              </w:rPr>
              <w:t>The use of subtitling in television news and current affairs programmes is not the norm in Malta; as such broadcasts generally are direct broadcasts.  However, crawls</w:t>
            </w:r>
            <w:r>
              <w:rPr>
                <w:rFonts w:ascii="Verdana" w:hAnsi="Verdana"/>
                <w:sz w:val="20"/>
                <w:szCs w:val="20"/>
              </w:rPr>
              <w:t xml:space="preserve"> (text inserts)</w:t>
            </w:r>
            <w:r w:rsidRPr="00415BF7">
              <w:rPr>
                <w:rFonts w:ascii="Verdana" w:hAnsi="Verdana"/>
                <w:sz w:val="20"/>
                <w:szCs w:val="20"/>
              </w:rPr>
              <w:t xml:space="preserve"> </w:t>
            </w:r>
            <w:r w:rsidRPr="00415BF7">
              <w:rPr>
                <w:rFonts w:ascii="Verdana" w:hAnsi="Verdana"/>
                <w:sz w:val="20"/>
                <w:szCs w:val="20"/>
              </w:rPr>
              <w:lastRenderedPageBreak/>
              <w:t>and captions are always present at the bottom of the screen in main news bulletins depicting the main news items</w:t>
            </w:r>
            <w:r w:rsidRPr="00415BF7">
              <w:rPr>
                <w:rStyle w:val="FootnoteReference"/>
                <w:rFonts w:ascii="Verdana" w:hAnsi="Verdana"/>
                <w:sz w:val="20"/>
                <w:szCs w:val="20"/>
              </w:rPr>
              <w:footnoteReference w:id="47"/>
            </w:r>
            <w:r w:rsidRPr="00415BF7">
              <w:rPr>
                <w:rFonts w:ascii="Verdana" w:hAnsi="Verdana"/>
                <w:sz w:val="20"/>
                <w:szCs w:val="20"/>
              </w:rPr>
              <w:t>.</w:t>
            </w:r>
          </w:p>
        </w:tc>
      </w:tr>
      <w:tr w:rsidR="0043168A" w:rsidRPr="00415BF7" w14:paraId="48D0FE18" w14:textId="77777777" w:rsidTr="0043168A">
        <w:trPr>
          <w:trHeight w:val="454"/>
        </w:trPr>
        <w:tc>
          <w:tcPr>
            <w:tcW w:w="1638" w:type="pct"/>
            <w:shd w:val="clear" w:color="auto" w:fill="auto"/>
            <w:vAlign w:val="center"/>
          </w:tcPr>
          <w:p w14:paraId="50851CA0" w14:textId="77777777" w:rsidR="0043168A" w:rsidRPr="00415BF7" w:rsidRDefault="0043168A" w:rsidP="00415BF7">
            <w:pPr>
              <w:spacing w:before="240"/>
              <w:contextualSpacing/>
              <w:rPr>
                <w:rFonts w:ascii="Verdana" w:hAnsi="Verdana"/>
                <w:sz w:val="20"/>
                <w:szCs w:val="20"/>
                <w:lang w:val="en-GB"/>
              </w:rPr>
            </w:pPr>
            <w:r w:rsidRPr="00415BF7">
              <w:rPr>
                <w:rFonts w:ascii="Verdana" w:hAnsi="Verdana"/>
                <w:sz w:val="20"/>
                <w:szCs w:val="20"/>
                <w:lang w:val="en-GB"/>
              </w:rPr>
              <w:lastRenderedPageBreak/>
              <w:t>What proportion of main public and/or private television broadcasts providing instructions for voting and information on candidates has audio description?</w:t>
            </w:r>
          </w:p>
        </w:tc>
        <w:tc>
          <w:tcPr>
            <w:tcW w:w="3362" w:type="pct"/>
          </w:tcPr>
          <w:p w14:paraId="52414AD3" w14:textId="77777777" w:rsidR="0043168A" w:rsidRPr="00415BF7" w:rsidRDefault="0043168A" w:rsidP="00415BF7">
            <w:pPr>
              <w:spacing w:after="0" w:line="240" w:lineRule="auto"/>
              <w:rPr>
                <w:rFonts w:ascii="Verdana" w:hAnsi="Verdana"/>
                <w:sz w:val="20"/>
                <w:szCs w:val="20"/>
                <w:lang w:val="en-GB"/>
              </w:rPr>
            </w:pPr>
            <w:r w:rsidRPr="00415BF7">
              <w:rPr>
                <w:rFonts w:ascii="Verdana" w:hAnsi="Verdana"/>
                <w:sz w:val="20"/>
                <w:szCs w:val="20"/>
                <w:lang w:val="en-GB"/>
              </w:rPr>
              <w:t>None.</w:t>
            </w:r>
            <w:r w:rsidRPr="00415BF7">
              <w:rPr>
                <w:rStyle w:val="FootnoteReference"/>
                <w:rFonts w:ascii="Verdana" w:hAnsi="Verdana"/>
                <w:sz w:val="20"/>
                <w:szCs w:val="20"/>
                <w:lang w:val="en-GB"/>
              </w:rPr>
              <w:footnoteReference w:id="48"/>
            </w:r>
          </w:p>
          <w:p w14:paraId="2DE04F54" w14:textId="77777777" w:rsidR="0043168A" w:rsidRPr="00415BF7" w:rsidRDefault="0043168A" w:rsidP="00415BF7">
            <w:pPr>
              <w:pStyle w:val="CommentText"/>
              <w:rPr>
                <w:rFonts w:ascii="Verdana" w:hAnsi="Verdana"/>
              </w:rPr>
            </w:pPr>
            <w:r w:rsidRPr="00415BF7">
              <w:rPr>
                <w:rFonts w:ascii="Verdana" w:hAnsi="Verdana"/>
              </w:rPr>
              <w:t xml:space="preserve">We consulted with the KNPD and they confirmed no data is available in relation to the proportion of television broadcasts. </w:t>
            </w:r>
          </w:p>
          <w:p w14:paraId="115018B8" w14:textId="77777777" w:rsidR="0043168A" w:rsidRPr="00415BF7" w:rsidRDefault="0043168A" w:rsidP="00415BF7">
            <w:pPr>
              <w:spacing w:after="0" w:line="240" w:lineRule="auto"/>
              <w:rPr>
                <w:rFonts w:ascii="Verdana" w:hAnsi="Verdana"/>
                <w:sz w:val="20"/>
                <w:szCs w:val="20"/>
              </w:rPr>
            </w:pPr>
            <w:r w:rsidRPr="00415BF7">
              <w:rPr>
                <w:rFonts w:ascii="Verdana" w:hAnsi="Verdana"/>
                <w:sz w:val="20"/>
                <w:szCs w:val="20"/>
              </w:rPr>
              <w:t xml:space="preserve">News and current affairs programmes do not use audio description.  </w:t>
            </w:r>
          </w:p>
        </w:tc>
      </w:tr>
      <w:tr w:rsidR="0043168A" w:rsidRPr="00415BF7" w14:paraId="6315D740" w14:textId="77777777" w:rsidTr="0043168A">
        <w:trPr>
          <w:trHeight w:val="454"/>
        </w:trPr>
        <w:tc>
          <w:tcPr>
            <w:tcW w:w="1638" w:type="pct"/>
            <w:shd w:val="clear" w:color="auto" w:fill="auto"/>
            <w:vAlign w:val="center"/>
          </w:tcPr>
          <w:p w14:paraId="5C098795" w14:textId="77777777" w:rsidR="0043168A" w:rsidRPr="00415BF7" w:rsidRDefault="0043168A" w:rsidP="00415BF7">
            <w:pPr>
              <w:spacing w:before="240"/>
              <w:contextualSpacing/>
              <w:rPr>
                <w:rFonts w:ascii="Verdana" w:hAnsi="Verdana"/>
                <w:sz w:val="20"/>
                <w:szCs w:val="20"/>
                <w:lang w:val="en-GB"/>
              </w:rPr>
            </w:pPr>
            <w:r w:rsidRPr="00415BF7">
              <w:rPr>
                <w:rFonts w:ascii="Verdana" w:hAnsi="Verdana"/>
                <w:sz w:val="20"/>
                <w:szCs w:val="20"/>
                <w:lang w:val="en-GB"/>
              </w:rPr>
              <w:t>What proportion of main public and/or private television broadcasts providing instructions for voting and information on candidates has sign language interpretation?</w:t>
            </w:r>
          </w:p>
        </w:tc>
        <w:tc>
          <w:tcPr>
            <w:tcW w:w="3362" w:type="pct"/>
          </w:tcPr>
          <w:p w14:paraId="38A46789" w14:textId="77777777" w:rsidR="0043168A" w:rsidRPr="00415BF7" w:rsidRDefault="0043168A" w:rsidP="00415BF7">
            <w:pPr>
              <w:spacing w:after="0" w:line="240" w:lineRule="auto"/>
              <w:rPr>
                <w:rFonts w:ascii="Verdana" w:hAnsi="Verdana"/>
                <w:sz w:val="20"/>
                <w:szCs w:val="20"/>
                <w:lang w:val="en-GB"/>
              </w:rPr>
            </w:pPr>
            <w:r w:rsidRPr="00415BF7">
              <w:rPr>
                <w:rFonts w:ascii="Verdana" w:hAnsi="Verdana"/>
                <w:sz w:val="20"/>
                <w:szCs w:val="20"/>
                <w:lang w:val="en-GB"/>
              </w:rPr>
              <w:t xml:space="preserve">Broadcasts and rallies by the two major political parties (the only parties represented in Parliament) included Maltese sign language interpretation during the last general election held in 2013. </w:t>
            </w:r>
          </w:p>
          <w:p w14:paraId="1624D634" w14:textId="77777777" w:rsidR="0043168A" w:rsidRPr="00415BF7" w:rsidRDefault="0043168A" w:rsidP="00415BF7">
            <w:pPr>
              <w:spacing w:after="0" w:line="240" w:lineRule="auto"/>
              <w:rPr>
                <w:rFonts w:ascii="Verdana" w:hAnsi="Verdana"/>
                <w:sz w:val="20"/>
                <w:szCs w:val="20"/>
                <w:lang w:val="en-GB"/>
              </w:rPr>
            </w:pPr>
          </w:p>
          <w:p w14:paraId="1E3A3DCB" w14:textId="77777777" w:rsidR="0043168A" w:rsidRPr="00415BF7" w:rsidRDefault="0043168A" w:rsidP="00415BF7">
            <w:pPr>
              <w:spacing w:after="0" w:line="240" w:lineRule="auto"/>
              <w:rPr>
                <w:rFonts w:ascii="Verdana" w:hAnsi="Verdana"/>
                <w:sz w:val="20"/>
                <w:szCs w:val="20"/>
                <w:lang w:val="en-GB"/>
              </w:rPr>
            </w:pPr>
            <w:r w:rsidRPr="00415BF7">
              <w:rPr>
                <w:rFonts w:ascii="Verdana" w:hAnsi="Verdana"/>
                <w:sz w:val="20"/>
                <w:szCs w:val="20"/>
                <w:lang w:val="en-GB"/>
              </w:rPr>
              <w:t xml:space="preserve">Election related programmes produced by the Broadcasting Authority on the national television station also included this interpretation. </w:t>
            </w:r>
            <w:r w:rsidRPr="00415BF7">
              <w:rPr>
                <w:rStyle w:val="FootnoteReference"/>
                <w:rFonts w:ascii="Verdana" w:hAnsi="Verdana"/>
                <w:sz w:val="20"/>
                <w:szCs w:val="20"/>
                <w:lang w:val="en-GB"/>
              </w:rPr>
              <w:footnoteReference w:id="49"/>
            </w:r>
            <w:r w:rsidRPr="00415BF7">
              <w:rPr>
                <w:rFonts w:ascii="Verdana" w:hAnsi="Verdana"/>
                <w:sz w:val="20"/>
                <w:szCs w:val="20"/>
                <w:lang w:val="en-GB"/>
              </w:rPr>
              <w:t xml:space="preserve"> Other political programmes aired on political-party stations [ONE, and Net TV] - with the approval of the Broadcasting Authority] were broadcast with and without sign language interpretation at the discretion of each station [see </w:t>
            </w:r>
            <w:hyperlink r:id="rId16" w:history="1">
              <w:r w:rsidRPr="00415BF7">
                <w:rPr>
                  <w:rStyle w:val="Hyperlink"/>
                  <w:rFonts w:ascii="Verdana" w:hAnsi="Verdana"/>
                  <w:sz w:val="20"/>
                  <w:szCs w:val="20"/>
                  <w:lang w:val="en-GB"/>
                </w:rPr>
                <w:t>http://www.ba-malta.org/prdetails?id=247</w:t>
              </w:r>
            </w:hyperlink>
            <w:r w:rsidRPr="00415BF7">
              <w:rPr>
                <w:rFonts w:ascii="Verdana" w:hAnsi="Verdana"/>
                <w:sz w:val="20"/>
                <w:szCs w:val="20"/>
                <w:lang w:val="en-GB"/>
              </w:rPr>
              <w:t xml:space="preserve">]. </w:t>
            </w:r>
            <w:r w:rsidRPr="00415BF7">
              <w:rPr>
                <w:rStyle w:val="FootnoteReference"/>
                <w:rFonts w:ascii="Verdana" w:hAnsi="Verdana"/>
                <w:sz w:val="20"/>
                <w:szCs w:val="20"/>
                <w:lang w:val="en-GB"/>
              </w:rPr>
              <w:footnoteReference w:id="50"/>
            </w:r>
            <w:r w:rsidRPr="00415BF7">
              <w:rPr>
                <w:rFonts w:ascii="Verdana" w:hAnsi="Verdana"/>
                <w:sz w:val="20"/>
                <w:szCs w:val="20"/>
                <w:lang w:val="en-GB"/>
              </w:rPr>
              <w:t xml:space="preserve"> </w:t>
            </w:r>
          </w:p>
          <w:p w14:paraId="3B61515D" w14:textId="77777777" w:rsidR="0043168A" w:rsidRPr="00415BF7" w:rsidRDefault="0043168A" w:rsidP="00415BF7">
            <w:pPr>
              <w:spacing w:after="0" w:line="240" w:lineRule="auto"/>
              <w:rPr>
                <w:rFonts w:ascii="Verdana" w:hAnsi="Verdana"/>
                <w:sz w:val="20"/>
                <w:szCs w:val="20"/>
                <w:lang w:val="en-GB"/>
              </w:rPr>
            </w:pPr>
          </w:p>
          <w:p w14:paraId="1F7B349A" w14:textId="77777777" w:rsidR="0043168A" w:rsidRPr="00415BF7" w:rsidRDefault="0043168A" w:rsidP="00415BF7">
            <w:pPr>
              <w:spacing w:after="0" w:line="240" w:lineRule="auto"/>
              <w:rPr>
                <w:rFonts w:ascii="Verdana" w:hAnsi="Verdana"/>
                <w:sz w:val="20"/>
                <w:szCs w:val="20"/>
              </w:rPr>
            </w:pPr>
            <w:r w:rsidRPr="00415BF7">
              <w:rPr>
                <w:rFonts w:ascii="Verdana" w:hAnsi="Verdana"/>
                <w:sz w:val="20"/>
                <w:szCs w:val="20"/>
              </w:rPr>
              <w:t>The programmes included Maltese sign language and not subtitles.</w:t>
            </w:r>
          </w:p>
          <w:p w14:paraId="549DCD4A" w14:textId="77777777" w:rsidR="0043168A" w:rsidRPr="00415BF7" w:rsidRDefault="0043168A" w:rsidP="00415BF7">
            <w:pPr>
              <w:spacing w:after="0" w:line="240" w:lineRule="auto"/>
              <w:rPr>
                <w:rFonts w:ascii="Verdana" w:hAnsi="Verdana"/>
                <w:sz w:val="20"/>
                <w:szCs w:val="20"/>
              </w:rPr>
            </w:pPr>
          </w:p>
          <w:p w14:paraId="44D96573" w14:textId="77777777" w:rsidR="0043168A" w:rsidRPr="00415BF7" w:rsidRDefault="0043168A" w:rsidP="00415BF7">
            <w:pPr>
              <w:spacing w:after="0" w:line="240" w:lineRule="auto"/>
              <w:rPr>
                <w:rFonts w:ascii="Verdana" w:hAnsi="Verdana"/>
                <w:sz w:val="20"/>
                <w:szCs w:val="20"/>
              </w:rPr>
            </w:pPr>
            <w:r w:rsidRPr="00415BF7">
              <w:rPr>
                <w:rFonts w:ascii="Verdana" w:hAnsi="Verdana"/>
                <w:sz w:val="20"/>
                <w:szCs w:val="20"/>
              </w:rPr>
              <w:t>There is no data relating to proportionality ratings of total sign-language interpretation airtime as compared to total broadcasting airtime</w:t>
            </w:r>
            <w:r w:rsidRPr="00415BF7">
              <w:rPr>
                <w:rStyle w:val="FootnoteReference"/>
                <w:rFonts w:ascii="Verdana" w:hAnsi="Verdana"/>
                <w:sz w:val="20"/>
                <w:szCs w:val="20"/>
              </w:rPr>
              <w:footnoteReference w:id="51"/>
            </w:r>
            <w:r w:rsidRPr="00415BF7">
              <w:rPr>
                <w:rFonts w:ascii="Verdana" w:hAnsi="Verdana"/>
                <w:sz w:val="20"/>
                <w:szCs w:val="20"/>
              </w:rPr>
              <w:t>.</w:t>
            </w:r>
          </w:p>
        </w:tc>
      </w:tr>
      <w:tr w:rsidR="0043168A" w:rsidRPr="00415BF7" w14:paraId="2F981DDC" w14:textId="77777777" w:rsidTr="0043168A">
        <w:trPr>
          <w:trHeight w:val="454"/>
        </w:trPr>
        <w:tc>
          <w:tcPr>
            <w:tcW w:w="1638" w:type="pct"/>
            <w:shd w:val="clear" w:color="auto" w:fill="auto"/>
            <w:vAlign w:val="center"/>
          </w:tcPr>
          <w:p w14:paraId="1C81F8A9" w14:textId="77777777" w:rsidR="0043168A" w:rsidRPr="00415BF7" w:rsidRDefault="0043168A" w:rsidP="00415BF7">
            <w:pPr>
              <w:spacing w:before="240"/>
              <w:contextualSpacing/>
              <w:rPr>
                <w:rFonts w:ascii="Verdana" w:hAnsi="Verdana"/>
                <w:sz w:val="20"/>
                <w:szCs w:val="20"/>
                <w:lang w:val="en-GB"/>
              </w:rPr>
            </w:pPr>
            <w:r w:rsidRPr="00415BF7">
              <w:rPr>
                <w:rFonts w:ascii="Verdana" w:hAnsi="Verdana"/>
                <w:sz w:val="20"/>
                <w:szCs w:val="20"/>
                <w:lang w:val="en-GB"/>
              </w:rPr>
              <w:t>How many political parties, out of the total who participated in the most recent European Parliament and municipal elections, made their manifesto/campaign material accessible to persons with disabilities (e.g. large print, braille, easy-to-read, audio versions etc)?</w:t>
            </w:r>
          </w:p>
        </w:tc>
        <w:tc>
          <w:tcPr>
            <w:tcW w:w="3362" w:type="pct"/>
          </w:tcPr>
          <w:p w14:paraId="7C72E281" w14:textId="77777777" w:rsidR="0043168A" w:rsidRPr="00415BF7" w:rsidRDefault="0043168A" w:rsidP="00415BF7">
            <w:pPr>
              <w:spacing w:after="0" w:line="240" w:lineRule="auto"/>
              <w:rPr>
                <w:rFonts w:ascii="Verdana" w:hAnsi="Verdana"/>
                <w:sz w:val="20"/>
                <w:szCs w:val="20"/>
                <w:lang w:val="en-GB"/>
              </w:rPr>
            </w:pPr>
            <w:r w:rsidRPr="00415BF7">
              <w:rPr>
                <w:rFonts w:ascii="Verdana" w:hAnsi="Verdana"/>
                <w:sz w:val="20"/>
                <w:szCs w:val="20"/>
                <w:lang w:val="en-GB"/>
              </w:rPr>
              <w:t>No specific statistics available.</w:t>
            </w:r>
            <w:r w:rsidRPr="00415BF7">
              <w:rPr>
                <w:rStyle w:val="FootnoteReference"/>
                <w:rFonts w:ascii="Verdana" w:hAnsi="Verdana"/>
                <w:sz w:val="20"/>
                <w:szCs w:val="20"/>
                <w:lang w:val="en-GB"/>
              </w:rPr>
              <w:footnoteReference w:id="52"/>
            </w:r>
          </w:p>
          <w:p w14:paraId="5E686FF7" w14:textId="77777777" w:rsidR="0043168A" w:rsidRPr="00415BF7" w:rsidRDefault="0043168A" w:rsidP="00415BF7">
            <w:pPr>
              <w:spacing w:after="0" w:line="240" w:lineRule="auto"/>
              <w:rPr>
                <w:rFonts w:ascii="Verdana" w:hAnsi="Verdana"/>
                <w:sz w:val="20"/>
                <w:szCs w:val="20"/>
                <w:lang w:val="en-GB"/>
              </w:rPr>
            </w:pPr>
          </w:p>
          <w:p w14:paraId="679C2F5E" w14:textId="77777777" w:rsidR="0043168A" w:rsidRPr="00415BF7" w:rsidRDefault="0043168A" w:rsidP="00415BF7">
            <w:pPr>
              <w:rPr>
                <w:rFonts w:ascii="Verdana" w:hAnsi="Verdana"/>
                <w:sz w:val="20"/>
                <w:szCs w:val="20"/>
                <w:lang w:val="en-GB"/>
              </w:rPr>
            </w:pPr>
            <w:r w:rsidRPr="00415BF7">
              <w:rPr>
                <w:rFonts w:ascii="Verdana" w:hAnsi="Verdana"/>
                <w:sz w:val="20"/>
                <w:szCs w:val="20"/>
                <w:lang w:val="en-GB"/>
              </w:rPr>
              <w:t xml:space="preserve">However, broadcasts and rallies by the two major political parties (the only parties represented in Parliament) included Maltese sign language interpretation during the last general election held in 2013.  </w:t>
            </w:r>
          </w:p>
          <w:p w14:paraId="6DD224C7" w14:textId="2EEA0EB4" w:rsidR="0043168A" w:rsidRPr="00415BF7" w:rsidRDefault="0043168A" w:rsidP="00415BF7">
            <w:pPr>
              <w:spacing w:after="0" w:line="240" w:lineRule="auto"/>
              <w:rPr>
                <w:rFonts w:ascii="Verdana" w:hAnsi="Verdana"/>
                <w:sz w:val="20"/>
                <w:szCs w:val="20"/>
                <w:lang w:val="en-GB"/>
              </w:rPr>
            </w:pPr>
            <w:r w:rsidRPr="00415BF7">
              <w:rPr>
                <w:rFonts w:ascii="Verdana" w:hAnsi="Verdana"/>
                <w:sz w:val="20"/>
                <w:szCs w:val="20"/>
                <w:lang w:val="en-GB"/>
              </w:rPr>
              <w:t>Some parties provide</w:t>
            </w:r>
            <w:r>
              <w:rPr>
                <w:rFonts w:ascii="Verdana" w:hAnsi="Verdana"/>
                <w:sz w:val="20"/>
                <w:szCs w:val="20"/>
                <w:lang w:val="en-GB"/>
              </w:rPr>
              <w:t>d</w:t>
            </w:r>
            <w:r w:rsidRPr="00415BF7">
              <w:rPr>
                <w:rFonts w:ascii="Verdana" w:hAnsi="Verdana"/>
                <w:sz w:val="20"/>
                <w:szCs w:val="20"/>
                <w:lang w:val="en-GB"/>
              </w:rPr>
              <w:t xml:space="preserve"> their manifesto in an audio version for the 2013 General Election (Alternattiva Demokratika – Green Party</w:t>
            </w:r>
            <w:r w:rsidRPr="00415BF7">
              <w:rPr>
                <w:rStyle w:val="FootnoteReference"/>
                <w:rFonts w:ascii="Verdana" w:hAnsi="Verdana"/>
                <w:sz w:val="20"/>
                <w:szCs w:val="20"/>
                <w:lang w:val="en-GB"/>
              </w:rPr>
              <w:footnoteReference w:id="53"/>
            </w:r>
            <w:r w:rsidRPr="00415BF7">
              <w:rPr>
                <w:rFonts w:ascii="Verdana" w:hAnsi="Verdana"/>
                <w:sz w:val="20"/>
                <w:szCs w:val="20"/>
                <w:lang w:val="en-GB"/>
              </w:rPr>
              <w:t xml:space="preserve">, Partit Laburista – Labour Party), a video version </w:t>
            </w:r>
            <w:r w:rsidRPr="00415BF7">
              <w:rPr>
                <w:rFonts w:ascii="Verdana" w:hAnsi="Verdana"/>
                <w:sz w:val="20"/>
                <w:szCs w:val="20"/>
                <w:lang w:val="en-GB"/>
              </w:rPr>
              <w:lastRenderedPageBreak/>
              <w:t>and a version adapted for people with hearing impairment (Partit Laburista- Labour Party).</w:t>
            </w:r>
          </w:p>
          <w:p w14:paraId="31D9DB42" w14:textId="77777777" w:rsidR="0043168A" w:rsidRPr="00415BF7" w:rsidRDefault="0043168A" w:rsidP="00415BF7">
            <w:pPr>
              <w:spacing w:after="0" w:line="240" w:lineRule="auto"/>
              <w:rPr>
                <w:rFonts w:ascii="Verdana" w:hAnsi="Verdana"/>
                <w:sz w:val="20"/>
                <w:szCs w:val="20"/>
              </w:rPr>
            </w:pPr>
          </w:p>
          <w:p w14:paraId="0DBD3B49" w14:textId="53CACFBB" w:rsidR="0043168A" w:rsidRPr="00415BF7" w:rsidRDefault="0043168A" w:rsidP="00415BF7">
            <w:pPr>
              <w:spacing w:after="0" w:line="240" w:lineRule="auto"/>
              <w:rPr>
                <w:rFonts w:ascii="Verdana" w:hAnsi="Verdana"/>
                <w:sz w:val="20"/>
                <w:szCs w:val="20"/>
              </w:rPr>
            </w:pPr>
            <w:r w:rsidRPr="00415BF7">
              <w:rPr>
                <w:rFonts w:ascii="Verdana" w:hAnsi="Verdana"/>
                <w:sz w:val="20"/>
                <w:szCs w:val="20"/>
              </w:rPr>
              <w:t xml:space="preserve">NB there are 3 main parties that run for elections in Malta, data for the last EP elections are not available, as the feedback sent by Alternattiva Demokratika related to the General Elections, 2013 and queries sent to the Nationalist Party remained </w:t>
            </w:r>
            <w:r>
              <w:rPr>
                <w:rFonts w:ascii="Verdana" w:hAnsi="Verdana"/>
                <w:sz w:val="20"/>
                <w:szCs w:val="20"/>
              </w:rPr>
              <w:t>un</w:t>
            </w:r>
            <w:r w:rsidRPr="00415BF7">
              <w:rPr>
                <w:rFonts w:ascii="Verdana" w:hAnsi="Verdana"/>
                <w:sz w:val="20"/>
                <w:szCs w:val="20"/>
              </w:rPr>
              <w:t>answered. In addition, the website of the Nationalist Party does not contain any data relating to past electoral manifestos. The Labour party website contained information only relating to the past General Election held in 2013.</w:t>
            </w:r>
          </w:p>
        </w:tc>
      </w:tr>
      <w:tr w:rsidR="0043168A" w:rsidRPr="00415BF7" w14:paraId="05C78D4C" w14:textId="77777777" w:rsidTr="0043168A">
        <w:trPr>
          <w:trHeight w:val="454"/>
        </w:trPr>
        <w:tc>
          <w:tcPr>
            <w:tcW w:w="1638" w:type="pct"/>
            <w:shd w:val="clear" w:color="auto" w:fill="auto"/>
            <w:vAlign w:val="center"/>
          </w:tcPr>
          <w:p w14:paraId="1764B43D" w14:textId="77777777" w:rsidR="0043168A" w:rsidRPr="00415BF7" w:rsidRDefault="0043168A" w:rsidP="00415BF7">
            <w:pPr>
              <w:spacing w:before="240"/>
              <w:contextualSpacing/>
              <w:rPr>
                <w:rFonts w:ascii="Verdana" w:hAnsi="Verdana"/>
                <w:sz w:val="20"/>
                <w:szCs w:val="20"/>
                <w:lang w:val="en-GB"/>
              </w:rPr>
            </w:pPr>
            <w:r w:rsidRPr="00415BF7">
              <w:rPr>
                <w:rFonts w:ascii="Verdana" w:hAnsi="Verdana"/>
                <w:sz w:val="20"/>
                <w:szCs w:val="20"/>
                <w:lang w:val="en-GB"/>
              </w:rPr>
              <w:lastRenderedPageBreak/>
              <w:t>What proportion of public authority national and municipal buildings is accessible to persons with disabilities?</w:t>
            </w:r>
          </w:p>
        </w:tc>
        <w:tc>
          <w:tcPr>
            <w:tcW w:w="3362" w:type="pct"/>
            <w:vAlign w:val="center"/>
          </w:tcPr>
          <w:p w14:paraId="33A02621" w14:textId="77777777" w:rsidR="0043168A" w:rsidRPr="00415BF7" w:rsidRDefault="0043168A" w:rsidP="00415BF7">
            <w:pPr>
              <w:spacing w:after="0" w:line="240" w:lineRule="auto"/>
              <w:rPr>
                <w:rFonts w:ascii="Verdana" w:hAnsi="Verdana"/>
                <w:sz w:val="20"/>
                <w:szCs w:val="20"/>
                <w:lang w:val="en-GB"/>
              </w:rPr>
            </w:pPr>
            <w:r w:rsidRPr="00415BF7">
              <w:rPr>
                <w:rFonts w:ascii="Verdana" w:hAnsi="Verdana"/>
                <w:sz w:val="20"/>
                <w:szCs w:val="20"/>
                <w:lang w:val="en-GB"/>
              </w:rPr>
              <w:t>According to ‘Access for All – Design Guidelines’ issued by KNPD, public buildings should conform to access for all standards issued by KNPD.</w:t>
            </w:r>
            <w:r w:rsidRPr="00415BF7">
              <w:rPr>
                <w:rStyle w:val="FootnoteReference"/>
                <w:rFonts w:ascii="Verdana" w:hAnsi="Verdana"/>
                <w:sz w:val="20"/>
                <w:szCs w:val="20"/>
                <w:lang w:val="en-GB"/>
              </w:rPr>
              <w:footnoteReference w:id="54"/>
            </w:r>
          </w:p>
          <w:p w14:paraId="21E3884C" w14:textId="77777777" w:rsidR="0043168A" w:rsidRPr="00415BF7" w:rsidRDefault="0043168A" w:rsidP="00415BF7">
            <w:pPr>
              <w:spacing w:after="0" w:line="240" w:lineRule="auto"/>
              <w:rPr>
                <w:rFonts w:ascii="Verdana" w:hAnsi="Verdana"/>
                <w:sz w:val="20"/>
                <w:szCs w:val="20"/>
                <w:lang w:val="en-GB"/>
              </w:rPr>
            </w:pPr>
          </w:p>
          <w:p w14:paraId="16E90DEA" w14:textId="26902D60" w:rsidR="0043168A" w:rsidRPr="00415BF7" w:rsidRDefault="0043168A" w:rsidP="000E2DE1">
            <w:pPr>
              <w:spacing w:after="0" w:line="240" w:lineRule="auto"/>
              <w:rPr>
                <w:rFonts w:ascii="Verdana" w:hAnsi="Verdana"/>
                <w:sz w:val="20"/>
                <w:szCs w:val="20"/>
                <w:lang w:val="en-GB"/>
              </w:rPr>
            </w:pPr>
            <w:r w:rsidRPr="00415BF7">
              <w:rPr>
                <w:rFonts w:ascii="Verdana" w:hAnsi="Verdana"/>
                <w:sz w:val="20"/>
                <w:szCs w:val="20"/>
                <w:lang w:val="en-GB"/>
              </w:rPr>
              <w:t>There are no statistics related to the amount which are in fact accessible.</w:t>
            </w:r>
            <w:r>
              <w:rPr>
                <w:rStyle w:val="FootnoteReference"/>
                <w:rFonts w:ascii="Verdana" w:hAnsi="Verdana"/>
                <w:sz w:val="20"/>
                <w:szCs w:val="20"/>
                <w:lang w:val="en-GB"/>
              </w:rPr>
              <w:footnoteReference w:id="55"/>
            </w:r>
            <w:r>
              <w:rPr>
                <w:rFonts w:ascii="Verdana" w:hAnsi="Verdana"/>
                <w:sz w:val="20"/>
                <w:szCs w:val="20"/>
                <w:lang w:val="en-GB"/>
              </w:rPr>
              <w:t xml:space="preserve"> </w:t>
            </w:r>
          </w:p>
        </w:tc>
      </w:tr>
      <w:tr w:rsidR="0043168A" w:rsidRPr="00415BF7" w14:paraId="34669DA0" w14:textId="77777777" w:rsidTr="0043168A">
        <w:trPr>
          <w:trHeight w:val="454"/>
        </w:trPr>
        <w:tc>
          <w:tcPr>
            <w:tcW w:w="1638" w:type="pct"/>
            <w:shd w:val="clear" w:color="auto" w:fill="auto"/>
            <w:vAlign w:val="center"/>
          </w:tcPr>
          <w:p w14:paraId="16A7E62A" w14:textId="728DBF0E" w:rsidR="0043168A" w:rsidRPr="00415BF7" w:rsidRDefault="0043168A" w:rsidP="0043168A">
            <w:pPr>
              <w:spacing w:before="240"/>
              <w:contextualSpacing/>
              <w:rPr>
                <w:rFonts w:ascii="Verdana" w:hAnsi="Verdana"/>
                <w:sz w:val="20"/>
                <w:szCs w:val="20"/>
                <w:lang w:val="en-GB"/>
              </w:rPr>
            </w:pPr>
            <w:r w:rsidRPr="00415BF7">
              <w:rPr>
                <w:rFonts w:ascii="Verdana" w:hAnsi="Verdana"/>
                <w:sz w:val="20"/>
                <w:szCs w:val="20"/>
                <w:lang w:val="en-GB"/>
              </w:rPr>
              <w:t>How many complaints related to infringements of the right to political participation of persons with disabilities were recorded in 2012? What proportion of these complaints were successful?</w:t>
            </w:r>
          </w:p>
        </w:tc>
        <w:tc>
          <w:tcPr>
            <w:tcW w:w="3362" w:type="pct"/>
            <w:vAlign w:val="center"/>
          </w:tcPr>
          <w:p w14:paraId="1FC027CB" w14:textId="77777777" w:rsidR="0043168A" w:rsidRPr="00415BF7" w:rsidRDefault="0043168A" w:rsidP="00415BF7">
            <w:pPr>
              <w:spacing w:before="240" w:after="0" w:line="240" w:lineRule="auto"/>
              <w:contextualSpacing/>
              <w:rPr>
                <w:rFonts w:ascii="Verdana" w:hAnsi="Verdana"/>
                <w:sz w:val="20"/>
                <w:szCs w:val="20"/>
                <w:lang w:val="en-GB"/>
              </w:rPr>
            </w:pPr>
            <w:r w:rsidRPr="00415BF7">
              <w:rPr>
                <w:rFonts w:ascii="Verdana" w:hAnsi="Verdana"/>
                <w:sz w:val="20"/>
                <w:szCs w:val="20"/>
                <w:lang w:val="en-GB"/>
              </w:rPr>
              <w:t xml:space="preserve">There were no complaints in 2012. </w:t>
            </w:r>
          </w:p>
          <w:p w14:paraId="29C35610" w14:textId="77777777" w:rsidR="0043168A" w:rsidRPr="00415BF7" w:rsidRDefault="0043168A" w:rsidP="00415BF7">
            <w:pPr>
              <w:spacing w:before="240" w:after="0" w:line="240" w:lineRule="auto"/>
              <w:contextualSpacing/>
              <w:rPr>
                <w:rFonts w:ascii="Verdana" w:hAnsi="Verdana"/>
                <w:sz w:val="20"/>
                <w:szCs w:val="20"/>
                <w:lang w:val="en-GB"/>
              </w:rPr>
            </w:pPr>
          </w:p>
          <w:p w14:paraId="45C969F2" w14:textId="77777777" w:rsidR="0043168A" w:rsidRPr="00415BF7" w:rsidRDefault="0043168A" w:rsidP="00415BF7">
            <w:pPr>
              <w:spacing w:before="240" w:after="0" w:line="240" w:lineRule="auto"/>
              <w:contextualSpacing/>
              <w:rPr>
                <w:rFonts w:ascii="Verdana" w:hAnsi="Verdana"/>
                <w:sz w:val="20"/>
                <w:szCs w:val="20"/>
                <w:lang w:val="en-GB"/>
              </w:rPr>
            </w:pPr>
            <w:r w:rsidRPr="00415BF7">
              <w:rPr>
                <w:rFonts w:ascii="Verdana" w:hAnsi="Verdana"/>
                <w:sz w:val="20"/>
                <w:szCs w:val="20"/>
                <w:lang w:val="en-GB"/>
              </w:rPr>
              <w:t>There was however one complaint in 2013:</w:t>
            </w:r>
          </w:p>
          <w:p w14:paraId="5AF2435A" w14:textId="77777777" w:rsidR="0043168A" w:rsidRPr="00415BF7" w:rsidRDefault="0043168A" w:rsidP="00415BF7">
            <w:pPr>
              <w:spacing w:before="240" w:after="0" w:line="240" w:lineRule="auto"/>
              <w:contextualSpacing/>
              <w:rPr>
                <w:rFonts w:ascii="Verdana" w:hAnsi="Verdana"/>
                <w:sz w:val="20"/>
                <w:szCs w:val="20"/>
                <w:lang w:val="en-GB"/>
              </w:rPr>
            </w:pPr>
          </w:p>
          <w:p w14:paraId="1B0EB6C1" w14:textId="77777777" w:rsidR="0043168A" w:rsidRPr="00415BF7" w:rsidRDefault="0043168A" w:rsidP="00415BF7">
            <w:pPr>
              <w:spacing w:before="240" w:after="0" w:line="240" w:lineRule="auto"/>
              <w:contextualSpacing/>
              <w:rPr>
                <w:rFonts w:ascii="Verdana" w:hAnsi="Verdana"/>
                <w:sz w:val="20"/>
                <w:szCs w:val="20"/>
              </w:rPr>
            </w:pPr>
            <w:r w:rsidRPr="00415BF7">
              <w:rPr>
                <w:rFonts w:ascii="Verdana" w:hAnsi="Verdana"/>
                <w:sz w:val="20"/>
                <w:szCs w:val="20"/>
                <w:lang w:val="en-GB"/>
              </w:rPr>
              <w:t>The Deaf Persons Association lodged a complaint with the National Commission Persons with Disability regarding the lack of Maltese sign language interpretation on the national television station during election time.</w:t>
            </w:r>
            <w:r w:rsidRPr="00415BF7">
              <w:rPr>
                <w:rStyle w:val="FootnoteReference"/>
                <w:rFonts w:ascii="Verdana" w:hAnsi="Verdana"/>
                <w:sz w:val="20"/>
                <w:szCs w:val="20"/>
                <w:lang w:val="en-GB"/>
              </w:rPr>
              <w:footnoteReference w:id="56"/>
            </w:r>
            <w:r w:rsidRPr="00415BF7">
              <w:rPr>
                <w:rFonts w:ascii="Verdana" w:hAnsi="Verdana"/>
                <w:sz w:val="20"/>
                <w:szCs w:val="20"/>
                <w:lang w:val="en-GB"/>
              </w:rPr>
              <w:t xml:space="preserve"> </w:t>
            </w:r>
          </w:p>
          <w:p w14:paraId="1E85C289" w14:textId="77777777" w:rsidR="0043168A" w:rsidRPr="00415BF7" w:rsidRDefault="0043168A" w:rsidP="00415BF7">
            <w:pPr>
              <w:spacing w:before="240" w:after="0" w:line="240" w:lineRule="auto"/>
              <w:contextualSpacing/>
              <w:rPr>
                <w:rFonts w:ascii="Verdana" w:hAnsi="Verdana"/>
                <w:sz w:val="20"/>
                <w:szCs w:val="20"/>
                <w:lang w:val="en-GB"/>
              </w:rPr>
            </w:pPr>
          </w:p>
          <w:p w14:paraId="0C84D2FF" w14:textId="77777777" w:rsidR="0043168A" w:rsidRPr="00415BF7" w:rsidRDefault="0043168A" w:rsidP="00415BF7">
            <w:pPr>
              <w:spacing w:before="240" w:after="0" w:line="240" w:lineRule="auto"/>
              <w:contextualSpacing/>
              <w:rPr>
                <w:rFonts w:ascii="Verdana" w:hAnsi="Verdana"/>
                <w:sz w:val="20"/>
                <w:szCs w:val="20"/>
                <w:lang w:val="en-GB"/>
              </w:rPr>
            </w:pPr>
            <w:r w:rsidRPr="00415BF7">
              <w:rPr>
                <w:rFonts w:ascii="Verdana" w:hAnsi="Verdana"/>
                <w:sz w:val="20"/>
                <w:szCs w:val="20"/>
                <w:lang w:val="en-GB"/>
              </w:rPr>
              <w:t xml:space="preserve">In its capacity as the regulator of the national television station, the Broadcasting Authority held a hearing on the complaint lodged by the Deaf Persons Association. However, the complaint was not upheld. It ruled that in the circumstances prevailing at the time, the </w:t>
            </w:r>
            <w:r w:rsidRPr="00415BF7">
              <w:rPr>
                <w:rFonts w:ascii="Verdana" w:hAnsi="Verdana"/>
                <w:i/>
                <w:sz w:val="20"/>
                <w:szCs w:val="20"/>
                <w:lang w:val="en-GB"/>
              </w:rPr>
              <w:t>television station</w:t>
            </w:r>
            <w:r w:rsidRPr="00415BF7">
              <w:rPr>
                <w:rFonts w:ascii="Verdana" w:hAnsi="Verdana"/>
                <w:sz w:val="20"/>
                <w:szCs w:val="20"/>
                <w:lang w:val="en-GB"/>
              </w:rPr>
              <w:t xml:space="preserve"> could not provide more sign language interpretation than it had, in order to include all important political debates.</w:t>
            </w:r>
            <w:r w:rsidRPr="00415BF7">
              <w:rPr>
                <w:rStyle w:val="FootnoteReference"/>
                <w:rFonts w:ascii="Verdana" w:hAnsi="Verdana"/>
                <w:sz w:val="20"/>
                <w:szCs w:val="20"/>
                <w:lang w:val="en-GB"/>
              </w:rPr>
              <w:footnoteReference w:id="57"/>
            </w:r>
            <w:r w:rsidRPr="00415BF7">
              <w:rPr>
                <w:rFonts w:ascii="Verdana" w:hAnsi="Verdana"/>
                <w:sz w:val="20"/>
                <w:szCs w:val="20"/>
                <w:lang w:val="en-GB"/>
              </w:rPr>
              <w:t xml:space="preserve"> </w:t>
            </w:r>
          </w:p>
          <w:p w14:paraId="5E9F3037" w14:textId="77777777" w:rsidR="0043168A" w:rsidRPr="00415BF7" w:rsidRDefault="0043168A" w:rsidP="00415BF7">
            <w:pPr>
              <w:spacing w:before="240" w:after="0" w:line="240" w:lineRule="auto"/>
              <w:contextualSpacing/>
              <w:rPr>
                <w:rFonts w:ascii="Verdana" w:hAnsi="Verdana"/>
                <w:sz w:val="20"/>
                <w:szCs w:val="20"/>
                <w:lang w:val="en-GB"/>
              </w:rPr>
            </w:pPr>
          </w:p>
          <w:p w14:paraId="36A35E54" w14:textId="76FE89A2" w:rsidR="0043168A" w:rsidRPr="00415BF7" w:rsidRDefault="0043168A" w:rsidP="00415BF7">
            <w:pPr>
              <w:spacing w:before="240" w:after="0" w:line="240" w:lineRule="auto"/>
              <w:contextualSpacing/>
              <w:rPr>
                <w:rFonts w:ascii="Verdana" w:hAnsi="Verdana"/>
                <w:sz w:val="20"/>
                <w:szCs w:val="20"/>
                <w:lang w:val="en-GB"/>
              </w:rPr>
            </w:pPr>
            <w:r w:rsidRPr="00415BF7">
              <w:rPr>
                <w:rFonts w:ascii="Verdana" w:hAnsi="Verdana"/>
                <w:sz w:val="20"/>
                <w:szCs w:val="20"/>
                <w:lang w:val="en-GB"/>
              </w:rPr>
              <w:t xml:space="preserve">Although the Broadcasting Authority included Maltese Sign Language Interpretation in all its scheme of election broadcasts, it did not however uphold the complaint to include language </w:t>
            </w:r>
            <w:r w:rsidRPr="00415BF7">
              <w:rPr>
                <w:rFonts w:ascii="Verdana" w:hAnsi="Verdana"/>
                <w:sz w:val="20"/>
                <w:szCs w:val="20"/>
                <w:lang w:val="en-GB"/>
              </w:rPr>
              <w:lastRenderedPageBreak/>
              <w:t>interpretation during political programmes and debate aired by the national television station, the Public Broadcasting Service. The complaint was partially successful in that the Broadcasting Authority included Maltese Sign Language Interpretation in its own scheme of election broadcasts; however it was unsuccessful in ensuring any interpretation for other political programmes aired by the national television station.</w:t>
            </w:r>
            <w:r w:rsidRPr="00415BF7">
              <w:rPr>
                <w:rStyle w:val="FootnoteReference"/>
                <w:rFonts w:ascii="Verdana" w:hAnsi="Verdana"/>
                <w:sz w:val="20"/>
                <w:szCs w:val="20"/>
                <w:lang w:val="en-GB"/>
              </w:rPr>
              <w:footnoteReference w:id="58"/>
            </w:r>
          </w:p>
        </w:tc>
      </w:tr>
    </w:tbl>
    <w:p w14:paraId="461180C9" w14:textId="77777777" w:rsidR="00E53C09" w:rsidRPr="00415BF7" w:rsidRDefault="00E53C09" w:rsidP="008B1250">
      <w:pPr>
        <w:spacing w:after="0" w:line="240" w:lineRule="auto"/>
        <w:contextualSpacing/>
        <w:jc w:val="both"/>
        <w:rPr>
          <w:rFonts w:ascii="Verdana" w:hAnsi="Verdana"/>
          <w:b/>
          <w:sz w:val="20"/>
          <w:szCs w:val="20"/>
          <w:lang w:val="en-GB"/>
        </w:rPr>
      </w:pPr>
    </w:p>
    <w:p w14:paraId="4611810B" w14:textId="77777777" w:rsidR="00E53C09" w:rsidRPr="00415BF7" w:rsidRDefault="00E53C09" w:rsidP="00E54542">
      <w:pPr>
        <w:rPr>
          <w:rFonts w:ascii="Verdana" w:hAnsi="Verdana"/>
          <w:sz w:val="20"/>
          <w:szCs w:val="20"/>
        </w:rPr>
      </w:pPr>
    </w:p>
    <w:sectPr w:rsidR="00E53C09" w:rsidRPr="00415BF7" w:rsidSect="00912C69">
      <w:headerReference w:type="default" r:id="rId17"/>
      <w:footerReference w:type="defaul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3E0AD" w14:textId="77777777" w:rsidR="0099513F" w:rsidRDefault="0099513F" w:rsidP="00912C69">
      <w:pPr>
        <w:spacing w:after="0" w:line="240" w:lineRule="auto"/>
      </w:pPr>
      <w:r>
        <w:separator/>
      </w:r>
    </w:p>
  </w:endnote>
  <w:endnote w:type="continuationSeparator" w:id="0">
    <w:p w14:paraId="5E1C92B1" w14:textId="77777777" w:rsidR="0099513F" w:rsidRDefault="0099513F" w:rsidP="0091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18183" w14:textId="77777777" w:rsidR="0099513F" w:rsidRDefault="0099513F">
    <w:pPr>
      <w:pStyle w:val="Footer"/>
      <w:ind w:left="1080"/>
      <w:jc w:val="right"/>
    </w:pPr>
    <w:r>
      <w:fldChar w:fldCharType="begin"/>
    </w:r>
    <w:r>
      <w:instrText xml:space="preserve"> PAGE   \* MERGEFORMAT </w:instrText>
    </w:r>
    <w:r>
      <w:fldChar w:fldCharType="separate"/>
    </w:r>
    <w:r w:rsidR="009D0E89">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18184" w14:textId="77777777" w:rsidR="0099513F" w:rsidRDefault="0099513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EAE8D" w14:textId="77777777" w:rsidR="0099513F" w:rsidRDefault="0099513F" w:rsidP="00912C69">
      <w:pPr>
        <w:spacing w:after="0" w:line="240" w:lineRule="auto"/>
      </w:pPr>
      <w:r>
        <w:separator/>
      </w:r>
    </w:p>
  </w:footnote>
  <w:footnote w:type="continuationSeparator" w:id="0">
    <w:p w14:paraId="039CF90D" w14:textId="77777777" w:rsidR="0099513F" w:rsidRDefault="0099513F" w:rsidP="00912C69">
      <w:pPr>
        <w:spacing w:after="0" w:line="240" w:lineRule="auto"/>
      </w:pPr>
      <w:r>
        <w:continuationSeparator/>
      </w:r>
    </w:p>
  </w:footnote>
  <w:footnote w:id="1">
    <w:p w14:paraId="22014B5C" w14:textId="77777777" w:rsidR="0043168A" w:rsidRDefault="0043168A" w:rsidP="001B04A3">
      <w:pPr>
        <w:pStyle w:val="FootnoteText"/>
      </w:pPr>
      <w:r>
        <w:rPr>
          <w:rStyle w:val="FootnoteReference"/>
        </w:rPr>
        <w:footnoteRef/>
      </w:r>
      <w:r>
        <w:t xml:space="preserve"> </w:t>
      </w:r>
      <w:hyperlink r:id="rId1" w:history="1">
        <w:r w:rsidRPr="00D025E6">
          <w:rPr>
            <w:rStyle w:val="Hyperlink"/>
          </w:rPr>
          <w:t>http://treaties.un.org/Pages/ViewDetails.aspx?src=TREATY&amp;mtdsg_no=IV-15&amp;chapter=4&amp;lang=en</w:t>
        </w:r>
      </w:hyperlink>
      <w:r>
        <w:t xml:space="preserve"> </w:t>
      </w:r>
    </w:p>
  </w:footnote>
  <w:footnote w:id="2">
    <w:p w14:paraId="201D45F1" w14:textId="4039A508" w:rsidR="0043168A" w:rsidRDefault="0043168A">
      <w:pPr>
        <w:pStyle w:val="FootnoteText"/>
      </w:pPr>
      <w:r>
        <w:rPr>
          <w:rStyle w:val="FootnoteReference"/>
        </w:rPr>
        <w:footnoteRef/>
      </w:r>
      <w:r>
        <w:t xml:space="preserve"> </w:t>
      </w:r>
      <w:hyperlink r:id="rId2" w:history="1">
        <w:r w:rsidRPr="00D025E6">
          <w:rPr>
            <w:rStyle w:val="Hyperlink"/>
          </w:rPr>
          <w:t>http://www.un.org/disabilities/countries.asp?navid=12&amp;pid=166</w:t>
        </w:r>
      </w:hyperlink>
      <w:r>
        <w:t xml:space="preserve"> and</w:t>
      </w:r>
    </w:p>
  </w:footnote>
  <w:footnote w:id="3">
    <w:p w14:paraId="16377032" w14:textId="77777777" w:rsidR="0043168A" w:rsidRDefault="0043168A" w:rsidP="00F44993">
      <w:pPr>
        <w:pStyle w:val="FootnoteText"/>
      </w:pPr>
      <w:r>
        <w:rPr>
          <w:rStyle w:val="FootnoteReference"/>
        </w:rPr>
        <w:footnoteRef/>
      </w:r>
      <w:r>
        <w:t xml:space="preserve"> </w:t>
      </w:r>
      <w:hyperlink r:id="rId3" w:history="1">
        <w:r w:rsidRPr="00D025E6">
          <w:rPr>
            <w:rStyle w:val="Hyperlink"/>
          </w:rPr>
          <w:t>http://www.un.org/disabilities/countries.asp?navid=12&amp;pid=166</w:t>
        </w:r>
      </w:hyperlink>
      <w:r>
        <w:t xml:space="preserve"> and</w:t>
      </w:r>
    </w:p>
    <w:p w14:paraId="67D7F738" w14:textId="77777777" w:rsidR="0043168A" w:rsidRDefault="009D0E89" w:rsidP="00F44993">
      <w:pPr>
        <w:pStyle w:val="FootnoteText"/>
      </w:pPr>
      <w:hyperlink r:id="rId4" w:history="1">
        <w:r w:rsidR="0043168A" w:rsidRPr="00D025E6">
          <w:rPr>
            <w:rStyle w:val="Hyperlink"/>
          </w:rPr>
          <w:t>http://treaties.un.org/Pages/ViewDetails.aspx?src=TREATY&amp;mtdsg_no=IV-15&amp;chapter=4&amp;lang=en</w:t>
        </w:r>
      </w:hyperlink>
      <w:r w:rsidR="0043168A">
        <w:t xml:space="preserve"> </w:t>
      </w:r>
    </w:p>
  </w:footnote>
  <w:footnote w:id="4">
    <w:p w14:paraId="5D8BDDE1" w14:textId="77777777" w:rsidR="0043168A" w:rsidRDefault="0043168A" w:rsidP="00F44993">
      <w:pPr>
        <w:pStyle w:val="FootnoteText"/>
      </w:pPr>
      <w:r>
        <w:rPr>
          <w:rStyle w:val="FootnoteReference"/>
        </w:rPr>
        <w:footnoteRef/>
      </w:r>
      <w:r>
        <w:t xml:space="preserve"> </w:t>
      </w:r>
      <w:hyperlink r:id="rId5" w:history="1">
        <w:r w:rsidRPr="00D025E6">
          <w:rPr>
            <w:rStyle w:val="Hyperlink"/>
          </w:rPr>
          <w:t>http://www.un.org/disabilities/countries.asp?navid=12&amp;pid=166</w:t>
        </w:r>
      </w:hyperlink>
      <w:r>
        <w:t xml:space="preserve"> and</w:t>
      </w:r>
    </w:p>
    <w:p w14:paraId="59CBE8E3" w14:textId="77777777" w:rsidR="0043168A" w:rsidRDefault="009D0E89" w:rsidP="00F44993">
      <w:pPr>
        <w:pStyle w:val="FootnoteText"/>
      </w:pPr>
      <w:hyperlink r:id="rId6" w:history="1">
        <w:r w:rsidR="0043168A" w:rsidRPr="00D025E6">
          <w:rPr>
            <w:rStyle w:val="Hyperlink"/>
          </w:rPr>
          <w:t>http://treaties.un.org/Pages/ViewDetails.aspx?src=TREATY&amp;mtdsg_no=IV-15&amp;chapter=4&amp;lang=en</w:t>
        </w:r>
      </w:hyperlink>
      <w:r w:rsidR="0043168A">
        <w:t xml:space="preserve"> </w:t>
      </w:r>
    </w:p>
  </w:footnote>
  <w:footnote w:id="5">
    <w:p w14:paraId="192739F0" w14:textId="77777777" w:rsidR="0043168A" w:rsidRPr="00FC02E7" w:rsidRDefault="0043168A" w:rsidP="00547D06">
      <w:pPr>
        <w:pStyle w:val="FootnoteText"/>
      </w:pPr>
      <w:r>
        <w:rPr>
          <w:rStyle w:val="FootnoteReference"/>
        </w:rPr>
        <w:footnoteRef/>
      </w:r>
      <w:r>
        <w:t xml:space="preserve"> </w:t>
      </w:r>
      <w:r w:rsidRPr="00FC02E7">
        <w:t xml:space="preserve">Malta, House of Representatives (2004), European Parliament Elections Act, Chapter 467 of the laws of Malta, </w:t>
      </w:r>
      <w:r>
        <w:rPr>
          <w:lang w:val="mt-MT"/>
        </w:rPr>
        <w:t xml:space="preserve">1 January 2004 and subsequent amendments, </w:t>
      </w:r>
      <w:r w:rsidRPr="00FC02E7">
        <w:t xml:space="preserve">available at:   </w:t>
      </w:r>
    </w:p>
    <w:p w14:paraId="10E668BC" w14:textId="77777777" w:rsidR="0043168A" w:rsidRDefault="009D0E89" w:rsidP="00547D06">
      <w:pPr>
        <w:pStyle w:val="FootnoteText"/>
      </w:pPr>
      <w:hyperlink r:id="rId7" w:history="1">
        <w:r w:rsidR="0043168A" w:rsidRPr="00FC02E7">
          <w:rPr>
            <w:rStyle w:val="Hyperlink"/>
            <w:lang w:val="en-GB"/>
          </w:rPr>
          <w:t>http://justiceservices.gov.mt/DownloadDocument.aspx?app=lom&amp;itemid=8933</w:t>
        </w:r>
      </w:hyperlink>
      <w:r w:rsidR="0043168A" w:rsidRPr="00FC02E7">
        <w:t xml:space="preserve"> </w:t>
      </w:r>
      <w:r w:rsidR="0043168A" w:rsidRPr="00F44993">
        <w:rPr>
          <w:b/>
        </w:rPr>
        <w:t>(all hyperlinks accessed on 27 July 2013)</w:t>
      </w:r>
    </w:p>
  </w:footnote>
  <w:footnote w:id="6">
    <w:p w14:paraId="724C9EC7" w14:textId="688AF406" w:rsidR="0043168A" w:rsidRPr="00FC02E7" w:rsidRDefault="0043168A" w:rsidP="00547D06">
      <w:pPr>
        <w:pStyle w:val="FootnoteText"/>
        <w:rPr>
          <w:lang w:val="en-GB"/>
        </w:rPr>
      </w:pPr>
      <w:r>
        <w:rPr>
          <w:rStyle w:val="FootnoteReference"/>
        </w:rPr>
        <w:footnoteRef/>
      </w:r>
      <w:r>
        <w:t xml:space="preserve"> </w:t>
      </w:r>
      <w:r w:rsidRPr="00FC02E7">
        <w:t xml:space="preserve">Malta, </w:t>
      </w:r>
      <w:r w:rsidRPr="00FC02E7">
        <w:rPr>
          <w:lang w:val="en-GB"/>
        </w:rPr>
        <w:t>Local Councils Act, Chapter 363 of the laws of Malta</w:t>
      </w:r>
      <w:r w:rsidRPr="00FC02E7">
        <w:t xml:space="preserve">, </w:t>
      </w:r>
      <w:r>
        <w:rPr>
          <w:lang w:val="mt-MT"/>
        </w:rPr>
        <w:t xml:space="preserve">23 July 1993 and subsequent amendments, </w:t>
      </w:r>
      <w:r w:rsidRPr="00FC02E7">
        <w:t xml:space="preserve">available at:   </w:t>
      </w:r>
    </w:p>
    <w:p w14:paraId="00743820" w14:textId="77777777" w:rsidR="0043168A" w:rsidRDefault="009D0E89" w:rsidP="00547D06">
      <w:pPr>
        <w:pStyle w:val="FootnoteText"/>
      </w:pPr>
      <w:hyperlink r:id="rId8" w:history="1">
        <w:r w:rsidR="0043168A" w:rsidRPr="00FC02E7">
          <w:rPr>
            <w:rStyle w:val="Hyperlink"/>
            <w:lang w:val="en-GB"/>
          </w:rPr>
          <w:t>http://www.justiceservices.gov.mt/DownloadDocument.aspx?app=lom&amp;itemid=8833</w:t>
        </w:r>
      </w:hyperlink>
      <w:r w:rsidR="0043168A" w:rsidRPr="00FC02E7">
        <w:rPr>
          <w:lang w:val="en-GB"/>
        </w:rPr>
        <w:t xml:space="preserve"> </w:t>
      </w:r>
    </w:p>
  </w:footnote>
  <w:footnote w:id="7">
    <w:p w14:paraId="0599D29C" w14:textId="46066AF7" w:rsidR="0043168A" w:rsidRPr="00FC02E7" w:rsidRDefault="0043168A" w:rsidP="00547D06">
      <w:pPr>
        <w:pStyle w:val="FootnoteText"/>
        <w:rPr>
          <w:lang w:val="en-GB"/>
        </w:rPr>
      </w:pPr>
      <w:r>
        <w:rPr>
          <w:rStyle w:val="FootnoteReference"/>
        </w:rPr>
        <w:footnoteRef/>
      </w:r>
      <w:r>
        <w:t xml:space="preserve"> </w:t>
      </w:r>
      <w:r w:rsidRPr="00FC02E7">
        <w:t xml:space="preserve">Malta, </w:t>
      </w:r>
      <w:r w:rsidRPr="00FC02E7">
        <w:rPr>
          <w:lang w:val="en-GB"/>
        </w:rPr>
        <w:t>Referenda Act, Chapter 237 of the laws of Malta</w:t>
      </w:r>
      <w:r w:rsidRPr="00FC02E7">
        <w:t xml:space="preserve">, </w:t>
      </w:r>
      <w:r>
        <w:rPr>
          <w:lang w:val="mt-MT"/>
        </w:rPr>
        <w:t xml:space="preserve">20 July 1973 and subsequent amendments, </w:t>
      </w:r>
      <w:r w:rsidRPr="00FC02E7">
        <w:t xml:space="preserve">available at:   </w:t>
      </w:r>
    </w:p>
    <w:p w14:paraId="793159E0" w14:textId="77777777" w:rsidR="0043168A" w:rsidRDefault="009D0E89" w:rsidP="00547D06">
      <w:pPr>
        <w:pStyle w:val="FootnoteText"/>
      </w:pPr>
      <w:hyperlink r:id="rId9" w:history="1">
        <w:r w:rsidR="0043168A" w:rsidRPr="00FC02E7">
          <w:rPr>
            <w:rStyle w:val="Hyperlink"/>
            <w:lang w:val="en-GB"/>
          </w:rPr>
          <w:t>http://www.justiceservices.gov.mt/DownloadDocument.aspx?app=lom&amp;itemid=8737</w:t>
        </w:r>
      </w:hyperlink>
    </w:p>
  </w:footnote>
  <w:footnote w:id="8">
    <w:p w14:paraId="7551DC58" w14:textId="32F137D6" w:rsidR="0043168A" w:rsidRPr="001A3EC1" w:rsidRDefault="0043168A" w:rsidP="00547D06">
      <w:pPr>
        <w:pStyle w:val="FootnoteText"/>
        <w:rPr>
          <w:lang w:val="en-GB"/>
        </w:rPr>
      </w:pPr>
      <w:r>
        <w:rPr>
          <w:rStyle w:val="FootnoteReference"/>
        </w:rPr>
        <w:footnoteRef/>
      </w:r>
      <w:r>
        <w:t xml:space="preserve"> </w:t>
      </w:r>
      <w:r w:rsidRPr="00FC02E7">
        <w:t xml:space="preserve">Malta, </w:t>
      </w:r>
      <w:r w:rsidRPr="001A3EC1">
        <w:rPr>
          <w:lang w:val="en-GB"/>
        </w:rPr>
        <w:t>General Elections Act, Chapter 354 of the laws of Malta</w:t>
      </w:r>
      <w:r w:rsidRPr="00FC02E7">
        <w:t xml:space="preserve">, </w:t>
      </w:r>
      <w:r>
        <w:rPr>
          <w:lang w:val="mt-MT"/>
        </w:rPr>
        <w:t>27 September 1991</w:t>
      </w:r>
      <w:r w:rsidRPr="004603BD">
        <w:rPr>
          <w:lang w:val="mt-MT"/>
        </w:rPr>
        <w:t xml:space="preserve"> </w:t>
      </w:r>
      <w:r>
        <w:rPr>
          <w:lang w:val="mt-MT"/>
        </w:rPr>
        <w:t xml:space="preserve">and subsequent amendments, </w:t>
      </w:r>
      <w:r w:rsidRPr="00FC02E7">
        <w:t xml:space="preserve">available at:   </w:t>
      </w:r>
      <w:r w:rsidRPr="001A3EC1">
        <w:rPr>
          <w:lang w:val="en-GB"/>
        </w:rPr>
        <w:t xml:space="preserve"> </w:t>
      </w:r>
    </w:p>
    <w:p w14:paraId="607F0132" w14:textId="77777777" w:rsidR="0043168A" w:rsidRDefault="009D0E89" w:rsidP="00547D06">
      <w:pPr>
        <w:pStyle w:val="FootnoteText"/>
      </w:pPr>
      <w:hyperlink r:id="rId10" w:history="1">
        <w:r w:rsidR="0043168A" w:rsidRPr="001A3EC1">
          <w:rPr>
            <w:rStyle w:val="Hyperlink"/>
            <w:lang w:val="en-GB"/>
          </w:rPr>
          <w:t>http://www.justiceservices.gov.mt/DownloadDocument.aspx?app=lom&amp;itemid=8824</w:t>
        </w:r>
      </w:hyperlink>
    </w:p>
  </w:footnote>
  <w:footnote w:id="9">
    <w:p w14:paraId="035DC44B" w14:textId="6AF7ED53" w:rsidR="0043168A" w:rsidRPr="00FC02E7" w:rsidRDefault="0043168A" w:rsidP="00547D06">
      <w:pPr>
        <w:pStyle w:val="FootnoteText"/>
      </w:pPr>
      <w:r>
        <w:rPr>
          <w:rStyle w:val="FootnoteReference"/>
        </w:rPr>
        <w:footnoteRef/>
      </w:r>
      <w:r>
        <w:t xml:space="preserve"> </w:t>
      </w:r>
      <w:r w:rsidRPr="00FC02E7">
        <w:t xml:space="preserve">Malta, European Parliament Elections Act, Chapter 467 of the laws of Malta, </w:t>
      </w:r>
      <w:r>
        <w:rPr>
          <w:lang w:val="mt-MT"/>
        </w:rPr>
        <w:t>1 January 2004</w:t>
      </w:r>
      <w:r w:rsidRPr="004603BD">
        <w:rPr>
          <w:lang w:val="mt-MT"/>
        </w:rPr>
        <w:t xml:space="preserve"> </w:t>
      </w:r>
      <w:r>
        <w:rPr>
          <w:lang w:val="mt-MT"/>
        </w:rPr>
        <w:t xml:space="preserve">and subsequent amendments, </w:t>
      </w:r>
      <w:r w:rsidRPr="00FC02E7">
        <w:t xml:space="preserve">available at:   </w:t>
      </w:r>
    </w:p>
    <w:p w14:paraId="3F401EA7" w14:textId="77777777" w:rsidR="0043168A" w:rsidRDefault="009D0E89" w:rsidP="00547D06">
      <w:pPr>
        <w:pStyle w:val="FootnoteText"/>
      </w:pPr>
      <w:hyperlink r:id="rId11" w:history="1">
        <w:r w:rsidR="0043168A" w:rsidRPr="00FC02E7">
          <w:rPr>
            <w:rStyle w:val="Hyperlink"/>
            <w:lang w:val="en-GB"/>
          </w:rPr>
          <w:t>http://justiceservices.gov.mt/DownloadDocument.aspx?app=lom&amp;itemid=8933</w:t>
        </w:r>
      </w:hyperlink>
    </w:p>
  </w:footnote>
  <w:footnote w:id="10">
    <w:p w14:paraId="755F0D42" w14:textId="20E078AF" w:rsidR="0043168A" w:rsidRDefault="0043168A">
      <w:pPr>
        <w:pStyle w:val="FootnoteText"/>
      </w:pPr>
      <w:r>
        <w:rPr>
          <w:rStyle w:val="FootnoteReference"/>
        </w:rPr>
        <w:footnoteRef/>
      </w:r>
      <w:r>
        <w:t xml:space="preserve"> </w:t>
      </w:r>
      <w:hyperlink r:id="rId12" w:history="1">
        <w:r w:rsidRPr="00D025E6">
          <w:rPr>
            <w:rStyle w:val="Hyperlink"/>
          </w:rPr>
          <w:t>http://www.electoral.gov.mt/getresource.aspx?id=83</w:t>
        </w:r>
      </w:hyperlink>
      <w:r>
        <w:t xml:space="preserve"> </w:t>
      </w:r>
    </w:p>
  </w:footnote>
  <w:footnote w:id="11">
    <w:p w14:paraId="19E4C95B" w14:textId="77777777" w:rsidR="0043168A" w:rsidRPr="00FC02E7" w:rsidRDefault="0043168A" w:rsidP="00547D06">
      <w:pPr>
        <w:pStyle w:val="FootnoteText"/>
        <w:rPr>
          <w:lang w:val="en-GB"/>
        </w:rPr>
      </w:pPr>
      <w:r>
        <w:rPr>
          <w:rStyle w:val="FootnoteReference"/>
        </w:rPr>
        <w:footnoteRef/>
      </w:r>
      <w:r>
        <w:t xml:space="preserve"> </w:t>
      </w:r>
      <w:r w:rsidRPr="00FC02E7">
        <w:t>Malta, House of Representatives</w:t>
      </w:r>
      <w:r>
        <w:rPr>
          <w:lang w:val="mt-MT"/>
        </w:rPr>
        <w:t xml:space="preserve"> (1993),</w:t>
      </w:r>
      <w:r w:rsidRPr="00FC02E7">
        <w:rPr>
          <w:lang w:val="en-GB"/>
        </w:rPr>
        <w:t xml:space="preserve"> Local Councils Act, Chapter 363 of the laws of Malta</w:t>
      </w:r>
      <w:r w:rsidRPr="00FC02E7">
        <w:t xml:space="preserve">, </w:t>
      </w:r>
      <w:r>
        <w:rPr>
          <w:lang w:val="mt-MT"/>
        </w:rPr>
        <w:t xml:space="preserve">23 July 1993 and subsequent amendments, </w:t>
      </w:r>
      <w:r w:rsidRPr="00FC02E7">
        <w:t xml:space="preserve">available at:   </w:t>
      </w:r>
    </w:p>
    <w:p w14:paraId="790D75FB" w14:textId="77777777" w:rsidR="0043168A" w:rsidRDefault="009D0E89" w:rsidP="00547D06">
      <w:pPr>
        <w:pStyle w:val="FootnoteText"/>
      </w:pPr>
      <w:hyperlink r:id="rId13" w:history="1">
        <w:r w:rsidR="0043168A" w:rsidRPr="00FC02E7">
          <w:rPr>
            <w:rStyle w:val="Hyperlink"/>
            <w:lang w:val="en-GB"/>
          </w:rPr>
          <w:t>http://www.justiceservices.gov.mt/DownloadDocument.aspx?app=lom&amp;itemid=8833</w:t>
        </w:r>
      </w:hyperlink>
    </w:p>
  </w:footnote>
  <w:footnote w:id="12">
    <w:p w14:paraId="68E2E946" w14:textId="77777777" w:rsidR="0043168A" w:rsidRDefault="0043168A" w:rsidP="00F44993">
      <w:pPr>
        <w:pStyle w:val="FootnoteText"/>
      </w:pPr>
      <w:r>
        <w:rPr>
          <w:rStyle w:val="FootnoteReference"/>
        </w:rPr>
        <w:footnoteRef/>
      </w:r>
      <w:r>
        <w:t xml:space="preserve"> </w:t>
      </w:r>
      <w:hyperlink r:id="rId14" w:history="1">
        <w:r w:rsidRPr="00F44993">
          <w:rPr>
            <w:rStyle w:val="Hyperlink"/>
            <w:rFonts w:asciiTheme="minorHAnsi" w:hAnsiTheme="minorHAnsi"/>
          </w:rPr>
          <w:t>http://justiceservices.gov.mt/DownloadDocument.aspx?app=lom&amp;itemid=8566</w:t>
        </w:r>
      </w:hyperlink>
    </w:p>
  </w:footnote>
  <w:footnote w:id="13">
    <w:p w14:paraId="2317F804" w14:textId="77777777" w:rsidR="0043168A" w:rsidRPr="001A3EC1" w:rsidRDefault="0043168A" w:rsidP="00F44993">
      <w:pPr>
        <w:pStyle w:val="FootnoteText"/>
        <w:rPr>
          <w:lang w:val="en-GB"/>
        </w:rPr>
      </w:pPr>
      <w:r>
        <w:rPr>
          <w:rStyle w:val="FootnoteReference"/>
        </w:rPr>
        <w:footnoteRef/>
      </w:r>
      <w:r>
        <w:t xml:space="preserve"> </w:t>
      </w:r>
      <w:r w:rsidRPr="00FC02E7">
        <w:t>Malta, House of Representatives</w:t>
      </w:r>
      <w:r>
        <w:rPr>
          <w:lang w:val="mt-MT"/>
        </w:rPr>
        <w:t xml:space="preserve"> (1991), </w:t>
      </w:r>
      <w:r w:rsidRPr="001A3EC1">
        <w:rPr>
          <w:lang w:val="en-GB"/>
        </w:rPr>
        <w:t>General Elections Act, Chapter 354 of the laws of Malta</w:t>
      </w:r>
      <w:r w:rsidRPr="00FC02E7">
        <w:t xml:space="preserve">, </w:t>
      </w:r>
      <w:r>
        <w:rPr>
          <w:lang w:val="mt-MT"/>
        </w:rPr>
        <w:t>27 September 1991</w:t>
      </w:r>
      <w:r w:rsidRPr="004603BD">
        <w:rPr>
          <w:lang w:val="mt-MT"/>
        </w:rPr>
        <w:t xml:space="preserve"> </w:t>
      </w:r>
      <w:r>
        <w:rPr>
          <w:lang w:val="mt-MT"/>
        </w:rPr>
        <w:t xml:space="preserve">and subsequent amendments, </w:t>
      </w:r>
      <w:r w:rsidRPr="00FC02E7">
        <w:t xml:space="preserve">available at:   </w:t>
      </w:r>
      <w:r w:rsidRPr="001A3EC1">
        <w:rPr>
          <w:lang w:val="en-GB"/>
        </w:rPr>
        <w:t xml:space="preserve"> </w:t>
      </w:r>
    </w:p>
    <w:p w14:paraId="69928692" w14:textId="77777777" w:rsidR="0043168A" w:rsidRDefault="009D0E89" w:rsidP="00F44993">
      <w:pPr>
        <w:pStyle w:val="FootnoteText"/>
      </w:pPr>
      <w:hyperlink r:id="rId15" w:history="1">
        <w:r w:rsidR="0043168A" w:rsidRPr="001A3EC1">
          <w:rPr>
            <w:rStyle w:val="Hyperlink"/>
            <w:lang w:val="en-GB"/>
          </w:rPr>
          <w:t>http://www.justiceservices.gov.mt/DownloadDocument.aspx?app=lom&amp;itemid=8824</w:t>
        </w:r>
      </w:hyperlink>
    </w:p>
  </w:footnote>
  <w:footnote w:id="14">
    <w:p w14:paraId="6A08E8B1" w14:textId="7FB36F37" w:rsidR="0043168A" w:rsidRDefault="0043168A">
      <w:pPr>
        <w:pStyle w:val="FootnoteText"/>
      </w:pPr>
      <w:r>
        <w:rPr>
          <w:rStyle w:val="FootnoteReference"/>
        </w:rPr>
        <w:footnoteRef/>
      </w:r>
      <w:r>
        <w:t xml:space="preserve"> Malta, Chapter 354 of the Laws of Malta, </w:t>
      </w:r>
      <w:r w:rsidRPr="00816871">
        <w:rPr>
          <w:szCs w:val="18"/>
        </w:rPr>
        <w:t>Gener</w:t>
      </w:r>
      <w:r>
        <w:rPr>
          <w:szCs w:val="18"/>
        </w:rPr>
        <w:t xml:space="preserve">al Elections Act, Section 27(3), available at </w:t>
      </w:r>
      <w:r w:rsidRPr="00816871">
        <w:rPr>
          <w:szCs w:val="18"/>
        </w:rPr>
        <w:t>http://docs.justice.gov.mt/lom/legislation/</w:t>
      </w:r>
      <w:r>
        <w:rPr>
          <w:szCs w:val="18"/>
        </w:rPr>
        <w:t>english/leg/vol_9/chapt354.pdf</w:t>
      </w:r>
      <w:r w:rsidRPr="00816871">
        <w:rPr>
          <w:sz w:val="22"/>
        </w:rPr>
        <w:t xml:space="preserve"> </w:t>
      </w:r>
      <w:r>
        <w:rPr>
          <w:sz w:val="22"/>
        </w:rPr>
        <w:t xml:space="preserve"> </w:t>
      </w:r>
    </w:p>
  </w:footnote>
  <w:footnote w:id="15">
    <w:p w14:paraId="51E2351B" w14:textId="3605084D" w:rsidR="0043168A" w:rsidRDefault="0043168A">
      <w:pPr>
        <w:pStyle w:val="FootnoteText"/>
      </w:pPr>
      <w:r>
        <w:rPr>
          <w:rStyle w:val="FootnoteReference"/>
        </w:rPr>
        <w:footnoteRef/>
      </w:r>
      <w:r>
        <w:t xml:space="preserve"> NFP contribution to the FRA Annual Report 2013, forthcoming.</w:t>
      </w:r>
    </w:p>
  </w:footnote>
  <w:footnote w:id="16">
    <w:p w14:paraId="3A8F5373" w14:textId="77777777" w:rsidR="0043168A" w:rsidRPr="005B11B5" w:rsidRDefault="0043168A" w:rsidP="005B11B5">
      <w:pPr>
        <w:pStyle w:val="FootnoteText"/>
        <w:rPr>
          <w:szCs w:val="18"/>
        </w:rPr>
      </w:pPr>
      <w:r>
        <w:rPr>
          <w:rStyle w:val="FootnoteReference"/>
        </w:rPr>
        <w:footnoteRef/>
      </w:r>
      <w:r>
        <w:t xml:space="preserve"> Malta, Chapter 354 of the Laws of Malta, </w:t>
      </w:r>
      <w:r w:rsidRPr="00816871">
        <w:rPr>
          <w:szCs w:val="18"/>
        </w:rPr>
        <w:t>Gener</w:t>
      </w:r>
      <w:r>
        <w:rPr>
          <w:szCs w:val="18"/>
        </w:rPr>
        <w:t xml:space="preserve">al Elections Act, </w:t>
      </w:r>
      <w:r w:rsidRPr="005B11B5">
        <w:rPr>
          <w:szCs w:val="18"/>
        </w:rPr>
        <w:t xml:space="preserve">Chapter 354 of the laws of Malta, 27 September 1991 and subsequent amendments, available at:    </w:t>
      </w:r>
    </w:p>
    <w:p w14:paraId="344CF4B1" w14:textId="1ED12C90" w:rsidR="0043168A" w:rsidRPr="005B11B5" w:rsidRDefault="009D0E89" w:rsidP="005B11B5">
      <w:pPr>
        <w:pStyle w:val="FootnoteText"/>
        <w:rPr>
          <w:szCs w:val="18"/>
        </w:rPr>
      </w:pPr>
      <w:hyperlink r:id="rId16" w:history="1">
        <w:r w:rsidR="0043168A" w:rsidRPr="003F2941">
          <w:rPr>
            <w:rStyle w:val="Hyperlink"/>
            <w:szCs w:val="18"/>
          </w:rPr>
          <w:t>http://www.justiceservices.gov.mt/DownloadDocument.aspx?app=lom&amp;itemid=8824</w:t>
        </w:r>
      </w:hyperlink>
      <w:r w:rsidR="0043168A">
        <w:rPr>
          <w:szCs w:val="18"/>
        </w:rPr>
        <w:t xml:space="preserve"> </w:t>
      </w:r>
      <w:r w:rsidR="0043168A" w:rsidRPr="005B11B5">
        <w:rPr>
          <w:szCs w:val="18"/>
        </w:rPr>
        <w:t xml:space="preserve"> </w:t>
      </w:r>
      <w:r w:rsidR="0043168A">
        <w:rPr>
          <w:szCs w:val="18"/>
        </w:rPr>
        <w:t xml:space="preserve"> </w:t>
      </w:r>
    </w:p>
  </w:footnote>
  <w:footnote w:id="17">
    <w:p w14:paraId="4619F1BF" w14:textId="77777777" w:rsidR="0043168A" w:rsidRPr="005B11B5" w:rsidRDefault="0043168A" w:rsidP="005B11B5">
      <w:pPr>
        <w:pStyle w:val="FootnoteText"/>
        <w:rPr>
          <w:szCs w:val="18"/>
        </w:rPr>
      </w:pPr>
      <w:r>
        <w:rPr>
          <w:rStyle w:val="FootnoteReference"/>
        </w:rPr>
        <w:footnoteRef/>
      </w:r>
      <w:r>
        <w:t xml:space="preserve"> </w:t>
      </w:r>
      <w:r w:rsidRPr="005B11B5">
        <w:rPr>
          <w:szCs w:val="18"/>
        </w:rPr>
        <w:t xml:space="preserve">Malta, European Parliament Elections Act, Chapter 467 of the laws of Malta, 1 January 2004 and subsequent amendments, available at:   </w:t>
      </w:r>
    </w:p>
    <w:p w14:paraId="6C5C0BEB" w14:textId="72048E5D" w:rsidR="0043168A" w:rsidRPr="005B11B5" w:rsidRDefault="009D0E89" w:rsidP="005B11B5">
      <w:pPr>
        <w:pStyle w:val="FootnoteText"/>
        <w:rPr>
          <w:szCs w:val="18"/>
        </w:rPr>
      </w:pPr>
      <w:hyperlink r:id="rId17" w:history="1">
        <w:r w:rsidR="0043168A" w:rsidRPr="003F2941">
          <w:rPr>
            <w:rStyle w:val="Hyperlink"/>
            <w:szCs w:val="18"/>
          </w:rPr>
          <w:t>http://justiceservices.gov.mt/DownloadDocument.aspx?app=lom&amp;itemid=8933</w:t>
        </w:r>
      </w:hyperlink>
      <w:r w:rsidR="0043168A">
        <w:rPr>
          <w:szCs w:val="18"/>
        </w:rPr>
        <w:t xml:space="preserve"> </w:t>
      </w:r>
    </w:p>
    <w:p w14:paraId="44F9191A" w14:textId="256245BC" w:rsidR="0043168A" w:rsidRDefault="0043168A">
      <w:pPr>
        <w:pStyle w:val="FootnoteText"/>
      </w:pPr>
    </w:p>
  </w:footnote>
  <w:footnote w:id="18">
    <w:p w14:paraId="06D785EE" w14:textId="063B18C0" w:rsidR="0043168A" w:rsidRPr="005B11B5" w:rsidRDefault="0043168A" w:rsidP="005B11B5">
      <w:pPr>
        <w:pStyle w:val="FootnoteText"/>
        <w:rPr>
          <w:szCs w:val="18"/>
        </w:rPr>
      </w:pPr>
      <w:r>
        <w:rPr>
          <w:rStyle w:val="FootnoteReference"/>
        </w:rPr>
        <w:footnoteRef/>
      </w:r>
      <w:r>
        <w:t xml:space="preserve"> </w:t>
      </w:r>
      <w:r w:rsidRPr="005B11B5">
        <w:rPr>
          <w:szCs w:val="18"/>
        </w:rPr>
        <w:t xml:space="preserve">Local Councils Act, Chapter 363 of the laws of Malta, 23 July 1993 and subsequent amendments, available at:   </w:t>
      </w:r>
      <w:hyperlink r:id="rId18" w:history="1">
        <w:r w:rsidRPr="003F2941">
          <w:rPr>
            <w:rStyle w:val="Hyperlink"/>
            <w:szCs w:val="18"/>
          </w:rPr>
          <w:t>http://www.justiceservices.gov.mt/DownloadDocument.aspx?app=lom&amp;itemid=8833</w:t>
        </w:r>
      </w:hyperlink>
      <w:r>
        <w:rPr>
          <w:szCs w:val="18"/>
        </w:rPr>
        <w:t xml:space="preserve"> </w:t>
      </w:r>
      <w:r w:rsidRPr="005B11B5">
        <w:rPr>
          <w:szCs w:val="18"/>
        </w:rPr>
        <w:t xml:space="preserve"> </w:t>
      </w:r>
    </w:p>
    <w:p w14:paraId="7AE02F88" w14:textId="7520BBEC" w:rsidR="0043168A" w:rsidRDefault="0043168A">
      <w:pPr>
        <w:pStyle w:val="FootnoteText"/>
      </w:pPr>
    </w:p>
  </w:footnote>
  <w:footnote w:id="19">
    <w:p w14:paraId="49642182" w14:textId="77777777" w:rsidR="0043168A" w:rsidRPr="005B11B5" w:rsidRDefault="0043168A" w:rsidP="005B11B5">
      <w:pPr>
        <w:pStyle w:val="FootnoteText"/>
        <w:rPr>
          <w:szCs w:val="18"/>
        </w:rPr>
      </w:pPr>
      <w:r>
        <w:rPr>
          <w:rStyle w:val="FootnoteReference"/>
        </w:rPr>
        <w:footnoteRef/>
      </w:r>
      <w:r>
        <w:t xml:space="preserve"> </w:t>
      </w:r>
      <w:r w:rsidRPr="005B11B5">
        <w:rPr>
          <w:szCs w:val="18"/>
        </w:rPr>
        <w:t xml:space="preserve">Malta, European Parliament Elections Act, Chapter 467 of the laws of Malta, 1 January 2004 and subsequent amendments, available at:   </w:t>
      </w:r>
    </w:p>
    <w:p w14:paraId="4A65AD07" w14:textId="76A13BD1" w:rsidR="0043168A" w:rsidRDefault="009D0E89">
      <w:pPr>
        <w:pStyle w:val="FootnoteText"/>
      </w:pPr>
      <w:hyperlink r:id="rId19" w:history="1">
        <w:r w:rsidR="0043168A" w:rsidRPr="003F2941">
          <w:rPr>
            <w:rStyle w:val="Hyperlink"/>
            <w:szCs w:val="18"/>
          </w:rPr>
          <w:t>http://justiceservices.gov.mt/DownloadDocument.aspx?app=lom&amp;itemid=8933</w:t>
        </w:r>
      </w:hyperlink>
      <w:r w:rsidR="0043168A">
        <w:rPr>
          <w:szCs w:val="18"/>
        </w:rPr>
        <w:t xml:space="preserve"> </w:t>
      </w:r>
    </w:p>
  </w:footnote>
  <w:footnote w:id="20">
    <w:p w14:paraId="220E4C98" w14:textId="11B4C1CB" w:rsidR="0043168A" w:rsidRPr="005B11B5" w:rsidRDefault="0043168A" w:rsidP="005B11B5">
      <w:pPr>
        <w:pStyle w:val="FootnoteText"/>
        <w:rPr>
          <w:szCs w:val="18"/>
        </w:rPr>
      </w:pPr>
      <w:r>
        <w:rPr>
          <w:rStyle w:val="FootnoteReference"/>
        </w:rPr>
        <w:footnoteRef/>
      </w:r>
      <w:r>
        <w:t xml:space="preserve"> </w:t>
      </w:r>
      <w:r w:rsidRPr="005B11B5">
        <w:rPr>
          <w:szCs w:val="18"/>
        </w:rPr>
        <w:t xml:space="preserve">Local Councils Act, Chapter 363 of the laws of Malta, 23 July 1993 and subsequent amendments, available at:   </w:t>
      </w:r>
      <w:hyperlink r:id="rId20" w:history="1">
        <w:r w:rsidRPr="003F2941">
          <w:rPr>
            <w:rStyle w:val="Hyperlink"/>
            <w:szCs w:val="18"/>
          </w:rPr>
          <w:t>http://www.justiceservices.gov.mt/DownloadDocument.aspx?app=lom&amp;itemid=8833</w:t>
        </w:r>
      </w:hyperlink>
      <w:r>
        <w:rPr>
          <w:szCs w:val="18"/>
        </w:rPr>
        <w:t xml:space="preserve"> </w:t>
      </w:r>
      <w:r w:rsidRPr="005B11B5">
        <w:rPr>
          <w:szCs w:val="18"/>
        </w:rPr>
        <w:t xml:space="preserve"> </w:t>
      </w:r>
    </w:p>
    <w:p w14:paraId="5250CCA6" w14:textId="0C07CB48" w:rsidR="0043168A" w:rsidRDefault="0043168A">
      <w:pPr>
        <w:pStyle w:val="FootnoteText"/>
      </w:pPr>
    </w:p>
  </w:footnote>
  <w:footnote w:id="21">
    <w:p w14:paraId="08867102" w14:textId="77777777" w:rsidR="0043168A" w:rsidRPr="001A3EC1" w:rsidRDefault="0043168A" w:rsidP="005C4F75">
      <w:pPr>
        <w:pStyle w:val="FootnoteText"/>
        <w:rPr>
          <w:lang w:val="en-GB"/>
        </w:rPr>
      </w:pPr>
      <w:r>
        <w:rPr>
          <w:rStyle w:val="FootnoteReference"/>
        </w:rPr>
        <w:footnoteRef/>
      </w:r>
      <w:r>
        <w:t xml:space="preserve"> </w:t>
      </w:r>
      <w:r w:rsidRPr="00FC02E7">
        <w:t xml:space="preserve">Malta, </w:t>
      </w:r>
      <w:r w:rsidRPr="001A3EC1">
        <w:rPr>
          <w:lang w:val="en-GB"/>
        </w:rPr>
        <w:t>General Elections Act, Chapter 354 of the laws of Malta</w:t>
      </w:r>
      <w:r w:rsidRPr="00FC02E7">
        <w:t xml:space="preserve">, </w:t>
      </w:r>
      <w:r>
        <w:rPr>
          <w:lang w:val="mt-MT"/>
        </w:rPr>
        <w:t>27 September 1991</w:t>
      </w:r>
      <w:r w:rsidRPr="004603BD">
        <w:rPr>
          <w:lang w:val="mt-MT"/>
        </w:rPr>
        <w:t xml:space="preserve"> </w:t>
      </w:r>
      <w:r>
        <w:rPr>
          <w:lang w:val="mt-MT"/>
        </w:rPr>
        <w:t xml:space="preserve">and subsequent amendments, </w:t>
      </w:r>
      <w:r w:rsidRPr="00FC02E7">
        <w:t xml:space="preserve">available at:   </w:t>
      </w:r>
      <w:r w:rsidRPr="001A3EC1">
        <w:rPr>
          <w:lang w:val="en-GB"/>
        </w:rPr>
        <w:t xml:space="preserve"> </w:t>
      </w:r>
    </w:p>
    <w:p w14:paraId="28AA0423" w14:textId="77777777" w:rsidR="0043168A" w:rsidRDefault="009D0E89" w:rsidP="005C4F75">
      <w:pPr>
        <w:pStyle w:val="FootnoteText"/>
      </w:pPr>
      <w:hyperlink r:id="rId21" w:history="1">
        <w:r w:rsidR="0043168A" w:rsidRPr="001A3EC1">
          <w:rPr>
            <w:rStyle w:val="Hyperlink"/>
            <w:lang w:val="en-GB"/>
          </w:rPr>
          <w:t>http://www.justiceservices.gov.mt/DownloadDocument.aspx?app=lom&amp;itemid=8824</w:t>
        </w:r>
      </w:hyperlink>
    </w:p>
  </w:footnote>
  <w:footnote w:id="22">
    <w:p w14:paraId="73EE3F91" w14:textId="77777777" w:rsidR="0043168A" w:rsidRPr="00FC02E7" w:rsidRDefault="0043168A" w:rsidP="006D6D43">
      <w:pPr>
        <w:pStyle w:val="FootnoteText"/>
        <w:rPr>
          <w:lang w:val="en-GB"/>
        </w:rPr>
      </w:pPr>
      <w:r>
        <w:rPr>
          <w:rStyle w:val="FootnoteReference"/>
        </w:rPr>
        <w:footnoteRef/>
      </w:r>
      <w:r>
        <w:t xml:space="preserve"> </w:t>
      </w:r>
      <w:r w:rsidRPr="00FC02E7">
        <w:t xml:space="preserve">Malta, </w:t>
      </w:r>
      <w:r w:rsidRPr="00FC02E7">
        <w:rPr>
          <w:lang w:val="en-GB"/>
        </w:rPr>
        <w:t>Local Councils Act, Chapter 363 of the laws of Malta</w:t>
      </w:r>
      <w:r w:rsidRPr="00FC02E7">
        <w:t xml:space="preserve">, </w:t>
      </w:r>
      <w:r>
        <w:rPr>
          <w:lang w:val="mt-MT"/>
        </w:rPr>
        <w:t xml:space="preserve">23 July 1993 and subsequent amendments, </w:t>
      </w:r>
      <w:r w:rsidRPr="00FC02E7">
        <w:t xml:space="preserve">available at:   </w:t>
      </w:r>
    </w:p>
    <w:p w14:paraId="1609A66C" w14:textId="77777777" w:rsidR="0043168A" w:rsidRDefault="009D0E89" w:rsidP="006D6D43">
      <w:pPr>
        <w:pStyle w:val="FootnoteText"/>
      </w:pPr>
      <w:hyperlink r:id="rId22" w:history="1">
        <w:r w:rsidR="0043168A" w:rsidRPr="00FC02E7">
          <w:rPr>
            <w:rStyle w:val="Hyperlink"/>
            <w:lang w:val="en-GB"/>
          </w:rPr>
          <w:t>http://www.justiceservices.gov.mt/DownloadDocument.aspx?app=lom&amp;itemid=8833</w:t>
        </w:r>
      </w:hyperlink>
    </w:p>
  </w:footnote>
  <w:footnote w:id="23">
    <w:p w14:paraId="4E1B40EC" w14:textId="3AC3ABD8" w:rsidR="0043168A" w:rsidRDefault="0043168A">
      <w:pPr>
        <w:pStyle w:val="FootnoteText"/>
      </w:pPr>
      <w:r>
        <w:rPr>
          <w:rStyle w:val="FootnoteReference"/>
        </w:rPr>
        <w:footnoteRef/>
      </w:r>
      <w:r>
        <w:t xml:space="preserve"> </w:t>
      </w:r>
      <w:r w:rsidRPr="00C02CD5">
        <w:t>The Malta Communications Authority may impose “must carry” obligations (for the transmission of specified radio and TV channels), particularly accessibility services to enable appropriate access for disabled end-users. The “must carry” obligations, although not defined in the law, relate to the imposition to broadcast, with accessibility services to ease access, where they are necessary to meet general interest objectives (such as in the instances of election broadcasts</w:t>
      </w:r>
      <w:r>
        <w:t>).</w:t>
      </w:r>
    </w:p>
  </w:footnote>
  <w:footnote w:id="24">
    <w:p w14:paraId="65CBAB67" w14:textId="77777777" w:rsidR="0043168A" w:rsidRPr="005C4F75" w:rsidRDefault="0043168A" w:rsidP="00547D06">
      <w:pPr>
        <w:pStyle w:val="FootnoteText"/>
        <w:rPr>
          <w:rFonts w:asciiTheme="minorHAnsi" w:hAnsiTheme="minorHAnsi"/>
        </w:rPr>
      </w:pPr>
      <w:r w:rsidRPr="005C4F75">
        <w:rPr>
          <w:rStyle w:val="FootnoteReference"/>
          <w:rFonts w:asciiTheme="minorHAnsi" w:hAnsiTheme="minorHAnsi"/>
        </w:rPr>
        <w:footnoteRef/>
      </w:r>
      <w:r w:rsidRPr="005C4F75">
        <w:rPr>
          <w:rFonts w:asciiTheme="minorHAnsi" w:hAnsiTheme="minorHAnsi"/>
          <w:lang w:val="mt-MT"/>
        </w:rPr>
        <w:t xml:space="preserve"> </w:t>
      </w:r>
      <w:r w:rsidRPr="005C4F75">
        <w:rPr>
          <w:rFonts w:asciiTheme="minorHAnsi" w:hAnsiTheme="minorHAnsi"/>
        </w:rPr>
        <w:t>Malta, House of Representatives</w:t>
      </w:r>
      <w:r w:rsidRPr="005C4F75">
        <w:rPr>
          <w:rFonts w:asciiTheme="minorHAnsi" w:hAnsiTheme="minorHAnsi"/>
          <w:lang w:val="mt-MT"/>
        </w:rPr>
        <w:t xml:space="preserve"> (2011), </w:t>
      </w:r>
      <w:r w:rsidRPr="005C4F75">
        <w:rPr>
          <w:rFonts w:asciiTheme="minorHAnsi" w:hAnsiTheme="minorHAnsi"/>
          <w:lang w:val="en-GB"/>
        </w:rPr>
        <w:t>Legal notice 273 of 2011, Electronic Communications Networks and Services (General) Regulations, Subsidiary legislation 399.28, 12 July, 2011</w:t>
      </w:r>
      <w:r w:rsidRPr="005C4F75">
        <w:rPr>
          <w:rFonts w:asciiTheme="minorHAnsi" w:hAnsiTheme="minorHAnsi"/>
          <w:lang w:val="mt-MT"/>
        </w:rPr>
        <w:t xml:space="preserve"> and subsequent amendments</w:t>
      </w:r>
      <w:r w:rsidRPr="005C4F75">
        <w:rPr>
          <w:rFonts w:asciiTheme="minorHAnsi" w:hAnsiTheme="minorHAnsi"/>
          <w:lang w:val="en-GB"/>
        </w:rPr>
        <w:t xml:space="preserve">, </w:t>
      </w:r>
      <w:r w:rsidRPr="005C4F75">
        <w:rPr>
          <w:rFonts w:asciiTheme="minorHAnsi" w:hAnsiTheme="minorHAnsi"/>
        </w:rPr>
        <w:t xml:space="preserve">available at: </w:t>
      </w:r>
      <w:hyperlink r:id="rId23" w:history="1">
        <w:r w:rsidRPr="005C4F75">
          <w:rPr>
            <w:rStyle w:val="Hyperlink"/>
            <w:rFonts w:asciiTheme="minorHAnsi" w:hAnsiTheme="minorHAnsi"/>
            <w:lang w:val="en-GB"/>
          </w:rPr>
          <w:t>http://www.justiceservices.gov.mt/DownloadDocument.aspx?app=lom&amp;itemid=10563</w:t>
        </w:r>
      </w:hyperlink>
      <w:r w:rsidRPr="005C4F75">
        <w:rPr>
          <w:rStyle w:val="Hyperlink"/>
          <w:rFonts w:asciiTheme="minorHAnsi" w:hAnsiTheme="minorHAnsi"/>
          <w:lang w:val="en-GB"/>
        </w:rPr>
        <w:t xml:space="preserve"> </w:t>
      </w:r>
    </w:p>
  </w:footnote>
  <w:footnote w:id="25">
    <w:p w14:paraId="517B8C5F" w14:textId="77777777" w:rsidR="0043168A" w:rsidRPr="00B94C53" w:rsidRDefault="0043168A" w:rsidP="00547D06">
      <w:pPr>
        <w:pStyle w:val="FootnoteText"/>
      </w:pPr>
      <w:r w:rsidRPr="00B94C53">
        <w:rPr>
          <w:rStyle w:val="FootnoteReference"/>
        </w:rPr>
        <w:footnoteRef/>
      </w:r>
      <w:r w:rsidRPr="00B94C53">
        <w:t xml:space="preserve"> Malta, House of Representatives</w:t>
      </w:r>
      <w:r w:rsidRPr="00B94C53">
        <w:rPr>
          <w:lang w:val="mt-MT"/>
        </w:rPr>
        <w:t xml:space="preserve"> (2000), </w:t>
      </w:r>
      <w:r w:rsidRPr="00B94C53">
        <w:rPr>
          <w:lang w:val="en-GB"/>
        </w:rPr>
        <w:t xml:space="preserve">Equal Opportunities (Persons with Disabilities) Act, Chapter 413 of the laws of Malta, 10 February 2000 </w:t>
      </w:r>
      <w:r w:rsidRPr="00B94C53">
        <w:rPr>
          <w:lang w:val="mt-MT"/>
        </w:rPr>
        <w:t>and subsequent amendments</w:t>
      </w:r>
      <w:r w:rsidRPr="00B94C53">
        <w:rPr>
          <w:lang w:val="en-GB"/>
        </w:rPr>
        <w:t xml:space="preserve">, </w:t>
      </w:r>
      <w:r w:rsidRPr="00B94C53">
        <w:t xml:space="preserve">available at: </w:t>
      </w:r>
      <w:hyperlink r:id="rId24" w:history="1">
        <w:r w:rsidRPr="00B94C53">
          <w:rPr>
            <w:rStyle w:val="Hyperlink"/>
            <w:lang w:val="en-GB"/>
          </w:rPr>
          <w:t>http://justiceservices.gov.mt/DownloadDocument.aspx?app=lom&amp;itemid=8879&amp;l=1</w:t>
        </w:r>
      </w:hyperlink>
    </w:p>
  </w:footnote>
  <w:footnote w:id="26">
    <w:p w14:paraId="0BC4FF51" w14:textId="77777777" w:rsidR="0043168A" w:rsidRPr="00B94C53" w:rsidRDefault="0043168A" w:rsidP="00547D06">
      <w:pPr>
        <w:pStyle w:val="FootnoteText"/>
        <w:rPr>
          <w:lang w:val="en-GB"/>
        </w:rPr>
      </w:pPr>
      <w:r w:rsidRPr="00B94C53">
        <w:rPr>
          <w:rStyle w:val="FootnoteReference"/>
        </w:rPr>
        <w:footnoteRef/>
      </w:r>
      <w:r w:rsidRPr="00B94C53">
        <w:t xml:space="preserve"> MITA/FITA  GMICT Standards </w:t>
      </w:r>
      <w:hyperlink r:id="rId25" w:history="1">
        <w:r w:rsidRPr="00B94C53">
          <w:rPr>
            <w:rStyle w:val="Hyperlink"/>
          </w:rPr>
          <w:t>https://www.mita.gov.mt/MediaCenter/PDFs/1_GMICT_S_0051-3_Website_Accessibility_Standard_v4.0.pdf</w:t>
        </w:r>
      </w:hyperlink>
      <w:r w:rsidRPr="00B94C53">
        <w:t xml:space="preserve"> </w:t>
      </w:r>
    </w:p>
  </w:footnote>
  <w:footnote w:id="27">
    <w:p w14:paraId="1F8381FF" w14:textId="77777777" w:rsidR="0043168A" w:rsidRPr="00B94C53" w:rsidRDefault="0043168A" w:rsidP="00547D06">
      <w:pPr>
        <w:pStyle w:val="FootnoteText"/>
        <w:rPr>
          <w:lang w:val="mt-MT"/>
        </w:rPr>
      </w:pPr>
      <w:r w:rsidRPr="00B94C53">
        <w:rPr>
          <w:rStyle w:val="FootnoteReference"/>
        </w:rPr>
        <w:footnoteRef/>
      </w:r>
      <w:r w:rsidRPr="00B94C53">
        <w:t xml:space="preserve"> </w:t>
      </w:r>
      <w:r w:rsidRPr="00B94C53">
        <w:rPr>
          <w:lang w:val="mt-MT"/>
        </w:rPr>
        <w:t xml:space="preserve">Malta, </w:t>
      </w:r>
      <w:r w:rsidRPr="00B94C53">
        <w:t>National Commission Persons with Disability</w:t>
      </w:r>
      <w:r w:rsidRPr="00B94C53">
        <w:rPr>
          <w:lang w:val="mt-MT"/>
        </w:rPr>
        <w:t xml:space="preserve">, Annual Report 2005,  </w:t>
      </w:r>
      <w:r w:rsidRPr="00B94C53">
        <w:t>available at:</w:t>
      </w:r>
      <w:r w:rsidRPr="00B94C53">
        <w:rPr>
          <w:lang w:val="mt-MT"/>
        </w:rPr>
        <w:t xml:space="preserve"> </w:t>
      </w:r>
      <w:hyperlink r:id="rId26" w:history="1">
        <w:r w:rsidRPr="00B94C53">
          <w:rPr>
            <w:rStyle w:val="Hyperlink"/>
            <w:lang w:val="mt-MT"/>
          </w:rPr>
          <w:t>http://www.knpdarchives.org/reports/05_rapann_e.pdf</w:t>
        </w:r>
      </w:hyperlink>
      <w:r w:rsidRPr="00B94C53">
        <w:rPr>
          <w:lang w:val="mt-MT"/>
        </w:rPr>
        <w:t xml:space="preserve"> </w:t>
      </w:r>
    </w:p>
    <w:p w14:paraId="131ED6A0" w14:textId="77777777" w:rsidR="0043168A" w:rsidRPr="00B94C53" w:rsidRDefault="0043168A" w:rsidP="00547D06">
      <w:pPr>
        <w:pStyle w:val="FootnoteText"/>
        <w:rPr>
          <w:lang w:val="mt-MT"/>
        </w:rPr>
      </w:pPr>
      <w:r w:rsidRPr="00B94C53">
        <w:rPr>
          <w:lang w:val="mt-MT"/>
        </w:rPr>
        <w:t xml:space="preserve">Malta, </w:t>
      </w:r>
      <w:r w:rsidRPr="00B94C53">
        <w:t>National Commission Persons with Disability</w:t>
      </w:r>
      <w:r w:rsidRPr="00B94C53">
        <w:rPr>
          <w:lang w:val="mt-MT"/>
        </w:rPr>
        <w:t xml:space="preserve">, Annual Report 2006,  </w:t>
      </w:r>
      <w:r w:rsidRPr="00B94C53">
        <w:t>available at:</w:t>
      </w:r>
      <w:r w:rsidRPr="00B94C53">
        <w:rPr>
          <w:lang w:val="mt-MT"/>
        </w:rPr>
        <w:t xml:space="preserve"> </w:t>
      </w:r>
      <w:hyperlink r:id="rId27" w:history="1">
        <w:r w:rsidRPr="00B94C53">
          <w:rPr>
            <w:rStyle w:val="Hyperlink"/>
            <w:lang w:val="mt-MT"/>
          </w:rPr>
          <w:t>http://www.knpdarchives.org/reports/06rapann-e.pdf</w:t>
        </w:r>
      </w:hyperlink>
      <w:r w:rsidRPr="00B94C53">
        <w:rPr>
          <w:lang w:val="mt-MT"/>
        </w:rPr>
        <w:t xml:space="preserve"> </w:t>
      </w:r>
    </w:p>
    <w:p w14:paraId="211C7A70" w14:textId="77777777" w:rsidR="0043168A" w:rsidRPr="00B94C53" w:rsidRDefault="0043168A" w:rsidP="00547D06">
      <w:pPr>
        <w:pStyle w:val="FootnoteText"/>
      </w:pPr>
      <w:r w:rsidRPr="00B94C53">
        <w:rPr>
          <w:lang w:val="mt-MT"/>
        </w:rPr>
        <w:t xml:space="preserve">Malta, </w:t>
      </w:r>
      <w:r w:rsidRPr="00B94C53">
        <w:t>National Commission Persons with Disability</w:t>
      </w:r>
      <w:r w:rsidRPr="00B94C53">
        <w:rPr>
          <w:lang w:val="mt-MT"/>
        </w:rPr>
        <w:t xml:space="preserve">, Annual Report 2007,  </w:t>
      </w:r>
      <w:r w:rsidRPr="00B94C53">
        <w:t>available at:</w:t>
      </w:r>
      <w:r w:rsidRPr="00B94C53">
        <w:rPr>
          <w:lang w:val="mt-MT"/>
        </w:rPr>
        <w:t xml:space="preserve"> </w:t>
      </w:r>
      <w:hyperlink r:id="rId28" w:history="1">
        <w:r w:rsidRPr="00B94C53">
          <w:rPr>
            <w:rStyle w:val="Hyperlink"/>
            <w:lang w:val="mt-MT"/>
          </w:rPr>
          <w:t>http://www.knpdarchives.org/reports/07annualreport_e.pdf</w:t>
        </w:r>
      </w:hyperlink>
      <w:r w:rsidRPr="00B94C53">
        <w:rPr>
          <w:lang w:val="mt-MT"/>
        </w:rPr>
        <w:t xml:space="preserve"> </w:t>
      </w:r>
    </w:p>
  </w:footnote>
  <w:footnote w:id="28">
    <w:p w14:paraId="5C91EB02" w14:textId="44586829" w:rsidR="0043168A" w:rsidRPr="00B94C53" w:rsidRDefault="0043168A" w:rsidP="00547D06">
      <w:pPr>
        <w:pStyle w:val="FootnoteText"/>
      </w:pPr>
      <w:r w:rsidRPr="00B94C53">
        <w:rPr>
          <w:rStyle w:val="FootnoteReference"/>
        </w:rPr>
        <w:footnoteRef/>
      </w:r>
      <w:r w:rsidRPr="00B94C53">
        <w:t xml:space="preserve"> </w:t>
      </w:r>
      <w:r w:rsidRPr="00B94C53">
        <w:rPr>
          <w:lang w:val="mt-MT"/>
        </w:rPr>
        <w:t xml:space="preserve">Malta, </w:t>
      </w:r>
      <w:r w:rsidRPr="00B94C53">
        <w:rPr>
          <w:lang w:val="en-GB"/>
        </w:rPr>
        <w:t xml:space="preserve">National Commission Persons with Disability, (2007), </w:t>
      </w:r>
      <w:r w:rsidRPr="00180D2A">
        <w:rPr>
          <w:lang w:val="en-GB"/>
        </w:rPr>
        <w:t>Guidelines towards an inclusive society and a positive difference in the lives of Maltese and Gozitan disabled people</w:t>
      </w:r>
      <w:r w:rsidRPr="00B94C53">
        <w:rPr>
          <w:lang w:val="en-GB"/>
        </w:rPr>
        <w:t xml:space="preserve">, </w:t>
      </w:r>
      <w:hyperlink r:id="rId29" w:history="1">
        <w:r>
          <w:rPr>
            <w:rStyle w:val="Hyperlink"/>
          </w:rPr>
          <w:t>http://knpd.org/pubs/pdf/dritijietmhuxkarita_e.pdf</w:t>
        </w:r>
      </w:hyperlink>
      <w:r>
        <w:t xml:space="preserve"> </w:t>
      </w:r>
      <w:r w:rsidRPr="00B94C53">
        <w:rPr>
          <w:rStyle w:val="Hyperlink"/>
          <w:lang w:val="en-GB"/>
        </w:rPr>
        <w:t xml:space="preserve"> </w:t>
      </w:r>
    </w:p>
  </w:footnote>
  <w:footnote w:id="29">
    <w:p w14:paraId="64F1A123" w14:textId="77777777" w:rsidR="0043168A" w:rsidRDefault="0043168A" w:rsidP="00547D06">
      <w:pPr>
        <w:pStyle w:val="FootnoteText"/>
      </w:pPr>
      <w:r w:rsidRPr="00B94C53">
        <w:rPr>
          <w:rStyle w:val="FootnoteReference"/>
        </w:rPr>
        <w:footnoteRef/>
      </w:r>
      <w:r w:rsidRPr="00B94C53">
        <w:t xml:space="preserve"> Malta, House of Representatives</w:t>
      </w:r>
      <w:r w:rsidRPr="00B94C53">
        <w:rPr>
          <w:lang w:val="mt-MT"/>
        </w:rPr>
        <w:t xml:space="preserve"> (1991), </w:t>
      </w:r>
      <w:r w:rsidRPr="00B94C53">
        <w:rPr>
          <w:lang w:val="en-GB"/>
        </w:rPr>
        <w:t xml:space="preserve">Broadcasting Act, Chapter 350 of the Laws of Malta, 1 June 2991 </w:t>
      </w:r>
      <w:r w:rsidRPr="00B94C53">
        <w:rPr>
          <w:lang w:val="mt-MT"/>
        </w:rPr>
        <w:t>and subsequent amendments</w:t>
      </w:r>
      <w:r w:rsidRPr="00B94C53">
        <w:rPr>
          <w:lang w:val="en-GB"/>
        </w:rPr>
        <w:t xml:space="preserve">, </w:t>
      </w:r>
      <w:r w:rsidRPr="00B94C53">
        <w:t>available at:</w:t>
      </w:r>
      <w:r w:rsidRPr="00B94C53">
        <w:rPr>
          <w:lang w:val="mt-MT"/>
        </w:rPr>
        <w:t xml:space="preserve"> </w:t>
      </w:r>
      <w:hyperlink r:id="rId30" w:history="1">
        <w:r w:rsidRPr="00B94C53">
          <w:rPr>
            <w:rStyle w:val="Hyperlink"/>
            <w:lang w:val="en-GB"/>
          </w:rPr>
          <w:t>http://www.justiceservices.gov.mt/DownloadDocument.aspx?app=lom&amp;itemid=8820</w:t>
        </w:r>
      </w:hyperlink>
      <w:r>
        <w:rPr>
          <w:rStyle w:val="Hyperlink"/>
          <w:rFonts w:ascii="Times New Roman" w:hAnsi="Times New Roman"/>
          <w:lang w:val="en-GB"/>
        </w:rPr>
        <w:t xml:space="preserve"> </w:t>
      </w:r>
    </w:p>
  </w:footnote>
  <w:footnote w:id="30">
    <w:p w14:paraId="23B46387" w14:textId="59618BFF" w:rsidR="0043168A" w:rsidRDefault="0043168A" w:rsidP="006158E5">
      <w:pPr>
        <w:pStyle w:val="FootnoteText"/>
      </w:pPr>
      <w:r>
        <w:rPr>
          <w:rStyle w:val="FootnoteReference"/>
        </w:rPr>
        <w:footnoteRef/>
      </w:r>
      <w:r>
        <w:t xml:space="preserve"> </w:t>
      </w:r>
      <w:r w:rsidRPr="00D30860">
        <w:rPr>
          <w:rFonts w:asciiTheme="minorHAnsi" w:hAnsiTheme="minorHAnsi"/>
        </w:rPr>
        <w:t xml:space="preserve">Malta, </w:t>
      </w:r>
      <w:r w:rsidRPr="00D30860">
        <w:rPr>
          <w:rFonts w:asciiTheme="minorHAnsi" w:hAnsiTheme="minorHAnsi"/>
          <w:lang w:val="en-GB"/>
        </w:rPr>
        <w:t>Equal Opportunities (Persons with Disability) Act, Chapter 413 of the Laws of Malta</w:t>
      </w:r>
      <w:r w:rsidRPr="00D30860">
        <w:rPr>
          <w:rFonts w:asciiTheme="minorHAnsi" w:hAnsiTheme="minorHAnsi"/>
        </w:rPr>
        <w:t xml:space="preserve">, </w:t>
      </w:r>
      <w:r w:rsidRPr="00D30860">
        <w:rPr>
          <w:rFonts w:asciiTheme="minorHAnsi" w:hAnsiTheme="minorHAnsi"/>
          <w:lang w:val="mt-MT"/>
        </w:rPr>
        <w:t>10 February 2000</w:t>
      </w:r>
      <w:r w:rsidRPr="00D30860">
        <w:rPr>
          <w:rFonts w:asciiTheme="minorHAnsi" w:hAnsiTheme="minorHAnsi"/>
          <w:sz w:val="22"/>
          <w:szCs w:val="22"/>
          <w:lang w:val="mt-MT"/>
        </w:rPr>
        <w:t xml:space="preserve"> </w:t>
      </w:r>
      <w:r w:rsidRPr="00D30860">
        <w:rPr>
          <w:rFonts w:asciiTheme="minorHAnsi" w:hAnsiTheme="minorHAnsi"/>
          <w:lang w:val="mt-MT"/>
        </w:rPr>
        <w:t>and subsequent amendments</w:t>
      </w:r>
      <w:r w:rsidRPr="00D30860">
        <w:rPr>
          <w:rFonts w:asciiTheme="minorHAnsi" w:hAnsiTheme="minorHAnsi"/>
          <w:lang w:val="en-GB"/>
        </w:rPr>
        <w:t>,</w:t>
      </w:r>
      <w:r w:rsidRPr="00D30860">
        <w:rPr>
          <w:rFonts w:asciiTheme="minorHAnsi" w:hAnsiTheme="minorHAnsi"/>
          <w:lang w:val="mt-MT"/>
        </w:rPr>
        <w:t xml:space="preserve"> </w:t>
      </w:r>
      <w:r w:rsidRPr="00D30860">
        <w:rPr>
          <w:rFonts w:asciiTheme="minorHAnsi" w:hAnsiTheme="minorHAnsi"/>
        </w:rPr>
        <w:t>available at:</w:t>
      </w:r>
      <w:r w:rsidRPr="00D30860">
        <w:rPr>
          <w:rFonts w:asciiTheme="minorHAnsi" w:hAnsiTheme="minorHAnsi"/>
          <w:lang w:val="en-GB"/>
        </w:rPr>
        <w:t xml:space="preserve"> </w:t>
      </w:r>
      <w:hyperlink r:id="rId31" w:history="1">
        <w:r w:rsidRPr="00D30860">
          <w:rPr>
            <w:rStyle w:val="Hyperlink"/>
            <w:rFonts w:asciiTheme="minorHAnsi" w:hAnsiTheme="minorHAnsi"/>
            <w:lang w:val="en-GB"/>
          </w:rPr>
          <w:t>http://justiceservices.gov.mt/DownloadDocument.aspx?app=lom&amp;itemid=8879&amp;l=1</w:t>
        </w:r>
      </w:hyperlink>
      <w:r>
        <w:rPr>
          <w:rFonts w:ascii="Times New Roman" w:hAnsi="Times New Roman"/>
          <w:lang w:val="en-GB"/>
        </w:rPr>
        <w:t xml:space="preserve"> </w:t>
      </w:r>
    </w:p>
  </w:footnote>
  <w:footnote w:id="31">
    <w:p w14:paraId="00172DBC" w14:textId="77777777" w:rsidR="0043168A" w:rsidRPr="005A33A9" w:rsidRDefault="0043168A" w:rsidP="00547D06">
      <w:pPr>
        <w:pStyle w:val="FootnoteText"/>
        <w:rPr>
          <w:lang w:val="en-GB"/>
        </w:rPr>
      </w:pPr>
      <w:r w:rsidRPr="00D30860">
        <w:rPr>
          <w:rStyle w:val="FootnoteReference"/>
          <w:rFonts w:asciiTheme="minorHAnsi" w:hAnsiTheme="minorHAnsi"/>
        </w:rPr>
        <w:footnoteRef/>
      </w:r>
      <w:r w:rsidRPr="00D30860">
        <w:rPr>
          <w:rFonts w:asciiTheme="minorHAnsi" w:hAnsiTheme="minorHAnsi"/>
        </w:rPr>
        <w:t xml:space="preserve"> Tirchett Francis Pen Et Vs Kummissjunarju Elettorali Principali Et, filed in First Hall Civil Court, decided 26/06/2006. The case was filed by individuals, on behalf of the members of the Society of the Blind.</w:t>
      </w:r>
      <w:r>
        <w:t xml:space="preserve"> </w:t>
      </w:r>
    </w:p>
  </w:footnote>
  <w:footnote w:id="32">
    <w:p w14:paraId="364EA126" w14:textId="01661A68" w:rsidR="0043168A" w:rsidRPr="00E079E9" w:rsidRDefault="0043168A">
      <w:pPr>
        <w:pStyle w:val="FootnoteText"/>
        <w:rPr>
          <w:rFonts w:asciiTheme="minorHAnsi" w:hAnsiTheme="minorHAnsi"/>
        </w:rPr>
      </w:pPr>
      <w:r w:rsidRPr="00E079E9">
        <w:rPr>
          <w:rStyle w:val="FootnoteReference"/>
          <w:rFonts w:asciiTheme="minorHAnsi" w:hAnsiTheme="minorHAnsi"/>
        </w:rPr>
        <w:footnoteRef/>
      </w:r>
      <w:r w:rsidRPr="00E079E9">
        <w:rPr>
          <w:rFonts w:asciiTheme="minorHAnsi" w:hAnsiTheme="minorHAnsi"/>
        </w:rPr>
        <w:t xml:space="preserve"> Malta, </w:t>
      </w:r>
      <w:r w:rsidRPr="00E079E9">
        <w:rPr>
          <w:rFonts w:asciiTheme="minorHAnsi" w:hAnsiTheme="minorHAnsi"/>
          <w:lang w:val="en-GB"/>
        </w:rPr>
        <w:t xml:space="preserve">Act XXI of 2007, </w:t>
      </w:r>
      <w:r>
        <w:rPr>
          <w:rFonts w:asciiTheme="minorHAnsi" w:hAnsiTheme="minorHAnsi"/>
          <w:lang w:val="en-GB"/>
        </w:rPr>
        <w:t>28 September</w:t>
      </w:r>
      <w:r w:rsidRPr="00E079E9">
        <w:rPr>
          <w:rFonts w:asciiTheme="minorHAnsi" w:hAnsiTheme="minorHAnsi"/>
          <w:lang w:val="en-GB"/>
        </w:rPr>
        <w:t xml:space="preserve"> 2007</w:t>
      </w:r>
      <w:r>
        <w:rPr>
          <w:rFonts w:asciiTheme="minorHAnsi" w:hAnsiTheme="minorHAnsi"/>
          <w:lang w:val="en-GB"/>
        </w:rPr>
        <w:t xml:space="preserve">, </w:t>
      </w:r>
      <w:r w:rsidRPr="00E079E9">
        <w:rPr>
          <w:rFonts w:asciiTheme="minorHAnsi" w:hAnsiTheme="minorHAnsi"/>
          <w:lang w:val="en-GB"/>
        </w:rPr>
        <w:t xml:space="preserve">available at: </w:t>
      </w:r>
      <w:hyperlink r:id="rId32" w:history="1">
        <w:r w:rsidRPr="00E079E9">
          <w:rPr>
            <w:rStyle w:val="Hyperlink"/>
            <w:rFonts w:asciiTheme="minorHAnsi" w:hAnsiTheme="minorHAnsi"/>
          </w:rPr>
          <w:t>http://www.justiceservices.gov.mt/DownloadDocument.aspx?app=lp&amp;itemid=18445&amp;l=1</w:t>
        </w:r>
      </w:hyperlink>
      <w:r>
        <w:rPr>
          <w:rStyle w:val="Hyperlink"/>
          <w:rFonts w:asciiTheme="minorHAnsi" w:hAnsiTheme="minorHAnsi"/>
        </w:rPr>
        <w:t xml:space="preserve"> </w:t>
      </w:r>
    </w:p>
  </w:footnote>
  <w:footnote w:id="33">
    <w:p w14:paraId="14423F12" w14:textId="14C31ABB" w:rsidR="0043168A" w:rsidRDefault="0043168A" w:rsidP="00547D06">
      <w:pPr>
        <w:pStyle w:val="FootnoteText"/>
      </w:pPr>
      <w:r w:rsidRPr="003A20AD">
        <w:rPr>
          <w:rStyle w:val="FootnoteReference"/>
        </w:rPr>
        <w:footnoteRef/>
      </w:r>
      <w:r w:rsidRPr="003A20AD">
        <w:t xml:space="preserve"> Reply received in writing from Ms Anne-Marie Callus, the executive director of the National Commission Persons with Disability, 29</w:t>
      </w:r>
      <w:r w:rsidRPr="003A20AD">
        <w:rPr>
          <w:lang w:val="mt-MT"/>
        </w:rPr>
        <w:t xml:space="preserve"> </w:t>
      </w:r>
      <w:r w:rsidRPr="003A20AD">
        <w:t>July 2013.</w:t>
      </w:r>
    </w:p>
  </w:footnote>
  <w:footnote w:id="34">
    <w:p w14:paraId="4C7A4ABD" w14:textId="77777777" w:rsidR="0043168A" w:rsidRDefault="0043168A" w:rsidP="00547D06">
      <w:pPr>
        <w:pStyle w:val="FootnoteText"/>
      </w:pPr>
      <w:r>
        <w:rPr>
          <w:rStyle w:val="FootnoteReference"/>
        </w:rPr>
        <w:footnoteRef/>
      </w:r>
      <w:r>
        <w:t xml:space="preserve"> </w:t>
      </w:r>
      <w:r w:rsidRPr="003A5BC2">
        <w:rPr>
          <w:lang w:val="mt-MT"/>
        </w:rPr>
        <w:t xml:space="preserve">Joseph M. Camilleri (2013), </w:t>
      </w:r>
      <w:r>
        <w:rPr>
          <w:lang w:val="mt-MT"/>
        </w:rPr>
        <w:t>‘</w:t>
      </w:r>
      <w:r w:rsidRPr="003A5BC2">
        <w:rPr>
          <w:lang w:val="mt-MT"/>
        </w:rPr>
        <w:t>D</w:t>
      </w:r>
      <w:r w:rsidRPr="003A5BC2">
        <w:t>eaf community rights fall on deaf ears</w:t>
      </w:r>
      <w:r>
        <w:rPr>
          <w:lang w:val="mt-MT"/>
        </w:rPr>
        <w:t>’</w:t>
      </w:r>
      <w:r w:rsidRPr="003A5BC2">
        <w:rPr>
          <w:lang w:val="mt-MT"/>
        </w:rPr>
        <w:t xml:space="preserve">, KNPD Media release, 1 March 2013, available at: </w:t>
      </w:r>
      <w:hyperlink r:id="rId33" w:history="1">
        <w:r w:rsidRPr="003A5BC2">
          <w:rPr>
            <w:rStyle w:val="Hyperlink"/>
          </w:rPr>
          <w:t>http://www.knpd.org/pubs/pdf/20130301_EOCU%20(PBS-MSLI%20Debates%20-%20KNPD%20prsrel).pdf</w:t>
        </w:r>
      </w:hyperlink>
      <w:r w:rsidRPr="003A5BC2">
        <w:rPr>
          <w:lang w:val="mt-MT"/>
        </w:rPr>
        <w:t xml:space="preserve"> </w:t>
      </w:r>
    </w:p>
  </w:footnote>
  <w:footnote w:id="35">
    <w:p w14:paraId="0A921ACF" w14:textId="36C10C69" w:rsidR="0043168A" w:rsidRDefault="0043168A" w:rsidP="00547D06">
      <w:pPr>
        <w:pStyle w:val="FootnoteText"/>
      </w:pPr>
      <w:r>
        <w:rPr>
          <w:rStyle w:val="FootnoteReference"/>
        </w:rPr>
        <w:footnoteRef/>
      </w:r>
      <w:r>
        <w:t xml:space="preserve"> </w:t>
      </w:r>
      <w:r w:rsidRPr="003A5BC2">
        <w:t xml:space="preserve">Malta, Broadcasting Authority (2013), </w:t>
      </w:r>
      <w:r>
        <w:rPr>
          <w:lang w:val="mt-MT"/>
        </w:rPr>
        <w:t>‘</w:t>
      </w:r>
      <w:r w:rsidRPr="003A20AD">
        <w:rPr>
          <w:i/>
        </w:rPr>
        <w:t>Xarabank</w:t>
      </w:r>
      <w:r w:rsidRPr="003A5BC2">
        <w:t xml:space="preserve"> Political Debates exclude Deaf Voters</w:t>
      </w:r>
      <w:r>
        <w:rPr>
          <w:lang w:val="mt-MT"/>
        </w:rPr>
        <w:t>’</w:t>
      </w:r>
      <w:r w:rsidRPr="003A5BC2">
        <w:t xml:space="preserve">, Media release 1413, 1 March 2013, available at: </w:t>
      </w:r>
      <w:hyperlink r:id="rId34" w:history="1">
        <w:r w:rsidRPr="003A5BC2">
          <w:rPr>
            <w:rStyle w:val="Hyperlink"/>
          </w:rPr>
          <w:t>http://www.ba-malta.org/prdetails?id=247</w:t>
        </w:r>
      </w:hyperlink>
      <w:r>
        <w:rPr>
          <w:rStyle w:val="Hyperlink"/>
        </w:rPr>
        <w:t xml:space="preserve"> </w:t>
      </w:r>
    </w:p>
  </w:footnote>
  <w:footnote w:id="36">
    <w:p w14:paraId="080DC028" w14:textId="172399B4" w:rsidR="0043168A" w:rsidRDefault="0043168A">
      <w:pPr>
        <w:pStyle w:val="FootnoteText"/>
      </w:pPr>
      <w:r>
        <w:rPr>
          <w:rStyle w:val="FootnoteReference"/>
        </w:rPr>
        <w:footnoteRef/>
      </w:r>
      <w:r>
        <w:t xml:space="preserve"> </w:t>
      </w:r>
      <w:r w:rsidRPr="003A5BC2">
        <w:t>Malta, Broadcasting Authority (2013</w:t>
      </w:r>
      <w:r>
        <w:t xml:space="preserve">), </w:t>
      </w:r>
      <w:r>
        <w:rPr>
          <w:lang w:val="en-GB"/>
        </w:rPr>
        <w:t>Decision of the Broadcasting Authority on the complaint of the Deaf People Association</w:t>
      </w:r>
      <w:r w:rsidRPr="007045B0">
        <w:t xml:space="preserve"> </w:t>
      </w:r>
      <w:r>
        <w:t>(</w:t>
      </w:r>
      <w:r w:rsidRPr="007045B0">
        <w:rPr>
          <w:i/>
        </w:rPr>
        <w:t>Deċiżjoni tal-Awtorità tax-Xandir dwar ilment mid-Deaf People Association tat-12 ta' Marzu 2013</w:t>
      </w:r>
      <w:r>
        <w:t>), 12 March 2013.</w:t>
      </w:r>
    </w:p>
  </w:footnote>
  <w:footnote w:id="37">
    <w:p w14:paraId="096327F4" w14:textId="77777777" w:rsidR="0043168A" w:rsidRDefault="0043168A" w:rsidP="00547D06">
      <w:pPr>
        <w:pStyle w:val="FootnoteText"/>
      </w:pPr>
      <w:r w:rsidRPr="004470DE">
        <w:rPr>
          <w:rStyle w:val="FootnoteReference"/>
        </w:rPr>
        <w:footnoteRef/>
      </w:r>
      <w:r w:rsidRPr="004470DE">
        <w:t xml:space="preserve"> Malta, House of Representatives</w:t>
      </w:r>
      <w:r w:rsidRPr="004470DE">
        <w:rPr>
          <w:lang w:val="mt-MT"/>
        </w:rPr>
        <w:t xml:space="preserve"> (2000), </w:t>
      </w:r>
      <w:r w:rsidRPr="004470DE">
        <w:rPr>
          <w:lang w:val="en-GB"/>
        </w:rPr>
        <w:t>Equal Opportunities (Persons with Disability) Act, Chapter 413 of the Laws of Malta</w:t>
      </w:r>
      <w:r w:rsidRPr="004470DE">
        <w:t xml:space="preserve">, </w:t>
      </w:r>
      <w:r w:rsidRPr="004470DE">
        <w:rPr>
          <w:lang w:val="mt-MT"/>
        </w:rPr>
        <w:t>10 February 2000</w:t>
      </w:r>
      <w:r w:rsidRPr="004470DE">
        <w:rPr>
          <w:sz w:val="22"/>
          <w:szCs w:val="22"/>
          <w:lang w:val="mt-MT"/>
        </w:rPr>
        <w:t xml:space="preserve"> </w:t>
      </w:r>
      <w:r w:rsidRPr="004470DE">
        <w:rPr>
          <w:lang w:val="mt-MT"/>
        </w:rPr>
        <w:t>and subsequent amendments</w:t>
      </w:r>
      <w:r w:rsidRPr="004470DE">
        <w:rPr>
          <w:lang w:val="en-GB"/>
        </w:rPr>
        <w:t>,</w:t>
      </w:r>
      <w:r w:rsidRPr="004470DE">
        <w:rPr>
          <w:lang w:val="mt-MT"/>
        </w:rPr>
        <w:t xml:space="preserve"> </w:t>
      </w:r>
      <w:r w:rsidRPr="004470DE">
        <w:t xml:space="preserve">available at:   </w:t>
      </w:r>
      <w:r w:rsidRPr="004470DE">
        <w:rPr>
          <w:lang w:val="en-GB"/>
        </w:rPr>
        <w:t xml:space="preserve"> </w:t>
      </w:r>
      <w:hyperlink r:id="rId35" w:history="1">
        <w:r w:rsidRPr="004470DE">
          <w:rPr>
            <w:rStyle w:val="Hyperlink"/>
            <w:lang w:val="en-GB"/>
          </w:rPr>
          <w:t>http://justiceservices.gov.mt/DownloadDocument.aspx?app=lom&amp;itemid=8879&amp;l=1</w:t>
        </w:r>
      </w:hyperlink>
    </w:p>
  </w:footnote>
  <w:footnote w:id="38">
    <w:p w14:paraId="60DB2F51" w14:textId="77777777" w:rsidR="0043168A" w:rsidRDefault="0043168A" w:rsidP="007045B0">
      <w:pPr>
        <w:pStyle w:val="FootnoteText"/>
      </w:pPr>
      <w:r>
        <w:rPr>
          <w:rStyle w:val="FootnoteReference"/>
        </w:rPr>
        <w:footnoteRef/>
      </w:r>
      <w:r>
        <w:t xml:space="preserve"> Information provided by National Liaison Officer. </w:t>
      </w:r>
    </w:p>
  </w:footnote>
  <w:footnote w:id="39">
    <w:p w14:paraId="74F4E8B7" w14:textId="0D587B26" w:rsidR="0043168A" w:rsidRDefault="0043168A" w:rsidP="00547D06">
      <w:pPr>
        <w:pStyle w:val="FootnoteText"/>
      </w:pPr>
      <w:r>
        <w:rPr>
          <w:rStyle w:val="FootnoteReference"/>
        </w:rPr>
        <w:footnoteRef/>
      </w:r>
      <w:r>
        <w:t xml:space="preserve"> </w:t>
      </w:r>
      <w:r w:rsidRPr="003A20AD">
        <w:t>Reply received in writing from the National Commission P</w:t>
      </w:r>
      <w:r>
        <w:t>ersons with Disability, 29 July</w:t>
      </w:r>
      <w:r w:rsidRPr="003A20AD">
        <w:t xml:space="preserve"> 2013.</w:t>
      </w:r>
    </w:p>
  </w:footnote>
  <w:footnote w:id="40">
    <w:p w14:paraId="7290A70B" w14:textId="07139776" w:rsidR="0043168A" w:rsidRDefault="0043168A" w:rsidP="00547D06">
      <w:pPr>
        <w:pStyle w:val="FootnoteText"/>
      </w:pPr>
      <w:r w:rsidRPr="003A20AD">
        <w:rPr>
          <w:rStyle w:val="FootnoteReference"/>
        </w:rPr>
        <w:footnoteRef/>
      </w:r>
      <w:r w:rsidRPr="003A20AD">
        <w:t xml:space="preserve"> Reply received in writing from the National Commission Persons with </w:t>
      </w:r>
      <w:r>
        <w:t xml:space="preserve">Disability, 29 July </w:t>
      </w:r>
      <w:r w:rsidRPr="003A20AD">
        <w:t>2013.</w:t>
      </w:r>
    </w:p>
  </w:footnote>
  <w:footnote w:id="41">
    <w:p w14:paraId="326546DC" w14:textId="27E4EF9D" w:rsidR="0043168A" w:rsidRDefault="0043168A" w:rsidP="00547D06">
      <w:pPr>
        <w:pStyle w:val="FootnoteText"/>
      </w:pPr>
      <w:r>
        <w:rPr>
          <w:rStyle w:val="FootnoteReference"/>
        </w:rPr>
        <w:footnoteRef/>
      </w:r>
      <w:r>
        <w:t xml:space="preserve"> </w:t>
      </w:r>
      <w:r w:rsidRPr="003A20AD">
        <w:t>Reply received in writing from the National Commission P</w:t>
      </w:r>
      <w:r>
        <w:t>ersons with Disability, 29 July</w:t>
      </w:r>
      <w:r w:rsidRPr="003A20AD">
        <w:t xml:space="preserve"> 2013.</w:t>
      </w:r>
    </w:p>
  </w:footnote>
  <w:footnote w:id="42">
    <w:p w14:paraId="725C351E" w14:textId="727A6907" w:rsidR="0043168A" w:rsidRDefault="0043168A" w:rsidP="00547D06">
      <w:pPr>
        <w:pStyle w:val="FootnoteText"/>
      </w:pPr>
      <w:r w:rsidRPr="003A20AD">
        <w:rPr>
          <w:rStyle w:val="FootnoteReference"/>
        </w:rPr>
        <w:footnoteRef/>
      </w:r>
      <w:r w:rsidRPr="003A20AD">
        <w:t xml:space="preserve"> Reply received in writing from the National Commission Persons with Disability, 29 July 2013.</w:t>
      </w:r>
    </w:p>
  </w:footnote>
  <w:footnote w:id="43">
    <w:p w14:paraId="566EBFE0" w14:textId="4301E7B5" w:rsidR="0043168A" w:rsidRDefault="0043168A" w:rsidP="00547D06">
      <w:pPr>
        <w:pStyle w:val="FootnoteText"/>
      </w:pPr>
      <w:r>
        <w:rPr>
          <w:rStyle w:val="FootnoteReference"/>
        </w:rPr>
        <w:footnoteRef/>
      </w:r>
      <w:r>
        <w:t xml:space="preserve"> The NFP contacted the Broadcasting Authority and 3 TV stations: only the BA and one TV station answered to date.</w:t>
      </w:r>
    </w:p>
  </w:footnote>
  <w:footnote w:id="44">
    <w:p w14:paraId="733DECF6" w14:textId="6734DFCB" w:rsidR="0043168A" w:rsidRDefault="0043168A">
      <w:pPr>
        <w:pStyle w:val="FootnoteText"/>
      </w:pPr>
      <w:r>
        <w:rPr>
          <w:rStyle w:val="FootnoteReference"/>
        </w:rPr>
        <w:footnoteRef/>
      </w:r>
      <w:r>
        <w:t xml:space="preserve"> </w:t>
      </w:r>
      <w:r w:rsidRPr="00A20319">
        <w:t xml:space="preserve">Reply received in writing from </w:t>
      </w:r>
      <w:r>
        <w:t>the Broadcasting Authority in Malta</w:t>
      </w:r>
      <w:r w:rsidRPr="00A20319">
        <w:t>, 2</w:t>
      </w:r>
      <w:r>
        <w:t>7</w:t>
      </w:r>
      <w:r w:rsidRPr="00A20319">
        <w:t xml:space="preserve"> </w:t>
      </w:r>
      <w:r>
        <w:t>September</w:t>
      </w:r>
      <w:r w:rsidRPr="00A20319">
        <w:t xml:space="preserve"> 2013</w:t>
      </w:r>
      <w:r>
        <w:t xml:space="preserve">. Also </w:t>
      </w:r>
      <w:r w:rsidRPr="007A2947">
        <w:t xml:space="preserve">see </w:t>
      </w:r>
      <w:hyperlink r:id="rId36" w:history="1">
        <w:r w:rsidRPr="003F2941">
          <w:rPr>
            <w:rStyle w:val="Hyperlink"/>
          </w:rPr>
          <w:t>http://www.ba-malta.org/prdetails?id=239</w:t>
        </w:r>
      </w:hyperlink>
      <w:r>
        <w:t xml:space="preserve"> </w:t>
      </w:r>
      <w:r w:rsidRPr="007A2947">
        <w:t xml:space="preserve"> and </w:t>
      </w:r>
      <w:hyperlink r:id="rId37" w:history="1">
        <w:r w:rsidRPr="003F2941">
          <w:rPr>
            <w:rStyle w:val="Hyperlink"/>
          </w:rPr>
          <w:t>http://www.ba-malta.org/file.aspx?f=1344</w:t>
        </w:r>
      </w:hyperlink>
      <w:r>
        <w:t xml:space="preserve">   </w:t>
      </w:r>
    </w:p>
  </w:footnote>
  <w:footnote w:id="45">
    <w:p w14:paraId="012F559F" w14:textId="39B1707B" w:rsidR="0043168A" w:rsidRPr="006456CB" w:rsidRDefault="0043168A" w:rsidP="00547D06">
      <w:pPr>
        <w:pStyle w:val="FootnoteText"/>
        <w:rPr>
          <w:lang w:val="en-GB"/>
        </w:rPr>
      </w:pPr>
      <w:r>
        <w:rPr>
          <w:rStyle w:val="FootnoteReference"/>
        </w:rPr>
        <w:footnoteRef/>
      </w:r>
      <w:r>
        <w:t xml:space="preserve"> </w:t>
      </w:r>
      <w:r w:rsidRPr="003A20AD">
        <w:t xml:space="preserve">Reply received in writing from </w:t>
      </w:r>
      <w:r>
        <w:t>One Productions Ltd, 23</w:t>
      </w:r>
      <w:r w:rsidRPr="003A20AD">
        <w:t xml:space="preserve"> </w:t>
      </w:r>
      <w:r>
        <w:t>September</w:t>
      </w:r>
      <w:r w:rsidRPr="003A20AD">
        <w:t xml:space="preserve"> 2013.</w:t>
      </w:r>
    </w:p>
  </w:footnote>
  <w:footnote w:id="46">
    <w:p w14:paraId="0FF45BA7" w14:textId="2B8736FA" w:rsidR="0043168A" w:rsidRPr="008513BF" w:rsidRDefault="0043168A" w:rsidP="00547D06">
      <w:pPr>
        <w:pStyle w:val="FootnoteText"/>
        <w:rPr>
          <w:lang w:val="en-GB"/>
        </w:rPr>
      </w:pPr>
      <w:r>
        <w:rPr>
          <w:rStyle w:val="FootnoteReference"/>
        </w:rPr>
        <w:footnoteRef/>
      </w:r>
      <w:r>
        <w:t xml:space="preserve"> </w:t>
      </w:r>
      <w:r w:rsidRPr="00A20319">
        <w:t xml:space="preserve">Reply received in writing from </w:t>
      </w:r>
      <w:r>
        <w:t>Broadcasting Authority in Malta</w:t>
      </w:r>
      <w:r w:rsidRPr="00A20319">
        <w:t>, 2</w:t>
      </w:r>
      <w:r>
        <w:t>7</w:t>
      </w:r>
      <w:r w:rsidRPr="00A20319">
        <w:t xml:space="preserve"> </w:t>
      </w:r>
      <w:r>
        <w:t>September</w:t>
      </w:r>
      <w:r w:rsidRPr="00A20319">
        <w:t xml:space="preserve"> 2013.</w:t>
      </w:r>
    </w:p>
  </w:footnote>
  <w:footnote w:id="47">
    <w:p w14:paraId="2C6CD390" w14:textId="7D54CFB6" w:rsidR="0043168A" w:rsidRPr="00A20319" w:rsidRDefault="0043168A" w:rsidP="00547D06">
      <w:pPr>
        <w:pStyle w:val="FootnoteText"/>
        <w:jc w:val="both"/>
        <w:rPr>
          <w:lang w:val="en-GB"/>
        </w:rPr>
      </w:pPr>
      <w:r>
        <w:rPr>
          <w:rStyle w:val="FootnoteReference"/>
        </w:rPr>
        <w:footnoteRef/>
      </w:r>
      <w:r>
        <w:t xml:space="preserve"> </w:t>
      </w:r>
      <w:r w:rsidRPr="00A20319">
        <w:t xml:space="preserve">Reply received in writing from </w:t>
      </w:r>
      <w:r>
        <w:t>Broadcasting Authority in Malta</w:t>
      </w:r>
      <w:r w:rsidRPr="00A20319">
        <w:t>, 2</w:t>
      </w:r>
      <w:r>
        <w:t>7</w:t>
      </w:r>
      <w:r w:rsidRPr="00A20319">
        <w:t xml:space="preserve"> </w:t>
      </w:r>
      <w:r>
        <w:t>September</w:t>
      </w:r>
      <w:r w:rsidRPr="00A20319">
        <w:t xml:space="preserve"> 2013.</w:t>
      </w:r>
    </w:p>
  </w:footnote>
  <w:footnote w:id="48">
    <w:p w14:paraId="65FCFBA3" w14:textId="5D281867" w:rsidR="0043168A" w:rsidRDefault="0043168A" w:rsidP="00547D06">
      <w:pPr>
        <w:pStyle w:val="FootnoteText"/>
      </w:pPr>
      <w:r w:rsidRPr="003A20AD">
        <w:rPr>
          <w:rStyle w:val="FootnoteReference"/>
        </w:rPr>
        <w:footnoteRef/>
      </w:r>
      <w:r w:rsidRPr="003A20AD">
        <w:t xml:space="preserve"> Reply received in writing from the National Commission Persons with Disability, 29 July 2013.</w:t>
      </w:r>
    </w:p>
  </w:footnote>
  <w:footnote w:id="49">
    <w:p w14:paraId="354E86E0" w14:textId="4F9F390B" w:rsidR="0043168A" w:rsidRDefault="0043168A" w:rsidP="00547D06">
      <w:pPr>
        <w:pStyle w:val="FootnoteText"/>
      </w:pPr>
      <w:r w:rsidRPr="003A20AD">
        <w:rPr>
          <w:rStyle w:val="FootnoteReference"/>
        </w:rPr>
        <w:footnoteRef/>
      </w:r>
      <w:r w:rsidRPr="003A20AD">
        <w:t xml:space="preserve"> Reply received in writing from the National Commission Persons with Disability, 29 July 2013.</w:t>
      </w:r>
      <w:r>
        <w:t xml:space="preserve"> </w:t>
      </w:r>
    </w:p>
  </w:footnote>
  <w:footnote w:id="50">
    <w:p w14:paraId="20991BB0" w14:textId="2A246646" w:rsidR="0043168A" w:rsidRPr="006456CB" w:rsidRDefault="0043168A" w:rsidP="00547D06">
      <w:pPr>
        <w:pStyle w:val="FootnoteText"/>
        <w:jc w:val="both"/>
        <w:rPr>
          <w:lang w:val="en-GB"/>
        </w:rPr>
      </w:pPr>
      <w:r>
        <w:rPr>
          <w:rStyle w:val="FootnoteReference"/>
        </w:rPr>
        <w:footnoteRef/>
      </w:r>
      <w:r>
        <w:t xml:space="preserve"> </w:t>
      </w:r>
      <w:r w:rsidRPr="00A20319">
        <w:t xml:space="preserve">Reply received in writing from </w:t>
      </w:r>
      <w:r>
        <w:t>the</w:t>
      </w:r>
      <w:r w:rsidRPr="00A20319">
        <w:t xml:space="preserve"> </w:t>
      </w:r>
      <w:r>
        <w:t>Broadcasting Authority in Malta</w:t>
      </w:r>
      <w:r w:rsidRPr="00A20319">
        <w:t>, 2</w:t>
      </w:r>
      <w:r>
        <w:t>7</w:t>
      </w:r>
      <w:r w:rsidRPr="00A20319">
        <w:t xml:space="preserve"> </w:t>
      </w:r>
      <w:r>
        <w:t>September</w:t>
      </w:r>
      <w:r w:rsidRPr="00A20319">
        <w:t xml:space="preserve"> 2013.</w:t>
      </w:r>
    </w:p>
  </w:footnote>
  <w:footnote w:id="51">
    <w:p w14:paraId="2CC80063" w14:textId="4576B486" w:rsidR="0043168A" w:rsidRPr="006456CB" w:rsidRDefault="0043168A" w:rsidP="00547D06">
      <w:pPr>
        <w:pStyle w:val="FootnoteText"/>
        <w:rPr>
          <w:lang w:val="en-GB"/>
        </w:rPr>
      </w:pPr>
      <w:r>
        <w:rPr>
          <w:rStyle w:val="FootnoteReference"/>
        </w:rPr>
        <w:footnoteRef/>
      </w:r>
      <w:r>
        <w:t xml:space="preserve"> </w:t>
      </w:r>
      <w:r w:rsidRPr="00A20319">
        <w:t xml:space="preserve">Reply received in writing from </w:t>
      </w:r>
      <w:r>
        <w:t>the</w:t>
      </w:r>
      <w:r w:rsidRPr="00A20319">
        <w:t xml:space="preserve"> </w:t>
      </w:r>
      <w:r>
        <w:t>Broadcasting Authority in Malta</w:t>
      </w:r>
      <w:r w:rsidRPr="00A20319">
        <w:t>, 2</w:t>
      </w:r>
      <w:r>
        <w:t>7</w:t>
      </w:r>
      <w:r w:rsidRPr="00A20319">
        <w:t xml:space="preserve"> </w:t>
      </w:r>
      <w:r>
        <w:t xml:space="preserve">September </w:t>
      </w:r>
      <w:r w:rsidRPr="00A20319">
        <w:t>2013.</w:t>
      </w:r>
    </w:p>
  </w:footnote>
  <w:footnote w:id="52">
    <w:p w14:paraId="0FC39A74" w14:textId="769F39A3" w:rsidR="0043168A" w:rsidRDefault="0043168A" w:rsidP="00547D06">
      <w:pPr>
        <w:pStyle w:val="FootnoteText"/>
      </w:pPr>
      <w:r>
        <w:rPr>
          <w:rStyle w:val="FootnoteReference"/>
        </w:rPr>
        <w:footnoteRef/>
      </w:r>
      <w:r>
        <w:t xml:space="preserve"> The NFP received a reply from One TV, which is a political party station, and some replies from Alternattiva Demokratika.</w:t>
      </w:r>
    </w:p>
  </w:footnote>
  <w:footnote w:id="53">
    <w:p w14:paraId="5E09085D" w14:textId="12AA93EA" w:rsidR="0043168A" w:rsidRPr="00B30937" w:rsidRDefault="0043168A" w:rsidP="00547D06">
      <w:pPr>
        <w:pStyle w:val="FootnoteText"/>
        <w:rPr>
          <w:lang w:val="en-GB"/>
        </w:rPr>
      </w:pPr>
      <w:r>
        <w:rPr>
          <w:rStyle w:val="FootnoteReference"/>
        </w:rPr>
        <w:footnoteRef/>
      </w:r>
      <w:r>
        <w:t xml:space="preserve"> </w:t>
      </w:r>
      <w:r w:rsidRPr="00A20319">
        <w:t xml:space="preserve">Reply received in writing from </w:t>
      </w:r>
      <w:r>
        <w:t>the</w:t>
      </w:r>
      <w:r w:rsidRPr="00A20319">
        <w:t xml:space="preserve"> </w:t>
      </w:r>
      <w:r w:rsidRPr="00B30937">
        <w:t>Spokesperson for Disability Issues and Sports</w:t>
      </w:r>
      <w:r>
        <w:t>, of Alternattiva Demokratika, 31</w:t>
      </w:r>
      <w:r w:rsidRPr="00A20319">
        <w:t xml:space="preserve"> </w:t>
      </w:r>
      <w:r>
        <w:t>July</w:t>
      </w:r>
      <w:r w:rsidRPr="00A20319">
        <w:t xml:space="preserve"> 2013.</w:t>
      </w:r>
    </w:p>
  </w:footnote>
  <w:footnote w:id="54">
    <w:p w14:paraId="1B92C8C8" w14:textId="77777777" w:rsidR="0043168A" w:rsidRPr="00415BF7" w:rsidRDefault="0043168A" w:rsidP="00547D06">
      <w:pPr>
        <w:pStyle w:val="FootnoteText"/>
        <w:rPr>
          <w:rFonts w:asciiTheme="minorHAnsi" w:hAnsiTheme="minorHAnsi"/>
        </w:rPr>
      </w:pPr>
      <w:r>
        <w:rPr>
          <w:rStyle w:val="FootnoteReference"/>
        </w:rPr>
        <w:footnoteRef/>
      </w:r>
      <w:r>
        <w:rPr>
          <w:lang w:val="mt-MT"/>
        </w:rPr>
        <w:t xml:space="preserve"> </w:t>
      </w:r>
      <w:r w:rsidRPr="003A20AD">
        <w:rPr>
          <w:lang w:val="mt-MT"/>
        </w:rPr>
        <w:t xml:space="preserve">Joseph Spiteri Ed. (2011) Access for all – Design Guidelines, Malta, KNPD, available at: </w:t>
      </w:r>
      <w:hyperlink r:id="rId38" w:history="1">
        <w:r w:rsidRPr="00415BF7">
          <w:rPr>
            <w:rStyle w:val="Hyperlink"/>
            <w:rFonts w:asciiTheme="minorHAnsi" w:hAnsiTheme="minorHAnsi"/>
          </w:rPr>
          <w:t>http://www.knpd.org/legislation/accessforall.html</w:t>
        </w:r>
      </w:hyperlink>
      <w:r w:rsidRPr="00415BF7">
        <w:rPr>
          <w:rStyle w:val="Hyperlink"/>
          <w:rFonts w:asciiTheme="minorHAnsi" w:hAnsiTheme="minorHAnsi"/>
          <w:lang w:val="mt-MT"/>
        </w:rPr>
        <w:t xml:space="preserve"> </w:t>
      </w:r>
    </w:p>
  </w:footnote>
  <w:footnote w:id="55">
    <w:p w14:paraId="2A68EE3C" w14:textId="3CE252CB" w:rsidR="0043168A" w:rsidRDefault="0043168A">
      <w:pPr>
        <w:pStyle w:val="FootnoteText"/>
      </w:pPr>
      <w:r>
        <w:rPr>
          <w:rStyle w:val="FootnoteReference"/>
        </w:rPr>
        <w:footnoteRef/>
      </w:r>
      <w:r>
        <w:t xml:space="preserve"> The NFP </w:t>
      </w:r>
      <w:r w:rsidRPr="00580364">
        <w:t>consulted KNPD an</w:t>
      </w:r>
      <w:r>
        <w:t>d the Electoral Commission</w:t>
      </w:r>
      <w:r w:rsidRPr="00580364">
        <w:t xml:space="preserve"> in July 2013.</w:t>
      </w:r>
    </w:p>
  </w:footnote>
  <w:footnote w:id="56">
    <w:p w14:paraId="0A82F3B8" w14:textId="77777777" w:rsidR="0043168A" w:rsidRDefault="0043168A" w:rsidP="00547D06">
      <w:pPr>
        <w:pStyle w:val="FootnoteText"/>
        <w:contextualSpacing/>
      </w:pPr>
      <w:r w:rsidRPr="003A20AD">
        <w:rPr>
          <w:rStyle w:val="FootnoteReference"/>
        </w:rPr>
        <w:footnoteRef/>
      </w:r>
      <w:r w:rsidRPr="003A20AD">
        <w:t xml:space="preserve"> </w:t>
      </w:r>
      <w:r w:rsidRPr="003A20AD">
        <w:rPr>
          <w:lang w:val="mt-MT"/>
        </w:rPr>
        <w:t>Joseph M. Camilleri (2013), D</w:t>
      </w:r>
      <w:r w:rsidRPr="003A20AD">
        <w:t>eaf community rights fall on deaf ears</w:t>
      </w:r>
      <w:r w:rsidRPr="003A20AD">
        <w:rPr>
          <w:lang w:val="mt-MT"/>
        </w:rPr>
        <w:t xml:space="preserve">, KNPD Media release, 1 March 2013, available at: </w:t>
      </w:r>
      <w:hyperlink r:id="rId39" w:history="1">
        <w:r w:rsidRPr="003A20AD">
          <w:rPr>
            <w:rStyle w:val="Hyperlink"/>
          </w:rPr>
          <w:t>http://www.knpd.org/pubs/pdf/20130301_EOCU%20(PBS-MSLI%20Debates%20-%20KNPD%20prsrel).pdf</w:t>
        </w:r>
      </w:hyperlink>
      <w:r w:rsidRPr="003A20AD">
        <w:rPr>
          <w:lang w:val="mt-MT"/>
        </w:rPr>
        <w:t xml:space="preserve"> </w:t>
      </w:r>
    </w:p>
  </w:footnote>
  <w:footnote w:id="57">
    <w:p w14:paraId="5CCC8261" w14:textId="77777777" w:rsidR="0043168A" w:rsidRDefault="0043168A" w:rsidP="00D30860">
      <w:pPr>
        <w:spacing w:after="0" w:line="240" w:lineRule="auto"/>
        <w:contextualSpacing/>
      </w:pPr>
      <w:r w:rsidRPr="003A20AD">
        <w:rPr>
          <w:rStyle w:val="FootnoteReference"/>
        </w:rPr>
        <w:footnoteRef/>
      </w:r>
      <w:r w:rsidRPr="003A20AD">
        <w:t xml:space="preserve"> </w:t>
      </w:r>
      <w:r w:rsidRPr="003A20AD">
        <w:rPr>
          <w:sz w:val="20"/>
          <w:szCs w:val="20"/>
        </w:rPr>
        <w:t xml:space="preserve">Malta, Broadcasting Authority (2013), Xarabank Political Debates exclude Deaf Voters, Media release 1413, 1 March 2013, available at: </w:t>
      </w:r>
      <w:hyperlink r:id="rId40" w:history="1">
        <w:r w:rsidRPr="003A20AD">
          <w:rPr>
            <w:rStyle w:val="Hyperlink"/>
          </w:rPr>
          <w:t>http://www.ba-malta.org/prdetails?id=247</w:t>
        </w:r>
      </w:hyperlink>
      <w:r w:rsidRPr="003A20AD">
        <w:rPr>
          <w:sz w:val="20"/>
          <w:szCs w:val="20"/>
          <w:lang w:val="mt-MT"/>
        </w:rPr>
        <w:t xml:space="preserve"> </w:t>
      </w:r>
    </w:p>
  </w:footnote>
  <w:footnote w:id="58">
    <w:p w14:paraId="2CB2A758" w14:textId="573997E1" w:rsidR="0043168A" w:rsidRDefault="0043168A" w:rsidP="00547D06">
      <w:pPr>
        <w:pStyle w:val="FootnoteText"/>
        <w:contextualSpacing/>
      </w:pPr>
      <w:r w:rsidRPr="003A20AD">
        <w:rPr>
          <w:rStyle w:val="FootnoteReference"/>
        </w:rPr>
        <w:footnoteRef/>
      </w:r>
      <w:r w:rsidRPr="003A20AD">
        <w:t xml:space="preserve"> Reply received in writing from the National Commission Persons with Disability, 29 July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C0E30" w14:textId="620CAFF1" w:rsidR="0099513F" w:rsidRPr="009C18CC" w:rsidRDefault="0099513F" w:rsidP="00547D06">
    <w:pPr>
      <w:pStyle w:val="Header"/>
      <w:jc w:val="right"/>
      <w:rPr>
        <w:rFonts w:ascii="Arial Narrow" w:hAnsi="Arial Narrow"/>
      </w:rPr>
    </w:pPr>
    <w:r>
      <w:rPr>
        <w:rFonts w:ascii="Arial Narrow" w:hAnsi="Arial Narrow"/>
        <w:sz w:val="20"/>
        <w:szCs w:val="20"/>
      </w:rPr>
      <w:t>Background country information</w:t>
    </w:r>
    <w:r w:rsidRPr="009C18CC">
      <w:rPr>
        <w:rFonts w:ascii="Arial Narrow" w:hAnsi="Arial Narrow"/>
        <w:sz w:val="20"/>
        <w:szCs w:val="20"/>
      </w:rPr>
      <w:t xml:space="preserve">: </w:t>
    </w:r>
    <w:r>
      <w:rPr>
        <w:rFonts w:ascii="Arial Narrow" w:hAnsi="Arial Narrow"/>
        <w:sz w:val="20"/>
        <w:szCs w:val="20"/>
      </w:rPr>
      <w:t>Political participation of persons with disabilities</w:t>
    </w:r>
  </w:p>
  <w:p w14:paraId="46118182" w14:textId="77777777" w:rsidR="0099513F" w:rsidRDefault="00995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8C1"/>
    <w:multiLevelType w:val="hybridMultilevel"/>
    <w:tmpl w:val="44001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48071D"/>
    <w:multiLevelType w:val="hybridMultilevel"/>
    <w:tmpl w:val="0CA8DB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7A6B2B"/>
    <w:multiLevelType w:val="hybridMultilevel"/>
    <w:tmpl w:val="1C680590"/>
    <w:lvl w:ilvl="0" w:tplc="C2888F52">
      <w:start w:val="1"/>
      <w:numFmt w:val="decimal"/>
      <w:lvlText w:val="%1."/>
      <w:lvlJc w:val="left"/>
      <w:pPr>
        <w:ind w:left="720" w:hanging="360"/>
      </w:pPr>
      <w:rPr>
        <w:rFonts w:cs="Times New Roman" w:hint="default"/>
        <w:b/>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15657034"/>
    <w:multiLevelType w:val="hybridMultilevel"/>
    <w:tmpl w:val="7B140CE8"/>
    <w:lvl w:ilvl="0" w:tplc="9B9ADC28">
      <w:start w:val="1"/>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3E679C"/>
    <w:multiLevelType w:val="hybridMultilevel"/>
    <w:tmpl w:val="4C4EE5C8"/>
    <w:lvl w:ilvl="0" w:tplc="A6860360">
      <w:start w:val="1"/>
      <w:numFmt w:val="decimal"/>
      <w:lvlText w:val="%1."/>
      <w:lvlJc w:val="left"/>
      <w:pPr>
        <w:ind w:left="720" w:hanging="360"/>
      </w:pPr>
      <w:rPr>
        <w:rFonts w:cs="Times New Roman"/>
        <w:b/>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nsid w:val="27186E0E"/>
    <w:multiLevelType w:val="hybridMultilevel"/>
    <w:tmpl w:val="2E527D10"/>
    <w:lvl w:ilvl="0" w:tplc="18090011">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nsid w:val="282C64E9"/>
    <w:multiLevelType w:val="hybridMultilevel"/>
    <w:tmpl w:val="33A83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8807691"/>
    <w:multiLevelType w:val="hybridMultilevel"/>
    <w:tmpl w:val="27CE7D6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nsid w:val="2AF36346"/>
    <w:multiLevelType w:val="multilevel"/>
    <w:tmpl w:val="8070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67466B"/>
    <w:multiLevelType w:val="hybridMultilevel"/>
    <w:tmpl w:val="D7D6EC3C"/>
    <w:lvl w:ilvl="0" w:tplc="777C5950">
      <w:start w:val="1"/>
      <w:numFmt w:val="upperRoman"/>
      <w:lvlText w:val="%1."/>
      <w:lvlJc w:val="right"/>
      <w:pPr>
        <w:ind w:left="720" w:hanging="360"/>
      </w:pPr>
      <w:rPr>
        <w:rFonts w:ascii="Times New Roman" w:hAnsi="Times New Roman" w:cs="Times New Roman" w:hint="default"/>
        <w:i w:val="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D871BE3"/>
    <w:multiLevelType w:val="hybridMultilevel"/>
    <w:tmpl w:val="94F05BEE"/>
    <w:lvl w:ilvl="0" w:tplc="77C8A004">
      <w:numFmt w:val="bullet"/>
      <w:lvlText w:val="-"/>
      <w:lvlJc w:val="left"/>
      <w:pPr>
        <w:ind w:left="1570" w:hanging="360"/>
      </w:pPr>
      <w:rPr>
        <w:rFonts w:ascii="Arial Narrow" w:eastAsia="Times New Roman" w:hAnsi="Arial Narrow" w:hint="default"/>
      </w:rPr>
    </w:lvl>
    <w:lvl w:ilvl="1" w:tplc="08130003">
      <w:start w:val="1"/>
      <w:numFmt w:val="bullet"/>
      <w:lvlText w:val="o"/>
      <w:lvlJc w:val="left"/>
      <w:pPr>
        <w:ind w:left="2290" w:hanging="360"/>
      </w:pPr>
      <w:rPr>
        <w:rFonts w:ascii="Courier New" w:hAnsi="Courier New" w:hint="default"/>
      </w:rPr>
    </w:lvl>
    <w:lvl w:ilvl="2" w:tplc="08130005">
      <w:start w:val="1"/>
      <w:numFmt w:val="bullet"/>
      <w:lvlText w:val=""/>
      <w:lvlJc w:val="left"/>
      <w:pPr>
        <w:ind w:left="3010" w:hanging="360"/>
      </w:pPr>
      <w:rPr>
        <w:rFonts w:ascii="Wingdings" w:hAnsi="Wingdings" w:hint="default"/>
      </w:rPr>
    </w:lvl>
    <w:lvl w:ilvl="3" w:tplc="08130001">
      <w:start w:val="1"/>
      <w:numFmt w:val="bullet"/>
      <w:lvlText w:val=""/>
      <w:lvlJc w:val="left"/>
      <w:pPr>
        <w:ind w:left="3730" w:hanging="360"/>
      </w:pPr>
      <w:rPr>
        <w:rFonts w:ascii="Symbol" w:hAnsi="Symbol" w:hint="default"/>
      </w:rPr>
    </w:lvl>
    <w:lvl w:ilvl="4" w:tplc="08130003">
      <w:start w:val="1"/>
      <w:numFmt w:val="bullet"/>
      <w:lvlText w:val="o"/>
      <w:lvlJc w:val="left"/>
      <w:pPr>
        <w:ind w:left="4450" w:hanging="360"/>
      </w:pPr>
      <w:rPr>
        <w:rFonts w:ascii="Courier New" w:hAnsi="Courier New" w:hint="default"/>
      </w:rPr>
    </w:lvl>
    <w:lvl w:ilvl="5" w:tplc="08130005">
      <w:start w:val="1"/>
      <w:numFmt w:val="bullet"/>
      <w:lvlText w:val=""/>
      <w:lvlJc w:val="left"/>
      <w:pPr>
        <w:ind w:left="5170" w:hanging="360"/>
      </w:pPr>
      <w:rPr>
        <w:rFonts w:ascii="Wingdings" w:hAnsi="Wingdings" w:hint="default"/>
      </w:rPr>
    </w:lvl>
    <w:lvl w:ilvl="6" w:tplc="08130001">
      <w:start w:val="1"/>
      <w:numFmt w:val="bullet"/>
      <w:lvlText w:val=""/>
      <w:lvlJc w:val="left"/>
      <w:pPr>
        <w:ind w:left="5890" w:hanging="360"/>
      </w:pPr>
      <w:rPr>
        <w:rFonts w:ascii="Symbol" w:hAnsi="Symbol" w:hint="default"/>
      </w:rPr>
    </w:lvl>
    <w:lvl w:ilvl="7" w:tplc="08130003">
      <w:start w:val="1"/>
      <w:numFmt w:val="bullet"/>
      <w:lvlText w:val="o"/>
      <w:lvlJc w:val="left"/>
      <w:pPr>
        <w:ind w:left="6610" w:hanging="360"/>
      </w:pPr>
      <w:rPr>
        <w:rFonts w:ascii="Courier New" w:hAnsi="Courier New" w:hint="default"/>
      </w:rPr>
    </w:lvl>
    <w:lvl w:ilvl="8" w:tplc="08130005">
      <w:start w:val="1"/>
      <w:numFmt w:val="bullet"/>
      <w:lvlText w:val=""/>
      <w:lvlJc w:val="left"/>
      <w:pPr>
        <w:ind w:left="7330" w:hanging="360"/>
      </w:pPr>
      <w:rPr>
        <w:rFonts w:ascii="Wingdings" w:hAnsi="Wingdings" w:hint="default"/>
      </w:rPr>
    </w:lvl>
  </w:abstractNum>
  <w:abstractNum w:abstractNumId="11">
    <w:nsid w:val="447B62E0"/>
    <w:multiLevelType w:val="hybridMultilevel"/>
    <w:tmpl w:val="07243752"/>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CD60218"/>
    <w:multiLevelType w:val="hybridMultilevel"/>
    <w:tmpl w:val="A9580A54"/>
    <w:lvl w:ilvl="0" w:tplc="75744EF0">
      <w:start w:val="1"/>
      <w:numFmt w:val="decimal"/>
      <w:lvlText w:val="%1."/>
      <w:lvlJc w:val="left"/>
      <w:pPr>
        <w:ind w:left="720" w:hanging="360"/>
      </w:pPr>
      <w:rPr>
        <w:rFonts w:cs="Times New Roman" w:hint="default"/>
        <w:b/>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0FA4518"/>
    <w:multiLevelType w:val="multilevel"/>
    <w:tmpl w:val="E528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1408BF"/>
    <w:multiLevelType w:val="hybridMultilevel"/>
    <w:tmpl w:val="99641FC4"/>
    <w:lvl w:ilvl="0" w:tplc="EC5AF60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6A83644"/>
    <w:multiLevelType w:val="hybridMultilevel"/>
    <w:tmpl w:val="325EB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D24A14"/>
    <w:multiLevelType w:val="hybridMultilevel"/>
    <w:tmpl w:val="9A32D7A2"/>
    <w:lvl w:ilvl="0" w:tplc="FFFFFFFF">
      <w:start w:val="1"/>
      <w:numFmt w:val="decimal"/>
      <w:pStyle w:val="FRABodyText"/>
      <w:lvlText w:val="[%1]."/>
      <w:lvlJc w:val="left"/>
      <w:pPr>
        <w:tabs>
          <w:tab w:val="num" w:pos="961"/>
        </w:tabs>
        <w:ind w:left="961" w:hanging="851"/>
      </w:pPr>
      <w:rPr>
        <w:rFonts w:cs="Times New Roman" w:hint="default"/>
        <w:b w:val="0"/>
      </w:rPr>
    </w:lvl>
    <w:lvl w:ilvl="1" w:tplc="FFFFFFFF">
      <w:start w:val="1"/>
      <w:numFmt w:val="bullet"/>
      <w:lvlText w:val=""/>
      <w:lvlJc w:val="left"/>
      <w:pPr>
        <w:tabs>
          <w:tab w:val="num" w:pos="1647"/>
        </w:tabs>
        <w:ind w:left="1647" w:hanging="567"/>
      </w:pPr>
      <w:rPr>
        <w:rFonts w:ascii="Symbol" w:hAnsi="Symbol" w:hint="default"/>
        <w:sz w:val="24"/>
      </w:rPr>
    </w:lvl>
    <w:lvl w:ilvl="2" w:tplc="FFFFFFFF">
      <w:start w:val="1"/>
      <w:numFmt w:val="decimal"/>
      <w:lvlText w:val="%3."/>
      <w:lvlJc w:val="left"/>
      <w:pPr>
        <w:tabs>
          <w:tab w:val="num" w:pos="2340"/>
        </w:tabs>
        <w:ind w:left="2340" w:hanging="360"/>
      </w:pPr>
      <w:rPr>
        <w:rFonts w:cs="Times New Roman" w:hint="default"/>
      </w:rPr>
    </w:lvl>
    <w:lvl w:ilvl="3" w:tplc="FFFFFFFF">
      <w:numFmt w:val="bullet"/>
      <w:lvlText w:val="-"/>
      <w:lvlJc w:val="left"/>
      <w:pPr>
        <w:tabs>
          <w:tab w:val="num" w:pos="2880"/>
        </w:tabs>
        <w:ind w:left="2880" w:hanging="360"/>
      </w:pPr>
      <w:rPr>
        <w:rFonts w:ascii="Arial" w:eastAsia="Times New Roman" w:hAnsi="Arial"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72283B5D"/>
    <w:multiLevelType w:val="hybridMultilevel"/>
    <w:tmpl w:val="29169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54F1712"/>
    <w:multiLevelType w:val="hybridMultilevel"/>
    <w:tmpl w:val="9C2A81BE"/>
    <w:lvl w:ilvl="0" w:tplc="AF10A3C8">
      <w:start w:val="1"/>
      <w:numFmt w:val="upp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9">
    <w:nsid w:val="79D52BD9"/>
    <w:multiLevelType w:val="hybridMultilevel"/>
    <w:tmpl w:val="C5C83C16"/>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9"/>
  </w:num>
  <w:num w:numId="3">
    <w:abstractNumId w:val="7"/>
  </w:num>
  <w:num w:numId="4">
    <w:abstractNumId w:val="12"/>
  </w:num>
  <w:num w:numId="5">
    <w:abstractNumId w:val="4"/>
  </w:num>
  <w:num w:numId="6">
    <w:abstractNumId w:val="18"/>
  </w:num>
  <w:num w:numId="7">
    <w:abstractNumId w:val="16"/>
  </w:num>
  <w:num w:numId="8">
    <w:abstractNumId w:val="1"/>
  </w:num>
  <w:num w:numId="9">
    <w:abstractNumId w:val="10"/>
  </w:num>
  <w:num w:numId="10">
    <w:abstractNumId w:val="2"/>
  </w:num>
  <w:num w:numId="11">
    <w:abstractNumId w:val="6"/>
  </w:num>
  <w:num w:numId="12">
    <w:abstractNumId w:val="5"/>
  </w:num>
  <w:num w:numId="13">
    <w:abstractNumId w:val="3"/>
  </w:num>
  <w:num w:numId="14">
    <w:abstractNumId w:val="8"/>
  </w:num>
  <w:num w:numId="15">
    <w:abstractNumId w:val="15"/>
  </w:num>
  <w:num w:numId="16">
    <w:abstractNumId w:val="13"/>
  </w:num>
  <w:num w:numId="17">
    <w:abstractNumId w:val="11"/>
  </w:num>
  <w:num w:numId="18">
    <w:abstractNumId w:val="19"/>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63"/>
    <w:rsid w:val="0000356C"/>
    <w:rsid w:val="000110C6"/>
    <w:rsid w:val="00011DA4"/>
    <w:rsid w:val="00013D13"/>
    <w:rsid w:val="00013F1E"/>
    <w:rsid w:val="00017A97"/>
    <w:rsid w:val="00041358"/>
    <w:rsid w:val="00042DA8"/>
    <w:rsid w:val="00042EDB"/>
    <w:rsid w:val="0006275C"/>
    <w:rsid w:val="00062DF8"/>
    <w:rsid w:val="00064B7D"/>
    <w:rsid w:val="00067BF5"/>
    <w:rsid w:val="00070613"/>
    <w:rsid w:val="000707E5"/>
    <w:rsid w:val="00074027"/>
    <w:rsid w:val="000A229B"/>
    <w:rsid w:val="000A58C1"/>
    <w:rsid w:val="000A77AB"/>
    <w:rsid w:val="000B6E65"/>
    <w:rsid w:val="000C169B"/>
    <w:rsid w:val="000C6959"/>
    <w:rsid w:val="000D079F"/>
    <w:rsid w:val="000E2DE1"/>
    <w:rsid w:val="000E3FD9"/>
    <w:rsid w:val="000F0968"/>
    <w:rsid w:val="000F4BF2"/>
    <w:rsid w:val="001061E8"/>
    <w:rsid w:val="0011066F"/>
    <w:rsid w:val="0011784B"/>
    <w:rsid w:val="00117C2B"/>
    <w:rsid w:val="001202AB"/>
    <w:rsid w:val="00136B26"/>
    <w:rsid w:val="001541FB"/>
    <w:rsid w:val="00155DEF"/>
    <w:rsid w:val="0015706F"/>
    <w:rsid w:val="001572EB"/>
    <w:rsid w:val="00160C6B"/>
    <w:rsid w:val="00172F32"/>
    <w:rsid w:val="00180D2A"/>
    <w:rsid w:val="00183D4B"/>
    <w:rsid w:val="0018563D"/>
    <w:rsid w:val="001961D1"/>
    <w:rsid w:val="00196E87"/>
    <w:rsid w:val="001A0031"/>
    <w:rsid w:val="001A2638"/>
    <w:rsid w:val="001A3EC1"/>
    <w:rsid w:val="001A5540"/>
    <w:rsid w:val="001B04A3"/>
    <w:rsid w:val="001E075F"/>
    <w:rsid w:val="001E263C"/>
    <w:rsid w:val="001F122D"/>
    <w:rsid w:val="001F2369"/>
    <w:rsid w:val="001F59D9"/>
    <w:rsid w:val="001F68F3"/>
    <w:rsid w:val="00201D6E"/>
    <w:rsid w:val="00205BB4"/>
    <w:rsid w:val="002104F8"/>
    <w:rsid w:val="002134D0"/>
    <w:rsid w:val="00217194"/>
    <w:rsid w:val="002203B8"/>
    <w:rsid w:val="00225B23"/>
    <w:rsid w:val="00226D0E"/>
    <w:rsid w:val="002423BA"/>
    <w:rsid w:val="00245D90"/>
    <w:rsid w:val="00246C8F"/>
    <w:rsid w:val="00250971"/>
    <w:rsid w:val="00251C23"/>
    <w:rsid w:val="002535D1"/>
    <w:rsid w:val="00253949"/>
    <w:rsid w:val="00255A55"/>
    <w:rsid w:val="00260FF6"/>
    <w:rsid w:val="00266D50"/>
    <w:rsid w:val="00272D92"/>
    <w:rsid w:val="0027301E"/>
    <w:rsid w:val="0027485D"/>
    <w:rsid w:val="00282BBA"/>
    <w:rsid w:val="002922EA"/>
    <w:rsid w:val="00295B6D"/>
    <w:rsid w:val="00295DA4"/>
    <w:rsid w:val="002965EE"/>
    <w:rsid w:val="00296912"/>
    <w:rsid w:val="00297135"/>
    <w:rsid w:val="002A0574"/>
    <w:rsid w:val="002A5D76"/>
    <w:rsid w:val="002C3CF4"/>
    <w:rsid w:val="002C68C4"/>
    <w:rsid w:val="002D02E9"/>
    <w:rsid w:val="002D11D2"/>
    <w:rsid w:val="002D208B"/>
    <w:rsid w:val="002D29A8"/>
    <w:rsid w:val="002D7690"/>
    <w:rsid w:val="002E2DA4"/>
    <w:rsid w:val="002E5433"/>
    <w:rsid w:val="002F6364"/>
    <w:rsid w:val="00301030"/>
    <w:rsid w:val="003027DA"/>
    <w:rsid w:val="00306E4C"/>
    <w:rsid w:val="003073C3"/>
    <w:rsid w:val="00307F89"/>
    <w:rsid w:val="003138A7"/>
    <w:rsid w:val="00313E3A"/>
    <w:rsid w:val="00317354"/>
    <w:rsid w:val="00344D4E"/>
    <w:rsid w:val="00346931"/>
    <w:rsid w:val="00353A55"/>
    <w:rsid w:val="003657B8"/>
    <w:rsid w:val="00366723"/>
    <w:rsid w:val="00377FF8"/>
    <w:rsid w:val="003906B0"/>
    <w:rsid w:val="00390D98"/>
    <w:rsid w:val="003917C1"/>
    <w:rsid w:val="003962CC"/>
    <w:rsid w:val="0039678C"/>
    <w:rsid w:val="00396E12"/>
    <w:rsid w:val="00397902"/>
    <w:rsid w:val="00397B00"/>
    <w:rsid w:val="00397EB0"/>
    <w:rsid w:val="003A1586"/>
    <w:rsid w:val="003A20AD"/>
    <w:rsid w:val="003A5BC2"/>
    <w:rsid w:val="003A6551"/>
    <w:rsid w:val="003B44E3"/>
    <w:rsid w:val="003B558D"/>
    <w:rsid w:val="003C0BB0"/>
    <w:rsid w:val="003C3888"/>
    <w:rsid w:val="003D011C"/>
    <w:rsid w:val="003E3309"/>
    <w:rsid w:val="003E582E"/>
    <w:rsid w:val="003E6093"/>
    <w:rsid w:val="003F025D"/>
    <w:rsid w:val="003F3D20"/>
    <w:rsid w:val="00402F5C"/>
    <w:rsid w:val="0040572B"/>
    <w:rsid w:val="00406456"/>
    <w:rsid w:val="00410779"/>
    <w:rsid w:val="00412B95"/>
    <w:rsid w:val="00415BF7"/>
    <w:rsid w:val="00421F9B"/>
    <w:rsid w:val="00422405"/>
    <w:rsid w:val="0043168A"/>
    <w:rsid w:val="0043253E"/>
    <w:rsid w:val="0043444B"/>
    <w:rsid w:val="004354CD"/>
    <w:rsid w:val="004426E0"/>
    <w:rsid w:val="00442839"/>
    <w:rsid w:val="00445FC2"/>
    <w:rsid w:val="004470DE"/>
    <w:rsid w:val="00453992"/>
    <w:rsid w:val="00457C1D"/>
    <w:rsid w:val="004603BD"/>
    <w:rsid w:val="004614CD"/>
    <w:rsid w:val="00470F83"/>
    <w:rsid w:val="00471ACD"/>
    <w:rsid w:val="004723EE"/>
    <w:rsid w:val="00472DF5"/>
    <w:rsid w:val="004778FE"/>
    <w:rsid w:val="004933E6"/>
    <w:rsid w:val="00493C50"/>
    <w:rsid w:val="004A59CF"/>
    <w:rsid w:val="004B38CB"/>
    <w:rsid w:val="004B784B"/>
    <w:rsid w:val="004B79A3"/>
    <w:rsid w:val="004C63CC"/>
    <w:rsid w:val="004C6497"/>
    <w:rsid w:val="004D1ED0"/>
    <w:rsid w:val="004D3022"/>
    <w:rsid w:val="004F50BB"/>
    <w:rsid w:val="004F5769"/>
    <w:rsid w:val="005000C7"/>
    <w:rsid w:val="00510405"/>
    <w:rsid w:val="005108F8"/>
    <w:rsid w:val="00522A49"/>
    <w:rsid w:val="0053086F"/>
    <w:rsid w:val="00533AAD"/>
    <w:rsid w:val="005432C8"/>
    <w:rsid w:val="00544276"/>
    <w:rsid w:val="005451B1"/>
    <w:rsid w:val="00547D06"/>
    <w:rsid w:val="00553557"/>
    <w:rsid w:val="005561F3"/>
    <w:rsid w:val="00561625"/>
    <w:rsid w:val="00563E6F"/>
    <w:rsid w:val="00567B94"/>
    <w:rsid w:val="00576099"/>
    <w:rsid w:val="00580364"/>
    <w:rsid w:val="00584FDB"/>
    <w:rsid w:val="0058514C"/>
    <w:rsid w:val="00597D5F"/>
    <w:rsid w:val="005A33A9"/>
    <w:rsid w:val="005A3CB0"/>
    <w:rsid w:val="005B11B5"/>
    <w:rsid w:val="005C054D"/>
    <w:rsid w:val="005C2CE0"/>
    <w:rsid w:val="005C4F75"/>
    <w:rsid w:val="005C79D9"/>
    <w:rsid w:val="005D2F99"/>
    <w:rsid w:val="005E3F4B"/>
    <w:rsid w:val="005E4FF0"/>
    <w:rsid w:val="005E59C8"/>
    <w:rsid w:val="005F236D"/>
    <w:rsid w:val="005F45ED"/>
    <w:rsid w:val="00614B02"/>
    <w:rsid w:val="006158E5"/>
    <w:rsid w:val="00616B51"/>
    <w:rsid w:val="00622BB3"/>
    <w:rsid w:val="006232FC"/>
    <w:rsid w:val="006456CB"/>
    <w:rsid w:val="006521A0"/>
    <w:rsid w:val="00655A60"/>
    <w:rsid w:val="006621F8"/>
    <w:rsid w:val="00665293"/>
    <w:rsid w:val="00665A76"/>
    <w:rsid w:val="006724F7"/>
    <w:rsid w:val="0067484D"/>
    <w:rsid w:val="00685BF5"/>
    <w:rsid w:val="0068643F"/>
    <w:rsid w:val="00687B1C"/>
    <w:rsid w:val="00694EFF"/>
    <w:rsid w:val="006962A2"/>
    <w:rsid w:val="00696607"/>
    <w:rsid w:val="006B4CCF"/>
    <w:rsid w:val="006B7FC1"/>
    <w:rsid w:val="006C04F4"/>
    <w:rsid w:val="006C1340"/>
    <w:rsid w:val="006C36C7"/>
    <w:rsid w:val="006C52C8"/>
    <w:rsid w:val="006C5434"/>
    <w:rsid w:val="006D4D44"/>
    <w:rsid w:val="006D6D43"/>
    <w:rsid w:val="006E1F4C"/>
    <w:rsid w:val="006E71F7"/>
    <w:rsid w:val="006F01B9"/>
    <w:rsid w:val="006F25EF"/>
    <w:rsid w:val="006F4C76"/>
    <w:rsid w:val="0070103A"/>
    <w:rsid w:val="007045B0"/>
    <w:rsid w:val="00710772"/>
    <w:rsid w:val="007228EA"/>
    <w:rsid w:val="00734ED9"/>
    <w:rsid w:val="00737B23"/>
    <w:rsid w:val="00740460"/>
    <w:rsid w:val="00741597"/>
    <w:rsid w:val="00755F94"/>
    <w:rsid w:val="007613AF"/>
    <w:rsid w:val="00770A9A"/>
    <w:rsid w:val="00773ABE"/>
    <w:rsid w:val="00780F94"/>
    <w:rsid w:val="00781277"/>
    <w:rsid w:val="0078569F"/>
    <w:rsid w:val="00786E92"/>
    <w:rsid w:val="007911A3"/>
    <w:rsid w:val="0079183E"/>
    <w:rsid w:val="00792B56"/>
    <w:rsid w:val="00796FDC"/>
    <w:rsid w:val="007A2947"/>
    <w:rsid w:val="007A3A2B"/>
    <w:rsid w:val="007A419B"/>
    <w:rsid w:val="007A4C35"/>
    <w:rsid w:val="007A587C"/>
    <w:rsid w:val="007A6DCB"/>
    <w:rsid w:val="007B0F8D"/>
    <w:rsid w:val="007D118E"/>
    <w:rsid w:val="007D1746"/>
    <w:rsid w:val="007D4F25"/>
    <w:rsid w:val="007D6619"/>
    <w:rsid w:val="007D78D4"/>
    <w:rsid w:val="007E1D14"/>
    <w:rsid w:val="007E71E5"/>
    <w:rsid w:val="007F0F65"/>
    <w:rsid w:val="007F1DF2"/>
    <w:rsid w:val="007F2399"/>
    <w:rsid w:val="007F6FF0"/>
    <w:rsid w:val="008001BE"/>
    <w:rsid w:val="0081459C"/>
    <w:rsid w:val="00816871"/>
    <w:rsid w:val="008171AE"/>
    <w:rsid w:val="00821E86"/>
    <w:rsid w:val="00823CF3"/>
    <w:rsid w:val="00831251"/>
    <w:rsid w:val="00831E80"/>
    <w:rsid w:val="00837826"/>
    <w:rsid w:val="0084167B"/>
    <w:rsid w:val="008463C0"/>
    <w:rsid w:val="008513BF"/>
    <w:rsid w:val="008637ED"/>
    <w:rsid w:val="00865C08"/>
    <w:rsid w:val="00867B7E"/>
    <w:rsid w:val="008700EC"/>
    <w:rsid w:val="00872E2D"/>
    <w:rsid w:val="008734ED"/>
    <w:rsid w:val="0087394A"/>
    <w:rsid w:val="00886C5B"/>
    <w:rsid w:val="00890B2D"/>
    <w:rsid w:val="00891414"/>
    <w:rsid w:val="008942F2"/>
    <w:rsid w:val="008B1250"/>
    <w:rsid w:val="008B5902"/>
    <w:rsid w:val="008B5CC4"/>
    <w:rsid w:val="008C454C"/>
    <w:rsid w:val="008C633A"/>
    <w:rsid w:val="008C64A6"/>
    <w:rsid w:val="008D5F7B"/>
    <w:rsid w:val="008E13FD"/>
    <w:rsid w:val="008E46F2"/>
    <w:rsid w:val="008E5075"/>
    <w:rsid w:val="008E77C9"/>
    <w:rsid w:val="008F32C2"/>
    <w:rsid w:val="00910DF5"/>
    <w:rsid w:val="00912C69"/>
    <w:rsid w:val="00917690"/>
    <w:rsid w:val="00933718"/>
    <w:rsid w:val="0093686F"/>
    <w:rsid w:val="0093762D"/>
    <w:rsid w:val="00941669"/>
    <w:rsid w:val="00944492"/>
    <w:rsid w:val="00944954"/>
    <w:rsid w:val="00944A76"/>
    <w:rsid w:val="00947F52"/>
    <w:rsid w:val="00961028"/>
    <w:rsid w:val="009640C2"/>
    <w:rsid w:val="00967AE3"/>
    <w:rsid w:val="00973971"/>
    <w:rsid w:val="009820C8"/>
    <w:rsid w:val="00983108"/>
    <w:rsid w:val="00986377"/>
    <w:rsid w:val="00990512"/>
    <w:rsid w:val="0099390C"/>
    <w:rsid w:val="0099513F"/>
    <w:rsid w:val="009957BB"/>
    <w:rsid w:val="009A4156"/>
    <w:rsid w:val="009A527A"/>
    <w:rsid w:val="009A5934"/>
    <w:rsid w:val="009B3A4F"/>
    <w:rsid w:val="009C18CC"/>
    <w:rsid w:val="009C7D87"/>
    <w:rsid w:val="009D0E89"/>
    <w:rsid w:val="009D2F9B"/>
    <w:rsid w:val="009D3474"/>
    <w:rsid w:val="009D4D75"/>
    <w:rsid w:val="009F16D6"/>
    <w:rsid w:val="00A00EE7"/>
    <w:rsid w:val="00A06F5F"/>
    <w:rsid w:val="00A12F1B"/>
    <w:rsid w:val="00A15F37"/>
    <w:rsid w:val="00A162A7"/>
    <w:rsid w:val="00A20319"/>
    <w:rsid w:val="00A20D89"/>
    <w:rsid w:val="00A213E8"/>
    <w:rsid w:val="00A2329A"/>
    <w:rsid w:val="00A24289"/>
    <w:rsid w:val="00A25142"/>
    <w:rsid w:val="00A25717"/>
    <w:rsid w:val="00A309CB"/>
    <w:rsid w:val="00A36378"/>
    <w:rsid w:val="00A36BDD"/>
    <w:rsid w:val="00A430EA"/>
    <w:rsid w:val="00A71097"/>
    <w:rsid w:val="00A73E32"/>
    <w:rsid w:val="00A77AA4"/>
    <w:rsid w:val="00A8074C"/>
    <w:rsid w:val="00A81EE6"/>
    <w:rsid w:val="00A93D48"/>
    <w:rsid w:val="00AA2CF2"/>
    <w:rsid w:val="00AA4CB1"/>
    <w:rsid w:val="00AA5714"/>
    <w:rsid w:val="00AB17D1"/>
    <w:rsid w:val="00AB1F3E"/>
    <w:rsid w:val="00AB3C0B"/>
    <w:rsid w:val="00AB5982"/>
    <w:rsid w:val="00AC2DE1"/>
    <w:rsid w:val="00AD24F5"/>
    <w:rsid w:val="00AD422D"/>
    <w:rsid w:val="00AD7426"/>
    <w:rsid w:val="00AD7965"/>
    <w:rsid w:val="00AD7D0F"/>
    <w:rsid w:val="00AD7DD1"/>
    <w:rsid w:val="00AE1513"/>
    <w:rsid w:val="00AE173B"/>
    <w:rsid w:val="00AE34BA"/>
    <w:rsid w:val="00AF0770"/>
    <w:rsid w:val="00AF3D18"/>
    <w:rsid w:val="00AF72B8"/>
    <w:rsid w:val="00B01A59"/>
    <w:rsid w:val="00B04241"/>
    <w:rsid w:val="00B14120"/>
    <w:rsid w:val="00B146D5"/>
    <w:rsid w:val="00B17FF1"/>
    <w:rsid w:val="00B20727"/>
    <w:rsid w:val="00B30937"/>
    <w:rsid w:val="00B43B7F"/>
    <w:rsid w:val="00B43CAA"/>
    <w:rsid w:val="00B5130D"/>
    <w:rsid w:val="00B51746"/>
    <w:rsid w:val="00B5428B"/>
    <w:rsid w:val="00B54429"/>
    <w:rsid w:val="00B54773"/>
    <w:rsid w:val="00B601E1"/>
    <w:rsid w:val="00B64E4A"/>
    <w:rsid w:val="00B75B94"/>
    <w:rsid w:val="00B83C74"/>
    <w:rsid w:val="00B8541B"/>
    <w:rsid w:val="00B86DEA"/>
    <w:rsid w:val="00B91DAC"/>
    <w:rsid w:val="00B94C53"/>
    <w:rsid w:val="00BA2AB7"/>
    <w:rsid w:val="00BB44DB"/>
    <w:rsid w:val="00BB6EE7"/>
    <w:rsid w:val="00BC155B"/>
    <w:rsid w:val="00BC218E"/>
    <w:rsid w:val="00BC51E5"/>
    <w:rsid w:val="00BC6AF3"/>
    <w:rsid w:val="00BD0892"/>
    <w:rsid w:val="00BE052A"/>
    <w:rsid w:val="00BE5177"/>
    <w:rsid w:val="00BE6739"/>
    <w:rsid w:val="00BF5FA3"/>
    <w:rsid w:val="00C00A5C"/>
    <w:rsid w:val="00C02CD5"/>
    <w:rsid w:val="00C03F6B"/>
    <w:rsid w:val="00C05F04"/>
    <w:rsid w:val="00C11595"/>
    <w:rsid w:val="00C16A40"/>
    <w:rsid w:val="00C16E24"/>
    <w:rsid w:val="00C177D6"/>
    <w:rsid w:val="00C231BB"/>
    <w:rsid w:val="00C2354B"/>
    <w:rsid w:val="00C24227"/>
    <w:rsid w:val="00C25628"/>
    <w:rsid w:val="00C332BD"/>
    <w:rsid w:val="00C41E0C"/>
    <w:rsid w:val="00C47F47"/>
    <w:rsid w:val="00C57D63"/>
    <w:rsid w:val="00C60350"/>
    <w:rsid w:val="00C610A9"/>
    <w:rsid w:val="00C622BC"/>
    <w:rsid w:val="00C71503"/>
    <w:rsid w:val="00C757D8"/>
    <w:rsid w:val="00C8088B"/>
    <w:rsid w:val="00C90AA8"/>
    <w:rsid w:val="00C95E57"/>
    <w:rsid w:val="00CA1271"/>
    <w:rsid w:val="00CB0BC5"/>
    <w:rsid w:val="00CB2527"/>
    <w:rsid w:val="00CB308D"/>
    <w:rsid w:val="00CC4410"/>
    <w:rsid w:val="00CC5B0B"/>
    <w:rsid w:val="00CC7606"/>
    <w:rsid w:val="00CD095B"/>
    <w:rsid w:val="00CE0A6C"/>
    <w:rsid w:val="00CE43AE"/>
    <w:rsid w:val="00CF1662"/>
    <w:rsid w:val="00CF1B7C"/>
    <w:rsid w:val="00CF4FC6"/>
    <w:rsid w:val="00D069DF"/>
    <w:rsid w:val="00D0721D"/>
    <w:rsid w:val="00D1634C"/>
    <w:rsid w:val="00D17868"/>
    <w:rsid w:val="00D22749"/>
    <w:rsid w:val="00D2526D"/>
    <w:rsid w:val="00D30860"/>
    <w:rsid w:val="00D34EB8"/>
    <w:rsid w:val="00D34F51"/>
    <w:rsid w:val="00D44481"/>
    <w:rsid w:val="00D462A2"/>
    <w:rsid w:val="00D5588E"/>
    <w:rsid w:val="00D57274"/>
    <w:rsid w:val="00D622ED"/>
    <w:rsid w:val="00D65970"/>
    <w:rsid w:val="00D66F58"/>
    <w:rsid w:val="00D73D67"/>
    <w:rsid w:val="00D80D65"/>
    <w:rsid w:val="00D918B0"/>
    <w:rsid w:val="00DA3331"/>
    <w:rsid w:val="00DA52E0"/>
    <w:rsid w:val="00DC2CD8"/>
    <w:rsid w:val="00DC522B"/>
    <w:rsid w:val="00DD2FC7"/>
    <w:rsid w:val="00DE2F87"/>
    <w:rsid w:val="00DE617B"/>
    <w:rsid w:val="00DE7C2D"/>
    <w:rsid w:val="00DF2131"/>
    <w:rsid w:val="00DF60D9"/>
    <w:rsid w:val="00DF695D"/>
    <w:rsid w:val="00DF7D3C"/>
    <w:rsid w:val="00E015BD"/>
    <w:rsid w:val="00E02960"/>
    <w:rsid w:val="00E055FF"/>
    <w:rsid w:val="00E05E18"/>
    <w:rsid w:val="00E079E9"/>
    <w:rsid w:val="00E13990"/>
    <w:rsid w:val="00E164EB"/>
    <w:rsid w:val="00E35087"/>
    <w:rsid w:val="00E44478"/>
    <w:rsid w:val="00E446C6"/>
    <w:rsid w:val="00E460A9"/>
    <w:rsid w:val="00E46B0E"/>
    <w:rsid w:val="00E53C09"/>
    <w:rsid w:val="00E541F5"/>
    <w:rsid w:val="00E54542"/>
    <w:rsid w:val="00E56CE8"/>
    <w:rsid w:val="00E62677"/>
    <w:rsid w:val="00E70B71"/>
    <w:rsid w:val="00E72884"/>
    <w:rsid w:val="00E84195"/>
    <w:rsid w:val="00E849B8"/>
    <w:rsid w:val="00E918BE"/>
    <w:rsid w:val="00E92BCB"/>
    <w:rsid w:val="00EA710F"/>
    <w:rsid w:val="00EA7C56"/>
    <w:rsid w:val="00EB1A4B"/>
    <w:rsid w:val="00EB4897"/>
    <w:rsid w:val="00EB589D"/>
    <w:rsid w:val="00EC3E36"/>
    <w:rsid w:val="00EC75DE"/>
    <w:rsid w:val="00ED4DBF"/>
    <w:rsid w:val="00EE1BDF"/>
    <w:rsid w:val="00EE2265"/>
    <w:rsid w:val="00EF13C6"/>
    <w:rsid w:val="00EF1F79"/>
    <w:rsid w:val="00EF5B8C"/>
    <w:rsid w:val="00EF7C2A"/>
    <w:rsid w:val="00F03D6A"/>
    <w:rsid w:val="00F0705A"/>
    <w:rsid w:val="00F07283"/>
    <w:rsid w:val="00F14B2B"/>
    <w:rsid w:val="00F215D6"/>
    <w:rsid w:val="00F22413"/>
    <w:rsid w:val="00F3175D"/>
    <w:rsid w:val="00F36518"/>
    <w:rsid w:val="00F44993"/>
    <w:rsid w:val="00F46139"/>
    <w:rsid w:val="00F50A8A"/>
    <w:rsid w:val="00F52EAA"/>
    <w:rsid w:val="00F54D95"/>
    <w:rsid w:val="00F632D1"/>
    <w:rsid w:val="00F64A37"/>
    <w:rsid w:val="00F678F4"/>
    <w:rsid w:val="00F735F1"/>
    <w:rsid w:val="00F81886"/>
    <w:rsid w:val="00F8392B"/>
    <w:rsid w:val="00F866F6"/>
    <w:rsid w:val="00F9085E"/>
    <w:rsid w:val="00F917E8"/>
    <w:rsid w:val="00FA207F"/>
    <w:rsid w:val="00FB4E9E"/>
    <w:rsid w:val="00FB5CE3"/>
    <w:rsid w:val="00FC02E7"/>
    <w:rsid w:val="00FC28EE"/>
    <w:rsid w:val="00FC382E"/>
    <w:rsid w:val="00FD2EC3"/>
    <w:rsid w:val="00FD41EA"/>
    <w:rsid w:val="00FE6B50"/>
    <w:rsid w:val="00FE6E54"/>
    <w:rsid w:val="00FF078C"/>
    <w:rsid w:val="00FF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611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qFormat="1"/>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AA8"/>
    <w:pPr>
      <w:spacing w:after="200" w:line="276" w:lineRule="auto"/>
    </w:pPr>
    <w:rPr>
      <w:sz w:val="22"/>
      <w:szCs w:val="22"/>
      <w:lang w:eastAsia="en-US"/>
    </w:rPr>
  </w:style>
  <w:style w:type="paragraph" w:styleId="Heading1">
    <w:name w:val="heading 1"/>
    <w:basedOn w:val="Normal"/>
    <w:link w:val="Heading1Char"/>
    <w:uiPriority w:val="99"/>
    <w:qFormat/>
    <w:rsid w:val="00A73E32"/>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E32"/>
    <w:rPr>
      <w:rFonts w:ascii="Times New Roman" w:hAnsi="Times New Roman" w:cs="Times New Roman"/>
      <w:b/>
      <w:bCs/>
      <w:kern w:val="36"/>
      <w:sz w:val="48"/>
      <w:szCs w:val="48"/>
      <w:lang w:val="en-GB" w:eastAsia="en-GB"/>
    </w:rPr>
  </w:style>
  <w:style w:type="paragraph" w:styleId="Header">
    <w:name w:val="header"/>
    <w:basedOn w:val="Normal"/>
    <w:link w:val="HeaderChar"/>
    <w:uiPriority w:val="99"/>
    <w:rsid w:val="00912C69"/>
    <w:pPr>
      <w:tabs>
        <w:tab w:val="center" w:pos="4513"/>
        <w:tab w:val="right" w:pos="9026"/>
      </w:tabs>
      <w:spacing w:after="0" w:line="240" w:lineRule="auto"/>
    </w:pPr>
  </w:style>
  <w:style w:type="character" w:customStyle="1" w:styleId="HeaderChar">
    <w:name w:val="Header Char"/>
    <w:link w:val="Header"/>
    <w:uiPriority w:val="99"/>
    <w:locked/>
    <w:rsid w:val="00912C69"/>
    <w:rPr>
      <w:rFonts w:cs="Times New Roman"/>
    </w:rPr>
  </w:style>
  <w:style w:type="paragraph" w:styleId="Footer">
    <w:name w:val="footer"/>
    <w:basedOn w:val="Normal"/>
    <w:link w:val="FooterChar"/>
    <w:uiPriority w:val="99"/>
    <w:rsid w:val="00912C69"/>
    <w:pPr>
      <w:tabs>
        <w:tab w:val="center" w:pos="4513"/>
        <w:tab w:val="right" w:pos="9026"/>
      </w:tabs>
      <w:spacing w:after="0" w:line="240" w:lineRule="auto"/>
    </w:pPr>
  </w:style>
  <w:style w:type="character" w:customStyle="1" w:styleId="FooterChar">
    <w:name w:val="Footer Char"/>
    <w:link w:val="Footer"/>
    <w:uiPriority w:val="99"/>
    <w:locked/>
    <w:rsid w:val="00912C69"/>
    <w:rPr>
      <w:rFonts w:cs="Times New Roman"/>
    </w:r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1"/>
    <w:uiPriority w:val="99"/>
    <w:qFormat/>
    <w:rsid w:val="00912C69"/>
    <w:pPr>
      <w:spacing w:after="0" w:line="240" w:lineRule="auto"/>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uiPriority w:val="99"/>
    <w:rsid w:val="00C43850"/>
    <w:rPr>
      <w:sz w:val="20"/>
      <w:szCs w:val="20"/>
      <w:lang w:val="en-IE"/>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link w:val="FootnoteText"/>
    <w:uiPriority w:val="99"/>
    <w:semiHidden/>
    <w:locked/>
    <w:rsid w:val="00912C69"/>
    <w:rPr>
      <w:rFonts w:cs="Times New Roman"/>
      <w:sz w:val="20"/>
      <w:szCs w:val="20"/>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rsid w:val="00912C69"/>
    <w:rPr>
      <w:rFonts w:cs="Times New Roman"/>
      <w:vertAlign w:val="superscript"/>
    </w:rPr>
  </w:style>
  <w:style w:type="paragraph" w:customStyle="1" w:styleId="FRAHeading1">
    <w:name w:val="(FRA) Heading 1"/>
    <w:basedOn w:val="Normal"/>
    <w:next w:val="Normal"/>
    <w:qFormat/>
    <w:rsid w:val="00912C69"/>
    <w:pPr>
      <w:keepNext/>
      <w:tabs>
        <w:tab w:val="left" w:pos="1134"/>
      </w:tabs>
      <w:spacing w:before="480" w:after="240" w:line="240" w:lineRule="auto"/>
    </w:pPr>
    <w:rPr>
      <w:rFonts w:ascii="Arial Narrow" w:hAnsi="Arial Narrow"/>
      <w:sz w:val="48"/>
      <w:lang w:val="en-GB"/>
    </w:rPr>
  </w:style>
  <w:style w:type="character" w:styleId="Hyperlink">
    <w:name w:val="Hyperlink"/>
    <w:uiPriority w:val="99"/>
    <w:rsid w:val="00074027"/>
    <w:rPr>
      <w:rFonts w:cs="Times New Roman"/>
      <w:color w:val="0000FF"/>
      <w:u w:val="single"/>
    </w:rPr>
  </w:style>
  <w:style w:type="paragraph" w:styleId="ListParagraph">
    <w:name w:val="List Paragraph"/>
    <w:basedOn w:val="Normal"/>
    <w:uiPriority w:val="99"/>
    <w:qFormat/>
    <w:rsid w:val="00BA2AB7"/>
    <w:pPr>
      <w:ind w:left="720"/>
      <w:contextualSpacing/>
    </w:pPr>
  </w:style>
  <w:style w:type="paragraph" w:customStyle="1" w:styleId="FRABodyText">
    <w:name w:val="(FRA) Body Text"/>
    <w:basedOn w:val="Normal"/>
    <w:uiPriority w:val="99"/>
    <w:rsid w:val="00B64E4A"/>
    <w:pPr>
      <w:numPr>
        <w:numId w:val="7"/>
      </w:numPr>
      <w:tabs>
        <w:tab w:val="left" w:pos="0"/>
      </w:tabs>
      <w:spacing w:after="240" w:line="240" w:lineRule="auto"/>
      <w:jc w:val="both"/>
    </w:pPr>
    <w:rPr>
      <w:rFonts w:ascii="Times New Roman" w:hAnsi="Times New Roman"/>
      <w:lang w:val="en-GB"/>
    </w:rPr>
  </w:style>
  <w:style w:type="table" w:styleId="TableGrid">
    <w:name w:val="Table Grid"/>
    <w:basedOn w:val="TableNormal"/>
    <w:uiPriority w:val="59"/>
    <w:rsid w:val="00C95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BulletPoints2">
    <w:name w:val="(FRA) Bullet Points 2"/>
    <w:basedOn w:val="Normal"/>
    <w:uiPriority w:val="99"/>
    <w:rsid w:val="00C16A40"/>
    <w:pPr>
      <w:tabs>
        <w:tab w:val="num" w:pos="0"/>
      </w:tabs>
      <w:spacing w:before="120" w:after="240" w:line="240" w:lineRule="auto"/>
      <w:ind w:left="568" w:hanging="284"/>
      <w:contextualSpacing/>
    </w:pPr>
    <w:rPr>
      <w:rFonts w:ascii="Times New Roman" w:hAnsi="Times New Roman"/>
      <w:lang w:val="en-GB"/>
    </w:rPr>
  </w:style>
  <w:style w:type="character" w:styleId="CommentReference">
    <w:name w:val="annotation reference"/>
    <w:uiPriority w:val="99"/>
    <w:rsid w:val="00D80D65"/>
    <w:rPr>
      <w:rFonts w:cs="Times New Roman"/>
      <w:sz w:val="16"/>
      <w:szCs w:val="16"/>
    </w:rPr>
  </w:style>
  <w:style w:type="paragraph" w:styleId="CommentText">
    <w:name w:val="annotation text"/>
    <w:basedOn w:val="Normal"/>
    <w:link w:val="CommentTextChar"/>
    <w:uiPriority w:val="99"/>
    <w:rsid w:val="00D80D65"/>
    <w:pPr>
      <w:spacing w:line="240" w:lineRule="auto"/>
    </w:pPr>
    <w:rPr>
      <w:sz w:val="20"/>
      <w:szCs w:val="20"/>
    </w:rPr>
  </w:style>
  <w:style w:type="character" w:customStyle="1" w:styleId="CommentTextChar">
    <w:name w:val="Comment Text Char"/>
    <w:link w:val="CommentText"/>
    <w:uiPriority w:val="99"/>
    <w:locked/>
    <w:rsid w:val="00D80D65"/>
    <w:rPr>
      <w:rFonts w:cs="Times New Roman"/>
      <w:sz w:val="20"/>
      <w:szCs w:val="20"/>
    </w:rPr>
  </w:style>
  <w:style w:type="paragraph" w:styleId="CommentSubject">
    <w:name w:val="annotation subject"/>
    <w:basedOn w:val="CommentText"/>
    <w:next w:val="CommentText"/>
    <w:link w:val="CommentSubjectChar"/>
    <w:uiPriority w:val="99"/>
    <w:semiHidden/>
    <w:rsid w:val="00D80D65"/>
    <w:rPr>
      <w:b/>
      <w:bCs/>
    </w:rPr>
  </w:style>
  <w:style w:type="character" w:customStyle="1" w:styleId="CommentSubjectChar">
    <w:name w:val="Comment Subject Char"/>
    <w:link w:val="CommentSubject"/>
    <w:uiPriority w:val="99"/>
    <w:semiHidden/>
    <w:locked/>
    <w:rsid w:val="00D80D65"/>
    <w:rPr>
      <w:rFonts w:cs="Times New Roman"/>
      <w:b/>
      <w:bCs/>
      <w:sz w:val="20"/>
      <w:szCs w:val="20"/>
    </w:rPr>
  </w:style>
  <w:style w:type="paragraph" w:styleId="BalloonText">
    <w:name w:val="Balloon Text"/>
    <w:basedOn w:val="Normal"/>
    <w:link w:val="BalloonTextChar"/>
    <w:uiPriority w:val="99"/>
    <w:semiHidden/>
    <w:rsid w:val="00D80D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80D65"/>
    <w:rPr>
      <w:rFonts w:ascii="Tahoma" w:hAnsi="Tahoma" w:cs="Tahoma"/>
      <w:sz w:val="16"/>
      <w:szCs w:val="16"/>
    </w:rPr>
  </w:style>
  <w:style w:type="character" w:styleId="FollowedHyperlink">
    <w:name w:val="FollowedHyperlink"/>
    <w:uiPriority w:val="99"/>
    <w:semiHidden/>
    <w:rsid w:val="00442839"/>
    <w:rPr>
      <w:rFonts w:cs="Times New Roman"/>
      <w:color w:val="800080"/>
      <w:u w:val="single"/>
    </w:rPr>
  </w:style>
  <w:style w:type="paragraph" w:styleId="NoSpacing">
    <w:name w:val="No Spacing"/>
    <w:uiPriority w:val="99"/>
    <w:qFormat/>
    <w:rsid w:val="00172F32"/>
    <w:rPr>
      <w:sz w:val="22"/>
      <w:szCs w:val="22"/>
      <w:lang w:eastAsia="en-US"/>
    </w:rPr>
  </w:style>
  <w:style w:type="paragraph" w:styleId="Revision">
    <w:name w:val="Revision"/>
    <w:hidden/>
    <w:uiPriority w:val="99"/>
    <w:semiHidden/>
    <w:rsid w:val="00B14120"/>
    <w:rPr>
      <w:sz w:val="22"/>
      <w:szCs w:val="22"/>
      <w:lang w:eastAsia="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547D06"/>
    <w:pPr>
      <w:spacing w:after="160" w:line="240" w:lineRule="exact"/>
    </w:pPr>
    <w:rPr>
      <w:sz w:val="20"/>
      <w:szCs w:val="20"/>
      <w:vertAlign w:val="superscript"/>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qFormat="1"/>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AA8"/>
    <w:pPr>
      <w:spacing w:after="200" w:line="276" w:lineRule="auto"/>
    </w:pPr>
    <w:rPr>
      <w:sz w:val="22"/>
      <w:szCs w:val="22"/>
      <w:lang w:eastAsia="en-US"/>
    </w:rPr>
  </w:style>
  <w:style w:type="paragraph" w:styleId="Heading1">
    <w:name w:val="heading 1"/>
    <w:basedOn w:val="Normal"/>
    <w:link w:val="Heading1Char"/>
    <w:uiPriority w:val="99"/>
    <w:qFormat/>
    <w:rsid w:val="00A73E32"/>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E32"/>
    <w:rPr>
      <w:rFonts w:ascii="Times New Roman" w:hAnsi="Times New Roman" w:cs="Times New Roman"/>
      <w:b/>
      <w:bCs/>
      <w:kern w:val="36"/>
      <w:sz w:val="48"/>
      <w:szCs w:val="48"/>
      <w:lang w:val="en-GB" w:eastAsia="en-GB"/>
    </w:rPr>
  </w:style>
  <w:style w:type="paragraph" w:styleId="Header">
    <w:name w:val="header"/>
    <w:basedOn w:val="Normal"/>
    <w:link w:val="HeaderChar"/>
    <w:uiPriority w:val="99"/>
    <w:rsid w:val="00912C69"/>
    <w:pPr>
      <w:tabs>
        <w:tab w:val="center" w:pos="4513"/>
        <w:tab w:val="right" w:pos="9026"/>
      </w:tabs>
      <w:spacing w:after="0" w:line="240" w:lineRule="auto"/>
    </w:pPr>
  </w:style>
  <w:style w:type="character" w:customStyle="1" w:styleId="HeaderChar">
    <w:name w:val="Header Char"/>
    <w:link w:val="Header"/>
    <w:uiPriority w:val="99"/>
    <w:locked/>
    <w:rsid w:val="00912C69"/>
    <w:rPr>
      <w:rFonts w:cs="Times New Roman"/>
    </w:rPr>
  </w:style>
  <w:style w:type="paragraph" w:styleId="Footer">
    <w:name w:val="footer"/>
    <w:basedOn w:val="Normal"/>
    <w:link w:val="FooterChar"/>
    <w:uiPriority w:val="99"/>
    <w:rsid w:val="00912C69"/>
    <w:pPr>
      <w:tabs>
        <w:tab w:val="center" w:pos="4513"/>
        <w:tab w:val="right" w:pos="9026"/>
      </w:tabs>
      <w:spacing w:after="0" w:line="240" w:lineRule="auto"/>
    </w:pPr>
  </w:style>
  <w:style w:type="character" w:customStyle="1" w:styleId="FooterChar">
    <w:name w:val="Footer Char"/>
    <w:link w:val="Footer"/>
    <w:uiPriority w:val="99"/>
    <w:locked/>
    <w:rsid w:val="00912C69"/>
    <w:rPr>
      <w:rFonts w:cs="Times New Roman"/>
    </w:r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1"/>
    <w:uiPriority w:val="99"/>
    <w:qFormat/>
    <w:rsid w:val="00912C69"/>
    <w:pPr>
      <w:spacing w:after="0" w:line="240" w:lineRule="auto"/>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uiPriority w:val="99"/>
    <w:rsid w:val="00C43850"/>
    <w:rPr>
      <w:sz w:val="20"/>
      <w:szCs w:val="20"/>
      <w:lang w:val="en-IE"/>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link w:val="FootnoteText"/>
    <w:uiPriority w:val="99"/>
    <w:semiHidden/>
    <w:locked/>
    <w:rsid w:val="00912C69"/>
    <w:rPr>
      <w:rFonts w:cs="Times New Roman"/>
      <w:sz w:val="20"/>
      <w:szCs w:val="20"/>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rsid w:val="00912C69"/>
    <w:rPr>
      <w:rFonts w:cs="Times New Roman"/>
      <w:vertAlign w:val="superscript"/>
    </w:rPr>
  </w:style>
  <w:style w:type="paragraph" w:customStyle="1" w:styleId="FRAHeading1">
    <w:name w:val="(FRA) Heading 1"/>
    <w:basedOn w:val="Normal"/>
    <w:next w:val="Normal"/>
    <w:qFormat/>
    <w:rsid w:val="00912C69"/>
    <w:pPr>
      <w:keepNext/>
      <w:tabs>
        <w:tab w:val="left" w:pos="1134"/>
      </w:tabs>
      <w:spacing w:before="480" w:after="240" w:line="240" w:lineRule="auto"/>
    </w:pPr>
    <w:rPr>
      <w:rFonts w:ascii="Arial Narrow" w:hAnsi="Arial Narrow"/>
      <w:sz w:val="48"/>
      <w:lang w:val="en-GB"/>
    </w:rPr>
  </w:style>
  <w:style w:type="character" w:styleId="Hyperlink">
    <w:name w:val="Hyperlink"/>
    <w:uiPriority w:val="99"/>
    <w:rsid w:val="00074027"/>
    <w:rPr>
      <w:rFonts w:cs="Times New Roman"/>
      <w:color w:val="0000FF"/>
      <w:u w:val="single"/>
    </w:rPr>
  </w:style>
  <w:style w:type="paragraph" w:styleId="ListParagraph">
    <w:name w:val="List Paragraph"/>
    <w:basedOn w:val="Normal"/>
    <w:uiPriority w:val="99"/>
    <w:qFormat/>
    <w:rsid w:val="00BA2AB7"/>
    <w:pPr>
      <w:ind w:left="720"/>
      <w:contextualSpacing/>
    </w:pPr>
  </w:style>
  <w:style w:type="paragraph" w:customStyle="1" w:styleId="FRABodyText">
    <w:name w:val="(FRA) Body Text"/>
    <w:basedOn w:val="Normal"/>
    <w:uiPriority w:val="99"/>
    <w:rsid w:val="00B64E4A"/>
    <w:pPr>
      <w:numPr>
        <w:numId w:val="7"/>
      </w:numPr>
      <w:tabs>
        <w:tab w:val="left" w:pos="0"/>
      </w:tabs>
      <w:spacing w:after="240" w:line="240" w:lineRule="auto"/>
      <w:jc w:val="both"/>
    </w:pPr>
    <w:rPr>
      <w:rFonts w:ascii="Times New Roman" w:hAnsi="Times New Roman"/>
      <w:lang w:val="en-GB"/>
    </w:rPr>
  </w:style>
  <w:style w:type="table" w:styleId="TableGrid">
    <w:name w:val="Table Grid"/>
    <w:basedOn w:val="TableNormal"/>
    <w:uiPriority w:val="59"/>
    <w:rsid w:val="00C95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BulletPoints2">
    <w:name w:val="(FRA) Bullet Points 2"/>
    <w:basedOn w:val="Normal"/>
    <w:uiPriority w:val="99"/>
    <w:rsid w:val="00C16A40"/>
    <w:pPr>
      <w:tabs>
        <w:tab w:val="num" w:pos="0"/>
      </w:tabs>
      <w:spacing w:before="120" w:after="240" w:line="240" w:lineRule="auto"/>
      <w:ind w:left="568" w:hanging="284"/>
      <w:contextualSpacing/>
    </w:pPr>
    <w:rPr>
      <w:rFonts w:ascii="Times New Roman" w:hAnsi="Times New Roman"/>
      <w:lang w:val="en-GB"/>
    </w:rPr>
  </w:style>
  <w:style w:type="character" w:styleId="CommentReference">
    <w:name w:val="annotation reference"/>
    <w:uiPriority w:val="99"/>
    <w:rsid w:val="00D80D65"/>
    <w:rPr>
      <w:rFonts w:cs="Times New Roman"/>
      <w:sz w:val="16"/>
      <w:szCs w:val="16"/>
    </w:rPr>
  </w:style>
  <w:style w:type="paragraph" w:styleId="CommentText">
    <w:name w:val="annotation text"/>
    <w:basedOn w:val="Normal"/>
    <w:link w:val="CommentTextChar"/>
    <w:uiPriority w:val="99"/>
    <w:rsid w:val="00D80D65"/>
    <w:pPr>
      <w:spacing w:line="240" w:lineRule="auto"/>
    </w:pPr>
    <w:rPr>
      <w:sz w:val="20"/>
      <w:szCs w:val="20"/>
    </w:rPr>
  </w:style>
  <w:style w:type="character" w:customStyle="1" w:styleId="CommentTextChar">
    <w:name w:val="Comment Text Char"/>
    <w:link w:val="CommentText"/>
    <w:uiPriority w:val="99"/>
    <w:locked/>
    <w:rsid w:val="00D80D65"/>
    <w:rPr>
      <w:rFonts w:cs="Times New Roman"/>
      <w:sz w:val="20"/>
      <w:szCs w:val="20"/>
    </w:rPr>
  </w:style>
  <w:style w:type="paragraph" w:styleId="CommentSubject">
    <w:name w:val="annotation subject"/>
    <w:basedOn w:val="CommentText"/>
    <w:next w:val="CommentText"/>
    <w:link w:val="CommentSubjectChar"/>
    <w:uiPriority w:val="99"/>
    <w:semiHidden/>
    <w:rsid w:val="00D80D65"/>
    <w:rPr>
      <w:b/>
      <w:bCs/>
    </w:rPr>
  </w:style>
  <w:style w:type="character" w:customStyle="1" w:styleId="CommentSubjectChar">
    <w:name w:val="Comment Subject Char"/>
    <w:link w:val="CommentSubject"/>
    <w:uiPriority w:val="99"/>
    <w:semiHidden/>
    <w:locked/>
    <w:rsid w:val="00D80D65"/>
    <w:rPr>
      <w:rFonts w:cs="Times New Roman"/>
      <w:b/>
      <w:bCs/>
      <w:sz w:val="20"/>
      <w:szCs w:val="20"/>
    </w:rPr>
  </w:style>
  <w:style w:type="paragraph" w:styleId="BalloonText">
    <w:name w:val="Balloon Text"/>
    <w:basedOn w:val="Normal"/>
    <w:link w:val="BalloonTextChar"/>
    <w:uiPriority w:val="99"/>
    <w:semiHidden/>
    <w:rsid w:val="00D80D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80D65"/>
    <w:rPr>
      <w:rFonts w:ascii="Tahoma" w:hAnsi="Tahoma" w:cs="Tahoma"/>
      <w:sz w:val="16"/>
      <w:szCs w:val="16"/>
    </w:rPr>
  </w:style>
  <w:style w:type="character" w:styleId="FollowedHyperlink">
    <w:name w:val="FollowedHyperlink"/>
    <w:uiPriority w:val="99"/>
    <w:semiHidden/>
    <w:rsid w:val="00442839"/>
    <w:rPr>
      <w:rFonts w:cs="Times New Roman"/>
      <w:color w:val="800080"/>
      <w:u w:val="single"/>
    </w:rPr>
  </w:style>
  <w:style w:type="paragraph" w:styleId="NoSpacing">
    <w:name w:val="No Spacing"/>
    <w:uiPriority w:val="99"/>
    <w:qFormat/>
    <w:rsid w:val="00172F32"/>
    <w:rPr>
      <w:sz w:val="22"/>
      <w:szCs w:val="22"/>
      <w:lang w:eastAsia="en-US"/>
    </w:rPr>
  </w:style>
  <w:style w:type="paragraph" w:styleId="Revision">
    <w:name w:val="Revision"/>
    <w:hidden/>
    <w:uiPriority w:val="99"/>
    <w:semiHidden/>
    <w:rsid w:val="00B14120"/>
    <w:rPr>
      <w:sz w:val="22"/>
      <w:szCs w:val="22"/>
      <w:lang w:eastAsia="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547D06"/>
    <w:pPr>
      <w:spacing w:after="160" w:line="240" w:lineRule="exact"/>
    </w:pPr>
    <w:rPr>
      <w:sz w:val="20"/>
      <w:szCs w:val="20"/>
      <w:vertAlign w:val="superscript"/>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00323">
      <w:bodyDiv w:val="1"/>
      <w:marLeft w:val="0"/>
      <w:marRight w:val="0"/>
      <w:marTop w:val="0"/>
      <w:marBottom w:val="0"/>
      <w:divBdr>
        <w:top w:val="none" w:sz="0" w:space="0" w:color="auto"/>
        <w:left w:val="none" w:sz="0" w:space="0" w:color="auto"/>
        <w:bottom w:val="none" w:sz="0" w:space="0" w:color="auto"/>
        <w:right w:val="none" w:sz="0" w:space="0" w:color="auto"/>
      </w:divBdr>
    </w:div>
    <w:div w:id="399181739">
      <w:marLeft w:val="0"/>
      <w:marRight w:val="0"/>
      <w:marTop w:val="0"/>
      <w:marBottom w:val="0"/>
      <w:divBdr>
        <w:top w:val="none" w:sz="0" w:space="0" w:color="auto"/>
        <w:left w:val="none" w:sz="0" w:space="0" w:color="auto"/>
        <w:bottom w:val="none" w:sz="0" w:space="0" w:color="auto"/>
        <w:right w:val="none" w:sz="0" w:space="0" w:color="auto"/>
      </w:divBdr>
      <w:divsChild>
        <w:div w:id="399181749">
          <w:marLeft w:val="0"/>
          <w:marRight w:val="0"/>
          <w:marTop w:val="0"/>
          <w:marBottom w:val="120"/>
          <w:divBdr>
            <w:top w:val="none" w:sz="0" w:space="0" w:color="auto"/>
            <w:left w:val="none" w:sz="0" w:space="0" w:color="auto"/>
            <w:bottom w:val="none" w:sz="0" w:space="0" w:color="auto"/>
            <w:right w:val="none" w:sz="0" w:space="0" w:color="auto"/>
          </w:divBdr>
        </w:div>
        <w:div w:id="399181771">
          <w:marLeft w:val="0"/>
          <w:marRight w:val="0"/>
          <w:marTop w:val="0"/>
          <w:marBottom w:val="0"/>
          <w:divBdr>
            <w:top w:val="none" w:sz="0" w:space="0" w:color="auto"/>
            <w:left w:val="none" w:sz="0" w:space="0" w:color="auto"/>
            <w:bottom w:val="none" w:sz="0" w:space="0" w:color="auto"/>
            <w:right w:val="none" w:sz="0" w:space="0" w:color="auto"/>
          </w:divBdr>
        </w:div>
      </w:divsChild>
    </w:div>
    <w:div w:id="399181742">
      <w:marLeft w:val="0"/>
      <w:marRight w:val="0"/>
      <w:marTop w:val="0"/>
      <w:marBottom w:val="0"/>
      <w:divBdr>
        <w:top w:val="none" w:sz="0" w:space="0" w:color="auto"/>
        <w:left w:val="none" w:sz="0" w:space="0" w:color="auto"/>
        <w:bottom w:val="none" w:sz="0" w:space="0" w:color="auto"/>
        <w:right w:val="none" w:sz="0" w:space="0" w:color="auto"/>
      </w:divBdr>
      <w:divsChild>
        <w:div w:id="39918175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99181744">
      <w:marLeft w:val="0"/>
      <w:marRight w:val="0"/>
      <w:marTop w:val="0"/>
      <w:marBottom w:val="0"/>
      <w:divBdr>
        <w:top w:val="none" w:sz="0" w:space="0" w:color="auto"/>
        <w:left w:val="none" w:sz="0" w:space="0" w:color="auto"/>
        <w:bottom w:val="none" w:sz="0" w:space="0" w:color="auto"/>
        <w:right w:val="none" w:sz="0" w:space="0" w:color="auto"/>
      </w:divBdr>
      <w:divsChild>
        <w:div w:id="39918176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99181753">
      <w:marLeft w:val="0"/>
      <w:marRight w:val="0"/>
      <w:marTop w:val="0"/>
      <w:marBottom w:val="0"/>
      <w:divBdr>
        <w:top w:val="none" w:sz="0" w:space="0" w:color="auto"/>
        <w:left w:val="none" w:sz="0" w:space="0" w:color="auto"/>
        <w:bottom w:val="none" w:sz="0" w:space="0" w:color="auto"/>
        <w:right w:val="none" w:sz="0" w:space="0" w:color="auto"/>
      </w:divBdr>
      <w:divsChild>
        <w:div w:id="399181761">
          <w:marLeft w:val="0"/>
          <w:marRight w:val="0"/>
          <w:marTop w:val="0"/>
          <w:marBottom w:val="0"/>
          <w:divBdr>
            <w:top w:val="none" w:sz="0" w:space="0" w:color="auto"/>
            <w:left w:val="none" w:sz="0" w:space="0" w:color="auto"/>
            <w:bottom w:val="none" w:sz="0" w:space="0" w:color="auto"/>
            <w:right w:val="none" w:sz="0" w:space="0" w:color="auto"/>
          </w:divBdr>
          <w:divsChild>
            <w:div w:id="399181737">
              <w:marLeft w:val="0"/>
              <w:marRight w:val="0"/>
              <w:marTop w:val="0"/>
              <w:marBottom w:val="0"/>
              <w:divBdr>
                <w:top w:val="none" w:sz="0" w:space="0" w:color="auto"/>
                <w:left w:val="none" w:sz="0" w:space="0" w:color="auto"/>
                <w:bottom w:val="none" w:sz="0" w:space="0" w:color="auto"/>
                <w:right w:val="none" w:sz="0" w:space="0" w:color="auto"/>
              </w:divBdr>
            </w:div>
            <w:div w:id="399181740">
              <w:marLeft w:val="0"/>
              <w:marRight w:val="0"/>
              <w:marTop w:val="0"/>
              <w:marBottom w:val="0"/>
              <w:divBdr>
                <w:top w:val="none" w:sz="0" w:space="0" w:color="auto"/>
                <w:left w:val="none" w:sz="0" w:space="0" w:color="auto"/>
                <w:bottom w:val="none" w:sz="0" w:space="0" w:color="auto"/>
                <w:right w:val="none" w:sz="0" w:space="0" w:color="auto"/>
              </w:divBdr>
            </w:div>
            <w:div w:id="399181741">
              <w:marLeft w:val="0"/>
              <w:marRight w:val="0"/>
              <w:marTop w:val="0"/>
              <w:marBottom w:val="0"/>
              <w:divBdr>
                <w:top w:val="none" w:sz="0" w:space="0" w:color="auto"/>
                <w:left w:val="none" w:sz="0" w:space="0" w:color="auto"/>
                <w:bottom w:val="none" w:sz="0" w:space="0" w:color="auto"/>
                <w:right w:val="none" w:sz="0" w:space="0" w:color="auto"/>
              </w:divBdr>
            </w:div>
            <w:div w:id="399181743">
              <w:marLeft w:val="0"/>
              <w:marRight w:val="0"/>
              <w:marTop w:val="0"/>
              <w:marBottom w:val="0"/>
              <w:divBdr>
                <w:top w:val="none" w:sz="0" w:space="0" w:color="auto"/>
                <w:left w:val="none" w:sz="0" w:space="0" w:color="auto"/>
                <w:bottom w:val="none" w:sz="0" w:space="0" w:color="auto"/>
                <w:right w:val="none" w:sz="0" w:space="0" w:color="auto"/>
              </w:divBdr>
            </w:div>
            <w:div w:id="399181747">
              <w:marLeft w:val="0"/>
              <w:marRight w:val="0"/>
              <w:marTop w:val="0"/>
              <w:marBottom w:val="0"/>
              <w:divBdr>
                <w:top w:val="none" w:sz="0" w:space="0" w:color="auto"/>
                <w:left w:val="none" w:sz="0" w:space="0" w:color="auto"/>
                <w:bottom w:val="none" w:sz="0" w:space="0" w:color="auto"/>
                <w:right w:val="none" w:sz="0" w:space="0" w:color="auto"/>
              </w:divBdr>
            </w:div>
            <w:div w:id="399181754">
              <w:marLeft w:val="0"/>
              <w:marRight w:val="0"/>
              <w:marTop w:val="0"/>
              <w:marBottom w:val="0"/>
              <w:divBdr>
                <w:top w:val="none" w:sz="0" w:space="0" w:color="auto"/>
                <w:left w:val="none" w:sz="0" w:space="0" w:color="auto"/>
                <w:bottom w:val="none" w:sz="0" w:space="0" w:color="auto"/>
                <w:right w:val="none" w:sz="0" w:space="0" w:color="auto"/>
              </w:divBdr>
            </w:div>
            <w:div w:id="399181758">
              <w:marLeft w:val="0"/>
              <w:marRight w:val="0"/>
              <w:marTop w:val="0"/>
              <w:marBottom w:val="0"/>
              <w:divBdr>
                <w:top w:val="none" w:sz="0" w:space="0" w:color="auto"/>
                <w:left w:val="none" w:sz="0" w:space="0" w:color="auto"/>
                <w:bottom w:val="none" w:sz="0" w:space="0" w:color="auto"/>
                <w:right w:val="none" w:sz="0" w:space="0" w:color="auto"/>
              </w:divBdr>
            </w:div>
            <w:div w:id="399181762">
              <w:marLeft w:val="0"/>
              <w:marRight w:val="0"/>
              <w:marTop w:val="0"/>
              <w:marBottom w:val="0"/>
              <w:divBdr>
                <w:top w:val="none" w:sz="0" w:space="0" w:color="auto"/>
                <w:left w:val="none" w:sz="0" w:space="0" w:color="auto"/>
                <w:bottom w:val="none" w:sz="0" w:space="0" w:color="auto"/>
                <w:right w:val="none" w:sz="0" w:space="0" w:color="auto"/>
              </w:divBdr>
            </w:div>
            <w:div w:id="399181775">
              <w:marLeft w:val="0"/>
              <w:marRight w:val="0"/>
              <w:marTop w:val="0"/>
              <w:marBottom w:val="0"/>
              <w:divBdr>
                <w:top w:val="none" w:sz="0" w:space="0" w:color="auto"/>
                <w:left w:val="none" w:sz="0" w:space="0" w:color="auto"/>
                <w:bottom w:val="none" w:sz="0" w:space="0" w:color="auto"/>
                <w:right w:val="none" w:sz="0" w:space="0" w:color="auto"/>
              </w:divBdr>
            </w:div>
            <w:div w:id="399181776">
              <w:marLeft w:val="0"/>
              <w:marRight w:val="0"/>
              <w:marTop w:val="0"/>
              <w:marBottom w:val="0"/>
              <w:divBdr>
                <w:top w:val="none" w:sz="0" w:space="0" w:color="auto"/>
                <w:left w:val="none" w:sz="0" w:space="0" w:color="auto"/>
                <w:bottom w:val="none" w:sz="0" w:space="0" w:color="auto"/>
                <w:right w:val="none" w:sz="0" w:space="0" w:color="auto"/>
              </w:divBdr>
            </w:div>
            <w:div w:id="399181777">
              <w:marLeft w:val="0"/>
              <w:marRight w:val="0"/>
              <w:marTop w:val="0"/>
              <w:marBottom w:val="0"/>
              <w:divBdr>
                <w:top w:val="none" w:sz="0" w:space="0" w:color="auto"/>
                <w:left w:val="none" w:sz="0" w:space="0" w:color="auto"/>
                <w:bottom w:val="none" w:sz="0" w:space="0" w:color="auto"/>
                <w:right w:val="none" w:sz="0" w:space="0" w:color="auto"/>
              </w:divBdr>
            </w:div>
            <w:div w:id="3991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1759">
      <w:marLeft w:val="0"/>
      <w:marRight w:val="0"/>
      <w:marTop w:val="0"/>
      <w:marBottom w:val="0"/>
      <w:divBdr>
        <w:top w:val="none" w:sz="0" w:space="0" w:color="auto"/>
        <w:left w:val="none" w:sz="0" w:space="0" w:color="auto"/>
        <w:bottom w:val="none" w:sz="0" w:space="0" w:color="auto"/>
        <w:right w:val="none" w:sz="0" w:space="0" w:color="auto"/>
      </w:divBdr>
      <w:divsChild>
        <w:div w:id="39918177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99181763">
      <w:marLeft w:val="0"/>
      <w:marRight w:val="0"/>
      <w:marTop w:val="0"/>
      <w:marBottom w:val="0"/>
      <w:divBdr>
        <w:top w:val="none" w:sz="0" w:space="0" w:color="auto"/>
        <w:left w:val="none" w:sz="0" w:space="0" w:color="auto"/>
        <w:bottom w:val="none" w:sz="0" w:space="0" w:color="auto"/>
        <w:right w:val="none" w:sz="0" w:space="0" w:color="auto"/>
      </w:divBdr>
    </w:div>
    <w:div w:id="399181765">
      <w:marLeft w:val="0"/>
      <w:marRight w:val="0"/>
      <w:marTop w:val="0"/>
      <w:marBottom w:val="0"/>
      <w:divBdr>
        <w:top w:val="none" w:sz="0" w:space="0" w:color="auto"/>
        <w:left w:val="none" w:sz="0" w:space="0" w:color="auto"/>
        <w:bottom w:val="none" w:sz="0" w:space="0" w:color="auto"/>
        <w:right w:val="none" w:sz="0" w:space="0" w:color="auto"/>
      </w:divBdr>
      <w:divsChild>
        <w:div w:id="39918175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99181767">
      <w:marLeft w:val="0"/>
      <w:marRight w:val="0"/>
      <w:marTop w:val="0"/>
      <w:marBottom w:val="0"/>
      <w:divBdr>
        <w:top w:val="none" w:sz="0" w:space="0" w:color="auto"/>
        <w:left w:val="none" w:sz="0" w:space="0" w:color="auto"/>
        <w:bottom w:val="none" w:sz="0" w:space="0" w:color="auto"/>
        <w:right w:val="none" w:sz="0" w:space="0" w:color="auto"/>
      </w:divBdr>
      <w:divsChild>
        <w:div w:id="39918173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99181772">
      <w:marLeft w:val="0"/>
      <w:marRight w:val="0"/>
      <w:marTop w:val="0"/>
      <w:marBottom w:val="0"/>
      <w:divBdr>
        <w:top w:val="none" w:sz="0" w:space="0" w:color="auto"/>
        <w:left w:val="none" w:sz="0" w:space="0" w:color="auto"/>
        <w:bottom w:val="none" w:sz="0" w:space="0" w:color="auto"/>
        <w:right w:val="none" w:sz="0" w:space="0" w:color="auto"/>
      </w:divBdr>
      <w:divsChild>
        <w:div w:id="39918178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99181778">
      <w:marLeft w:val="0"/>
      <w:marRight w:val="0"/>
      <w:marTop w:val="0"/>
      <w:marBottom w:val="0"/>
      <w:divBdr>
        <w:top w:val="none" w:sz="0" w:space="0" w:color="auto"/>
        <w:left w:val="none" w:sz="0" w:space="0" w:color="auto"/>
        <w:bottom w:val="none" w:sz="0" w:space="0" w:color="auto"/>
        <w:right w:val="none" w:sz="0" w:space="0" w:color="auto"/>
      </w:divBdr>
      <w:divsChild>
        <w:div w:id="39918175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99181780">
      <w:marLeft w:val="0"/>
      <w:marRight w:val="0"/>
      <w:marTop w:val="0"/>
      <w:marBottom w:val="0"/>
      <w:divBdr>
        <w:top w:val="none" w:sz="0" w:space="0" w:color="auto"/>
        <w:left w:val="none" w:sz="0" w:space="0" w:color="auto"/>
        <w:bottom w:val="none" w:sz="0" w:space="0" w:color="auto"/>
        <w:right w:val="none" w:sz="0" w:space="0" w:color="auto"/>
      </w:divBdr>
      <w:divsChild>
        <w:div w:id="39918176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99181781">
      <w:marLeft w:val="0"/>
      <w:marRight w:val="0"/>
      <w:marTop w:val="0"/>
      <w:marBottom w:val="0"/>
      <w:divBdr>
        <w:top w:val="none" w:sz="0" w:space="0" w:color="auto"/>
        <w:left w:val="none" w:sz="0" w:space="0" w:color="auto"/>
        <w:bottom w:val="none" w:sz="0" w:space="0" w:color="auto"/>
        <w:right w:val="none" w:sz="0" w:space="0" w:color="auto"/>
      </w:divBdr>
      <w:divsChild>
        <w:div w:id="399181746">
          <w:marLeft w:val="0"/>
          <w:marRight w:val="0"/>
          <w:marTop w:val="0"/>
          <w:marBottom w:val="0"/>
          <w:divBdr>
            <w:top w:val="none" w:sz="0" w:space="0" w:color="auto"/>
            <w:left w:val="none" w:sz="0" w:space="0" w:color="auto"/>
            <w:bottom w:val="none" w:sz="0" w:space="0" w:color="auto"/>
            <w:right w:val="none" w:sz="0" w:space="0" w:color="auto"/>
          </w:divBdr>
          <w:divsChild>
            <w:div w:id="399181736">
              <w:marLeft w:val="0"/>
              <w:marRight w:val="0"/>
              <w:marTop w:val="0"/>
              <w:marBottom w:val="0"/>
              <w:divBdr>
                <w:top w:val="none" w:sz="0" w:space="0" w:color="auto"/>
                <w:left w:val="none" w:sz="0" w:space="0" w:color="auto"/>
                <w:bottom w:val="none" w:sz="0" w:space="0" w:color="auto"/>
                <w:right w:val="none" w:sz="0" w:space="0" w:color="auto"/>
              </w:divBdr>
            </w:div>
            <w:div w:id="399181745">
              <w:marLeft w:val="0"/>
              <w:marRight w:val="0"/>
              <w:marTop w:val="0"/>
              <w:marBottom w:val="0"/>
              <w:divBdr>
                <w:top w:val="none" w:sz="0" w:space="0" w:color="auto"/>
                <w:left w:val="none" w:sz="0" w:space="0" w:color="auto"/>
                <w:bottom w:val="none" w:sz="0" w:space="0" w:color="auto"/>
                <w:right w:val="none" w:sz="0" w:space="0" w:color="auto"/>
              </w:divBdr>
            </w:div>
            <w:div w:id="399181748">
              <w:marLeft w:val="0"/>
              <w:marRight w:val="0"/>
              <w:marTop w:val="0"/>
              <w:marBottom w:val="0"/>
              <w:divBdr>
                <w:top w:val="none" w:sz="0" w:space="0" w:color="auto"/>
                <w:left w:val="none" w:sz="0" w:space="0" w:color="auto"/>
                <w:bottom w:val="none" w:sz="0" w:space="0" w:color="auto"/>
                <w:right w:val="none" w:sz="0" w:space="0" w:color="auto"/>
              </w:divBdr>
            </w:div>
            <w:div w:id="399181750">
              <w:marLeft w:val="0"/>
              <w:marRight w:val="0"/>
              <w:marTop w:val="0"/>
              <w:marBottom w:val="0"/>
              <w:divBdr>
                <w:top w:val="none" w:sz="0" w:space="0" w:color="auto"/>
                <w:left w:val="none" w:sz="0" w:space="0" w:color="auto"/>
                <w:bottom w:val="none" w:sz="0" w:space="0" w:color="auto"/>
                <w:right w:val="none" w:sz="0" w:space="0" w:color="auto"/>
              </w:divBdr>
            </w:div>
            <w:div w:id="399181756">
              <w:marLeft w:val="0"/>
              <w:marRight w:val="0"/>
              <w:marTop w:val="0"/>
              <w:marBottom w:val="0"/>
              <w:divBdr>
                <w:top w:val="none" w:sz="0" w:space="0" w:color="auto"/>
                <w:left w:val="none" w:sz="0" w:space="0" w:color="auto"/>
                <w:bottom w:val="none" w:sz="0" w:space="0" w:color="auto"/>
                <w:right w:val="none" w:sz="0" w:space="0" w:color="auto"/>
              </w:divBdr>
            </w:div>
            <w:div w:id="399181757">
              <w:marLeft w:val="0"/>
              <w:marRight w:val="0"/>
              <w:marTop w:val="0"/>
              <w:marBottom w:val="0"/>
              <w:divBdr>
                <w:top w:val="none" w:sz="0" w:space="0" w:color="auto"/>
                <w:left w:val="none" w:sz="0" w:space="0" w:color="auto"/>
                <w:bottom w:val="none" w:sz="0" w:space="0" w:color="auto"/>
                <w:right w:val="none" w:sz="0" w:space="0" w:color="auto"/>
              </w:divBdr>
            </w:div>
            <w:div w:id="399181760">
              <w:marLeft w:val="0"/>
              <w:marRight w:val="0"/>
              <w:marTop w:val="0"/>
              <w:marBottom w:val="0"/>
              <w:divBdr>
                <w:top w:val="none" w:sz="0" w:space="0" w:color="auto"/>
                <w:left w:val="none" w:sz="0" w:space="0" w:color="auto"/>
                <w:bottom w:val="none" w:sz="0" w:space="0" w:color="auto"/>
                <w:right w:val="none" w:sz="0" w:space="0" w:color="auto"/>
              </w:divBdr>
            </w:div>
            <w:div w:id="399181768">
              <w:marLeft w:val="0"/>
              <w:marRight w:val="0"/>
              <w:marTop w:val="0"/>
              <w:marBottom w:val="0"/>
              <w:divBdr>
                <w:top w:val="none" w:sz="0" w:space="0" w:color="auto"/>
                <w:left w:val="none" w:sz="0" w:space="0" w:color="auto"/>
                <w:bottom w:val="none" w:sz="0" w:space="0" w:color="auto"/>
                <w:right w:val="none" w:sz="0" w:space="0" w:color="auto"/>
              </w:divBdr>
            </w:div>
            <w:div w:id="399181769">
              <w:marLeft w:val="0"/>
              <w:marRight w:val="0"/>
              <w:marTop w:val="0"/>
              <w:marBottom w:val="0"/>
              <w:divBdr>
                <w:top w:val="none" w:sz="0" w:space="0" w:color="auto"/>
                <w:left w:val="none" w:sz="0" w:space="0" w:color="auto"/>
                <w:bottom w:val="none" w:sz="0" w:space="0" w:color="auto"/>
                <w:right w:val="none" w:sz="0" w:space="0" w:color="auto"/>
              </w:divBdr>
            </w:div>
            <w:div w:id="399181770">
              <w:marLeft w:val="0"/>
              <w:marRight w:val="0"/>
              <w:marTop w:val="0"/>
              <w:marBottom w:val="0"/>
              <w:divBdr>
                <w:top w:val="none" w:sz="0" w:space="0" w:color="auto"/>
                <w:left w:val="none" w:sz="0" w:space="0" w:color="auto"/>
                <w:bottom w:val="none" w:sz="0" w:space="0" w:color="auto"/>
                <w:right w:val="none" w:sz="0" w:space="0" w:color="auto"/>
              </w:divBdr>
            </w:div>
            <w:div w:id="399181773">
              <w:marLeft w:val="0"/>
              <w:marRight w:val="0"/>
              <w:marTop w:val="0"/>
              <w:marBottom w:val="0"/>
              <w:divBdr>
                <w:top w:val="none" w:sz="0" w:space="0" w:color="auto"/>
                <w:left w:val="none" w:sz="0" w:space="0" w:color="auto"/>
                <w:bottom w:val="none" w:sz="0" w:space="0" w:color="auto"/>
                <w:right w:val="none" w:sz="0" w:space="0" w:color="auto"/>
              </w:divBdr>
            </w:div>
            <w:div w:id="3991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8162">
      <w:bodyDiv w:val="1"/>
      <w:marLeft w:val="0"/>
      <w:marRight w:val="0"/>
      <w:marTop w:val="0"/>
      <w:marBottom w:val="0"/>
      <w:divBdr>
        <w:top w:val="none" w:sz="0" w:space="0" w:color="auto"/>
        <w:left w:val="none" w:sz="0" w:space="0" w:color="auto"/>
        <w:bottom w:val="none" w:sz="0" w:space="0" w:color="auto"/>
        <w:right w:val="none" w:sz="0" w:space="0" w:color="auto"/>
      </w:divBdr>
    </w:div>
    <w:div w:id="1381052067">
      <w:bodyDiv w:val="1"/>
      <w:marLeft w:val="0"/>
      <w:marRight w:val="0"/>
      <w:marTop w:val="0"/>
      <w:marBottom w:val="0"/>
      <w:divBdr>
        <w:top w:val="none" w:sz="0" w:space="0" w:color="auto"/>
        <w:left w:val="none" w:sz="0" w:space="0" w:color="auto"/>
        <w:bottom w:val="none" w:sz="0" w:space="0" w:color="auto"/>
        <w:right w:val="none" w:sz="0" w:space="0" w:color="auto"/>
      </w:divBdr>
    </w:div>
    <w:div w:id="1697802660">
      <w:bodyDiv w:val="1"/>
      <w:marLeft w:val="0"/>
      <w:marRight w:val="0"/>
      <w:marTop w:val="0"/>
      <w:marBottom w:val="0"/>
      <w:divBdr>
        <w:top w:val="none" w:sz="0" w:space="0" w:color="auto"/>
        <w:left w:val="none" w:sz="0" w:space="0" w:color="auto"/>
        <w:bottom w:val="none" w:sz="0" w:space="0" w:color="auto"/>
        <w:right w:val="none" w:sz="0" w:space="0" w:color="auto"/>
      </w:divBdr>
    </w:div>
    <w:div w:id="1745879088">
      <w:bodyDiv w:val="1"/>
      <w:marLeft w:val="0"/>
      <w:marRight w:val="0"/>
      <w:marTop w:val="0"/>
      <w:marBottom w:val="0"/>
      <w:divBdr>
        <w:top w:val="none" w:sz="0" w:space="0" w:color="auto"/>
        <w:left w:val="none" w:sz="0" w:space="0" w:color="auto"/>
        <w:bottom w:val="none" w:sz="0" w:space="0" w:color="auto"/>
        <w:right w:val="none" w:sz="0" w:space="0" w:color="auto"/>
      </w:divBdr>
    </w:div>
    <w:div w:id="1979140981">
      <w:bodyDiv w:val="1"/>
      <w:marLeft w:val="0"/>
      <w:marRight w:val="0"/>
      <w:marTop w:val="0"/>
      <w:marBottom w:val="0"/>
      <w:divBdr>
        <w:top w:val="none" w:sz="0" w:space="0" w:color="auto"/>
        <w:left w:val="none" w:sz="0" w:space="0" w:color="auto"/>
        <w:bottom w:val="none" w:sz="0" w:space="0" w:color="auto"/>
        <w:right w:val="none" w:sz="0" w:space="0" w:color="auto"/>
      </w:divBdr>
    </w:div>
    <w:div w:id="20190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hs.gov/web/508/section504.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a-malta.org/prdetails?id=24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mita.gov.mt/MediaCenter/PDFs/1_GMICT_S_0051-3_Website_Accessibility_Standard_v4.0.pdf"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aates.org/documents/ICT/GAATES_Procurement.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justiceservices.gov.mt/DownloadDocument.aspx?app=lom&amp;itemid=8833" TargetMode="External"/><Relationship Id="rId13" Type="http://schemas.openxmlformats.org/officeDocument/2006/relationships/hyperlink" Target="http://www.justiceservices.gov.mt/DownloadDocument.aspx?app=lom&amp;itemid=8833" TargetMode="External"/><Relationship Id="rId18" Type="http://schemas.openxmlformats.org/officeDocument/2006/relationships/hyperlink" Target="http://www.justiceservices.gov.mt/DownloadDocument.aspx?app=lom&amp;itemid=8833" TargetMode="External"/><Relationship Id="rId26" Type="http://schemas.openxmlformats.org/officeDocument/2006/relationships/hyperlink" Target="http://www.knpdarchives.org/reports/05_rapann_e.pdf" TargetMode="External"/><Relationship Id="rId39" Type="http://schemas.openxmlformats.org/officeDocument/2006/relationships/hyperlink" Target="http://www.knpd.org/pubs/pdf/20130301_EOCU%20(PBS-MSLI%20Debates%20-%20KNPD%20prsrel).pdf" TargetMode="External"/><Relationship Id="rId3" Type="http://schemas.openxmlformats.org/officeDocument/2006/relationships/hyperlink" Target="http://www.un.org/disabilities/countries.asp?navid=12&amp;pid=166" TargetMode="External"/><Relationship Id="rId21" Type="http://schemas.openxmlformats.org/officeDocument/2006/relationships/hyperlink" Target="http://www.justiceservices.gov.mt/DownloadDocument.aspx?app=lom&amp;itemid=8824" TargetMode="External"/><Relationship Id="rId34" Type="http://schemas.openxmlformats.org/officeDocument/2006/relationships/hyperlink" Target="http://www.ba-malta.org/prdetails?id=247" TargetMode="External"/><Relationship Id="rId7" Type="http://schemas.openxmlformats.org/officeDocument/2006/relationships/hyperlink" Target="http://justiceservices.gov.mt/DownloadDocument.aspx?app=lom&amp;itemid=8933" TargetMode="External"/><Relationship Id="rId12" Type="http://schemas.openxmlformats.org/officeDocument/2006/relationships/hyperlink" Target="http://www.electoral.gov.mt/getresource.aspx?id=83" TargetMode="External"/><Relationship Id="rId17" Type="http://schemas.openxmlformats.org/officeDocument/2006/relationships/hyperlink" Target="http://justiceservices.gov.mt/DownloadDocument.aspx?app=lom&amp;itemid=8933" TargetMode="External"/><Relationship Id="rId25" Type="http://schemas.openxmlformats.org/officeDocument/2006/relationships/hyperlink" Target="https://www.mita.gov.mt/MediaCenter/PDFs/1_GMICT_S_0051-3_Website_Accessibility_Standard_v4.0.pdf" TargetMode="External"/><Relationship Id="rId33" Type="http://schemas.openxmlformats.org/officeDocument/2006/relationships/hyperlink" Target="http://www.knpd.org/pubs/pdf/20130301_EOCU%20(PBS-MSLI%20Debates%20-%20KNPD%20prsrel).pdf" TargetMode="External"/><Relationship Id="rId38" Type="http://schemas.openxmlformats.org/officeDocument/2006/relationships/hyperlink" Target="http://www.knpd.org/legislation/accessforall.html" TargetMode="External"/><Relationship Id="rId2" Type="http://schemas.openxmlformats.org/officeDocument/2006/relationships/hyperlink" Target="http://www.un.org/disabilities/countries.asp?navid=12&amp;pid=166" TargetMode="External"/><Relationship Id="rId16" Type="http://schemas.openxmlformats.org/officeDocument/2006/relationships/hyperlink" Target="http://www.justiceservices.gov.mt/DownloadDocument.aspx?app=lom&amp;itemid=8824" TargetMode="External"/><Relationship Id="rId20" Type="http://schemas.openxmlformats.org/officeDocument/2006/relationships/hyperlink" Target="http://www.justiceservices.gov.mt/DownloadDocument.aspx?app=lom&amp;itemid=8833" TargetMode="External"/><Relationship Id="rId29" Type="http://schemas.openxmlformats.org/officeDocument/2006/relationships/hyperlink" Target="http://knpd.org/pubs/pdf/dritijietmhuxkarita_e.pdf" TargetMode="External"/><Relationship Id="rId1" Type="http://schemas.openxmlformats.org/officeDocument/2006/relationships/hyperlink" Target="http://treaties.un.org/Pages/ViewDetails.aspx?src=TREATY&amp;mtdsg_no=IV-15&amp;chapter=4&amp;lang=en" TargetMode="External"/><Relationship Id="rId6" Type="http://schemas.openxmlformats.org/officeDocument/2006/relationships/hyperlink" Target="http://treaties.un.org/Pages/ViewDetails.aspx?src=TREATY&amp;mtdsg_no=IV-15&amp;chapter=4&amp;lang=en" TargetMode="External"/><Relationship Id="rId11" Type="http://schemas.openxmlformats.org/officeDocument/2006/relationships/hyperlink" Target="http://justiceservices.gov.mt/DownloadDocument.aspx?app=lom&amp;itemid=8933" TargetMode="External"/><Relationship Id="rId24" Type="http://schemas.openxmlformats.org/officeDocument/2006/relationships/hyperlink" Target="http://justiceservices.gov.mt/DownloadDocument.aspx?app=lom&amp;itemid=8879&amp;l=1" TargetMode="External"/><Relationship Id="rId32" Type="http://schemas.openxmlformats.org/officeDocument/2006/relationships/hyperlink" Target="http://www.justiceservices.gov.mt/DownloadDocument.aspx?app=lp&amp;itemid=18445&amp;l=1" TargetMode="External"/><Relationship Id="rId37" Type="http://schemas.openxmlformats.org/officeDocument/2006/relationships/hyperlink" Target="http://www.ba-malta.org/file.aspx?f=1344" TargetMode="External"/><Relationship Id="rId40" Type="http://schemas.openxmlformats.org/officeDocument/2006/relationships/hyperlink" Target="http://www.ba-malta.org/prdetails?id=247" TargetMode="External"/><Relationship Id="rId5" Type="http://schemas.openxmlformats.org/officeDocument/2006/relationships/hyperlink" Target="http://www.un.org/disabilities/countries.asp?navid=12&amp;pid=166" TargetMode="External"/><Relationship Id="rId15" Type="http://schemas.openxmlformats.org/officeDocument/2006/relationships/hyperlink" Target="http://www.justiceservices.gov.mt/DownloadDocument.aspx?app=lom&amp;itemid=8824" TargetMode="External"/><Relationship Id="rId23" Type="http://schemas.openxmlformats.org/officeDocument/2006/relationships/hyperlink" Target="http://www.justiceservices.gov.mt/DownloadDocument.aspx?app=lom&amp;itemid=10563" TargetMode="External"/><Relationship Id="rId28" Type="http://schemas.openxmlformats.org/officeDocument/2006/relationships/hyperlink" Target="http://www.knpdarchives.org/reports/07annualreport_e.pdf" TargetMode="External"/><Relationship Id="rId36" Type="http://schemas.openxmlformats.org/officeDocument/2006/relationships/hyperlink" Target="http://www.ba-malta.org/prdetails?id=239" TargetMode="External"/><Relationship Id="rId10" Type="http://schemas.openxmlformats.org/officeDocument/2006/relationships/hyperlink" Target="http://www.justiceservices.gov.mt/DownloadDocument.aspx?app=lom&amp;itemid=8824" TargetMode="External"/><Relationship Id="rId19" Type="http://schemas.openxmlformats.org/officeDocument/2006/relationships/hyperlink" Target="http://justiceservices.gov.mt/DownloadDocument.aspx?app=lom&amp;itemid=8933" TargetMode="External"/><Relationship Id="rId31" Type="http://schemas.openxmlformats.org/officeDocument/2006/relationships/hyperlink" Target="http://justiceservices.gov.mt/DownloadDocument.aspx?app=lom&amp;itemid=8879&amp;l=1" TargetMode="External"/><Relationship Id="rId4" Type="http://schemas.openxmlformats.org/officeDocument/2006/relationships/hyperlink" Target="http://treaties.un.org/Pages/ViewDetails.aspx?src=TREATY&amp;mtdsg_no=IV-15&amp;chapter=4&amp;lang=en" TargetMode="External"/><Relationship Id="rId9" Type="http://schemas.openxmlformats.org/officeDocument/2006/relationships/hyperlink" Target="http://www.justiceservices.gov.mt/DownloadDocument.aspx?app=lom&amp;itemid=8737" TargetMode="External"/><Relationship Id="rId14" Type="http://schemas.openxmlformats.org/officeDocument/2006/relationships/hyperlink" Target="http://justiceservices.gov.mt/DownloadDocument.aspx?app=lom&amp;itemid=8566" TargetMode="External"/><Relationship Id="rId22" Type="http://schemas.openxmlformats.org/officeDocument/2006/relationships/hyperlink" Target="http://www.justiceservices.gov.mt/DownloadDocument.aspx?app=lom&amp;itemid=8833" TargetMode="External"/><Relationship Id="rId27" Type="http://schemas.openxmlformats.org/officeDocument/2006/relationships/hyperlink" Target="http://www.knpdarchives.org/reports/06rapann-e.pdf" TargetMode="External"/><Relationship Id="rId30" Type="http://schemas.openxmlformats.org/officeDocument/2006/relationships/hyperlink" Target="http://www.justiceservices.gov.mt/DownloadDocument.aspx?app=lom&amp;itemid=8820" TargetMode="External"/><Relationship Id="rId35" Type="http://schemas.openxmlformats.org/officeDocument/2006/relationships/hyperlink" Target="http://justiceservices.gov.mt/DownloadDocument.aspx?app=lom&amp;itemid=8879&amp;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772</Value>
      <Value>3665</Value>
      <Value>11</Value>
    </TaxCatchAll>
    <_dlc_DocId xmlns="16097700-bd0a-4b4b-83d5-90842b5175e0">D-2014-35958</_dlc_DocId>
    <_dlc_DocIdUrl xmlns="16097700-bd0a-4b4b-83d5-90842b5175e0">
      <Url>http://dms/research/polparprojectsite/_layouts/DocIdRedir.aspx?ID=D-2014-35958</Url>
      <Description>D-2014-35958</Description>
    </_dlc_DocIdUrl>
    <fraPermissions xmlns="16097700-bd0a-4b4b-83d5-90842b5175e0">Public: Read for all, write dept.</fraPermission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0720D-0E3B-44CE-82A7-DC0A8E2126B3}">
  <ds:schemaRefs>
    <ds:schemaRef ds:uri="http://schemas.microsoft.com/office/2006/documentManagement/types"/>
    <ds:schemaRef ds:uri="http://schemas.openxmlformats.org/package/2006/metadata/core-properties"/>
    <ds:schemaRef ds:uri="http://purl.org/dc/elements/1.1/"/>
    <ds:schemaRef ds:uri="http://purl.org/dc/dcmitype/"/>
    <ds:schemaRef ds:uri="16097700-bd0a-4b4b-83d5-90842b5175e0"/>
    <ds:schemaRef ds:uri="http://purl.org/dc/terms/"/>
    <ds:schemaRef ds:uri="http://www.w3.org/XML/1998/namespace"/>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E04A81F7-5505-4928-8AE4-84EA6D82D6C2}">
  <ds:schemaRefs>
    <ds:schemaRef ds:uri="http://schemas.microsoft.com/sharepoint/v3/contenttype/forms"/>
  </ds:schemaRefs>
</ds:datastoreItem>
</file>

<file path=customXml/itemProps3.xml><?xml version="1.0" encoding="utf-8"?>
<ds:datastoreItem xmlns:ds="http://schemas.openxmlformats.org/officeDocument/2006/customXml" ds:itemID="{9E1E3472-0ED1-4E5E-8290-7D75B6FFCB21}">
  <ds:schemaRefs>
    <ds:schemaRef ds:uri="http://schemas.microsoft.com/sharepoint/events"/>
  </ds:schemaRefs>
</ds:datastoreItem>
</file>

<file path=customXml/itemProps4.xml><?xml version="1.0" encoding="utf-8"?>
<ds:datastoreItem xmlns:ds="http://schemas.openxmlformats.org/officeDocument/2006/customXml" ds:itemID="{22050A39-C0C9-4324-8125-303EA1DCF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FE0CCA-72E4-4254-8AD3-08015BD9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5602</Words>
  <Characters>31461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Final country tables clean versions</vt:lpstr>
    </vt:vector>
  </TitlesOfParts>
  <Company>European Union Fundamental Rights Agency</Company>
  <LinksUpToDate>false</LinksUpToDate>
  <CharactersWithSpaces>36990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country tables clean versions</dc:title>
  <dc:creator>STICKINGS Martha (FRA)</dc:creator>
  <cp:lastModifiedBy>GRANELLI Alessandra (FRA)</cp:lastModifiedBy>
  <cp:revision>2</cp:revision>
  <cp:lastPrinted>2013-05-31T11:42:00Z</cp:lastPrinted>
  <dcterms:created xsi:type="dcterms:W3CDTF">2014-07-11T13:21:00Z</dcterms:created>
  <dcterms:modified xsi:type="dcterms:W3CDTF">2014-07-11T13:21:00Z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_dlc_DocIdItemGuid">
    <vt:lpwstr>e0035ec2-0876-45aa-a7f8-9cbf287bf272</vt:lpwstr>
  </property>
  <property fmtid="{D5CDD505-2E9C-101B-9397-08002B2CF9AE}" pid="4" name="fraContentLanguageMM">
    <vt:lpwstr>11;#English|2d2b19a9-1f9f-48bb-ac48-c1a45d7d0217</vt:lpwstr>
  </property>
  <property fmtid="{D5CDD505-2E9C-101B-9397-08002B2CF9AE}" pid="5" name="fraYearMM">
    <vt:lpwstr>772;#2013|89100c69-8623-4b50-bafc-39dac4cd6adf</vt:lpwstr>
  </property>
  <property fmtid="{D5CDD505-2E9C-101B-9397-08002B2CF9AE}" pid="6" name="fraThematicTeamMM">
    <vt:lpwstr/>
  </property>
  <property fmtid="{D5CDD505-2E9C-101B-9397-08002B2CF9AE}" pid="7" name="fraTagsMM">
    <vt:lpwstr/>
  </property>
  <property fmtid="{D5CDD505-2E9C-101B-9397-08002B2CF9AE}" pid="8" name="fraMatrixProject">
    <vt:lpwstr>3665;#2012-ECR-07 - Indicators on political participation of persons with disabilities|3ba2f83a-f807-452a-a4c3-e61dab7d65c2</vt:lpwstr>
  </property>
  <property fmtid="{D5CDD505-2E9C-101B-9397-08002B2CF9AE}" pid="9" name="Order">
    <vt:r8>1000</vt:r8>
  </property>
</Properties>
</file>