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321E23" w14:textId="77777777" w:rsidR="00E54542" w:rsidRDefault="00E54542" w:rsidP="00E54542">
      <w:pPr>
        <w:spacing w:after="0" w:line="240" w:lineRule="auto"/>
        <w:jc w:val="right"/>
        <w:rPr>
          <w:rFonts w:ascii="Arial Narrow" w:eastAsia="Calibri" w:hAnsi="Arial Narrow" w:cs="Times New Roman"/>
          <w:sz w:val="48"/>
          <w:szCs w:val="48"/>
          <w:lang w:val="en-GB" w:bidi="en-US"/>
        </w:rPr>
      </w:pPr>
      <w:bookmarkStart w:id="0" w:name="_GoBack"/>
      <w:bookmarkEnd w:id="0"/>
    </w:p>
    <w:p w14:paraId="1A7D6DB7" w14:textId="2C19D81B" w:rsidR="00C63021" w:rsidRPr="00734710" w:rsidRDefault="000B0398" w:rsidP="00C63021">
      <w:pPr>
        <w:spacing w:after="0" w:line="240" w:lineRule="auto"/>
        <w:jc w:val="right"/>
        <w:rPr>
          <w:rFonts w:eastAsia="Calibri" w:cs="Times New Roman"/>
          <w:sz w:val="48"/>
          <w:szCs w:val="48"/>
          <w:lang w:val="en-GB" w:bidi="en-US"/>
        </w:rPr>
      </w:pPr>
      <w:r>
        <w:rPr>
          <w:rFonts w:eastAsia="Calibri" w:cs="Times New Roman"/>
          <w:sz w:val="48"/>
          <w:szCs w:val="48"/>
          <w:lang w:val="en-GB" w:bidi="en-US"/>
        </w:rPr>
        <w:t>NL</w:t>
      </w:r>
      <w:r w:rsidR="00C63021">
        <w:rPr>
          <w:rFonts w:eastAsia="Calibri" w:cs="Times New Roman"/>
          <w:sz w:val="48"/>
          <w:szCs w:val="48"/>
          <w:lang w:val="en-GB" w:bidi="en-US"/>
        </w:rPr>
        <w:t xml:space="preserve"> – Country information</w:t>
      </w:r>
    </w:p>
    <w:p w14:paraId="58E6CCA9" w14:textId="77777777" w:rsidR="00C63021" w:rsidRDefault="00C63021" w:rsidP="00C63021">
      <w:pPr>
        <w:spacing w:after="0" w:line="240" w:lineRule="auto"/>
        <w:jc w:val="right"/>
        <w:rPr>
          <w:rFonts w:eastAsia="Calibri" w:cs="Times New Roman"/>
          <w:sz w:val="48"/>
          <w:szCs w:val="48"/>
          <w:lang w:val="en-GB" w:bidi="en-US"/>
        </w:rPr>
      </w:pPr>
    </w:p>
    <w:p w14:paraId="2CD87C90" w14:textId="77777777" w:rsidR="00BE6376" w:rsidRPr="00734710" w:rsidRDefault="00BE6376" w:rsidP="00C63021">
      <w:pPr>
        <w:spacing w:after="0" w:line="240" w:lineRule="auto"/>
        <w:jc w:val="right"/>
        <w:rPr>
          <w:rFonts w:eastAsia="Calibri" w:cs="Times New Roman"/>
          <w:sz w:val="48"/>
          <w:szCs w:val="48"/>
          <w:lang w:val="en-GB" w:bidi="en-US"/>
        </w:rPr>
      </w:pPr>
    </w:p>
    <w:p w14:paraId="29465EAA" w14:textId="77777777" w:rsidR="00C63021" w:rsidRPr="00734710" w:rsidRDefault="00C63021" w:rsidP="00C63021">
      <w:pPr>
        <w:spacing w:after="0" w:line="240" w:lineRule="auto"/>
        <w:jc w:val="right"/>
        <w:rPr>
          <w:rFonts w:eastAsia="Calibri" w:cs="Times New Roman"/>
          <w:sz w:val="48"/>
          <w:szCs w:val="48"/>
          <w:lang w:val="en-GB" w:bidi="en-US"/>
        </w:rPr>
      </w:pPr>
      <w:r w:rsidRPr="00734710">
        <w:rPr>
          <w:rFonts w:eastAsia="Calibri" w:cs="Times New Roman"/>
          <w:sz w:val="48"/>
          <w:szCs w:val="48"/>
          <w:lang w:val="en-GB" w:bidi="en-US"/>
        </w:rPr>
        <w:t>Indicators on political participation</w:t>
      </w:r>
    </w:p>
    <w:p w14:paraId="53321E30" w14:textId="718966E7" w:rsidR="00912C69" w:rsidRDefault="00C63021" w:rsidP="00BE6376">
      <w:pPr>
        <w:spacing w:after="0" w:line="240" w:lineRule="auto"/>
        <w:jc w:val="right"/>
        <w:rPr>
          <w:rFonts w:eastAsia="Calibri" w:cs="Times New Roman"/>
          <w:sz w:val="48"/>
          <w:szCs w:val="48"/>
          <w:lang w:val="en-GB" w:bidi="en-US"/>
        </w:rPr>
      </w:pPr>
      <w:r w:rsidRPr="00734710">
        <w:rPr>
          <w:rFonts w:eastAsia="Calibri" w:cs="Times New Roman"/>
          <w:sz w:val="48"/>
          <w:szCs w:val="48"/>
          <w:lang w:val="en-GB" w:bidi="en-US"/>
        </w:rPr>
        <w:t>of persons with disabilities</w:t>
      </w:r>
      <w:bookmarkStart w:id="1" w:name="_Toc165213042"/>
    </w:p>
    <w:p w14:paraId="3F3D968B" w14:textId="77777777" w:rsidR="00BB53E2" w:rsidRDefault="00BB53E2" w:rsidP="00BE6376">
      <w:pPr>
        <w:spacing w:after="0" w:line="240" w:lineRule="auto"/>
        <w:jc w:val="right"/>
        <w:rPr>
          <w:rFonts w:eastAsia="Calibri" w:cs="Times New Roman"/>
          <w:sz w:val="48"/>
          <w:szCs w:val="48"/>
          <w:lang w:val="en-GB" w:bidi="en-US"/>
        </w:rPr>
      </w:pPr>
    </w:p>
    <w:p w14:paraId="54218796" w14:textId="5CF69B63" w:rsidR="00BB53E2" w:rsidRDefault="00BB53E2" w:rsidP="00BE6376">
      <w:pPr>
        <w:spacing w:after="0" w:line="240" w:lineRule="auto"/>
        <w:jc w:val="right"/>
        <w:rPr>
          <w:rFonts w:eastAsia="Calibri" w:cs="Times New Roman"/>
          <w:sz w:val="48"/>
          <w:szCs w:val="48"/>
          <w:lang w:val="en-GB" w:bidi="en-US"/>
        </w:rPr>
      </w:pPr>
      <w:r>
        <w:rPr>
          <w:rFonts w:eastAsia="Calibri" w:cs="Times New Roman"/>
          <w:sz w:val="48"/>
          <w:szCs w:val="48"/>
          <w:lang w:val="en-GB" w:bidi="en-US"/>
        </w:rPr>
        <w:t>2014</w:t>
      </w:r>
    </w:p>
    <w:p w14:paraId="7BB4028C" w14:textId="77777777" w:rsidR="00BB53E2" w:rsidRDefault="00BB53E2" w:rsidP="00BE6376">
      <w:pPr>
        <w:spacing w:after="0" w:line="240" w:lineRule="auto"/>
        <w:jc w:val="right"/>
        <w:rPr>
          <w:rFonts w:eastAsia="Calibri" w:cs="Times New Roman"/>
          <w:sz w:val="48"/>
          <w:szCs w:val="48"/>
          <w:lang w:val="en-GB" w:bidi="en-US"/>
        </w:rPr>
      </w:pPr>
    </w:p>
    <w:p w14:paraId="62FEB5DE" w14:textId="77777777" w:rsidR="00BB53E2" w:rsidRDefault="00BB53E2" w:rsidP="00BB53E2">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Pr="00B510C6">
        <w:rPr>
          <w:rFonts w:ascii="Verdana" w:hAnsi="Verdana"/>
          <w:sz w:val="20"/>
          <w:szCs w:val="20"/>
          <w:lang w:val="en-IE"/>
        </w:rPr>
        <w:t>These reports are made publicly 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6093FF08" w14:textId="126764D7" w:rsidR="00BB53E2" w:rsidRDefault="00BB53E2" w:rsidP="00BB53E2">
      <w:pPr>
        <w:pStyle w:val="FRAHeading1"/>
        <w:rPr>
          <w:rFonts w:ascii="Verdana" w:hAnsi="Verdana"/>
          <w:sz w:val="20"/>
          <w:szCs w:val="20"/>
          <w:lang w:val="en-IE"/>
        </w:rPr>
      </w:pPr>
      <w:r w:rsidRPr="00BB53E2">
        <w:rPr>
          <w:rFonts w:ascii="Verdana" w:hAnsi="Verdana"/>
          <w:sz w:val="20"/>
          <w:szCs w:val="20"/>
          <w:lang w:val="en-IE"/>
        </w:rPr>
        <w:t>FRANET contractor: Art.1, Dutch knowledge centre discrimination</w:t>
      </w:r>
    </w:p>
    <w:p w14:paraId="449B3D19" w14:textId="77777777" w:rsidR="00BB53E2" w:rsidRPr="00BB53E2" w:rsidRDefault="00BB53E2" w:rsidP="00BB53E2">
      <w:pPr>
        <w:rPr>
          <w:lang w:bidi="en-US"/>
        </w:rPr>
      </w:pPr>
    </w:p>
    <w:p w14:paraId="65F64753" w14:textId="77777777" w:rsidR="00BB53E2" w:rsidRPr="00912C69" w:rsidRDefault="00BB53E2" w:rsidP="00BE6376">
      <w:pPr>
        <w:spacing w:after="0" w:line="240" w:lineRule="auto"/>
        <w:jc w:val="right"/>
      </w:pPr>
    </w:p>
    <w:bookmarkEnd w:id="1"/>
    <w:p w14:paraId="53321E31" w14:textId="77777777" w:rsidR="00912C69" w:rsidRPr="00BE6376" w:rsidRDefault="005F45ED" w:rsidP="00BE6376">
      <w:pPr>
        <w:numPr>
          <w:ilvl w:val="0"/>
          <w:numId w:val="6"/>
        </w:numPr>
        <w:spacing w:line="240" w:lineRule="auto"/>
        <w:ind w:left="567" w:hanging="567"/>
        <w:contextualSpacing/>
        <w:jc w:val="both"/>
        <w:rPr>
          <w:rFonts w:ascii="Verdana" w:eastAsia="Calibri" w:hAnsi="Verdana" w:cs="Times New Roman"/>
          <w:b/>
          <w:sz w:val="24"/>
          <w:szCs w:val="24"/>
          <w:lang w:val="en-GB"/>
        </w:rPr>
      </w:pPr>
      <w:r w:rsidRPr="00BE6376">
        <w:rPr>
          <w:rFonts w:ascii="Verdana" w:eastAsia="Calibri" w:hAnsi="Verdana" w:cs="Times New Roman"/>
          <w:b/>
          <w:sz w:val="24"/>
          <w:szCs w:val="24"/>
          <w:lang w:val="en-GB"/>
        </w:rPr>
        <w:lastRenderedPageBreak/>
        <w:t>STRUCTURE INDICATORS</w:t>
      </w:r>
    </w:p>
    <w:p w14:paraId="53321E32" w14:textId="77777777" w:rsidR="006C5434" w:rsidRPr="00BE6376" w:rsidRDefault="006C5434" w:rsidP="00BE6376">
      <w:pPr>
        <w:spacing w:before="240" w:line="240" w:lineRule="auto"/>
        <w:contextualSpacing/>
        <w:jc w:val="both"/>
        <w:rPr>
          <w:rFonts w:ascii="Verdana" w:eastAsia="Calibri" w:hAnsi="Verdana" w:cs="Times New Roman"/>
          <w:sz w:val="20"/>
          <w:szCs w:val="20"/>
          <w:lang w:val="en-GB"/>
        </w:rPr>
      </w:pPr>
    </w:p>
    <w:tbl>
      <w:tblPr>
        <w:tblW w:w="13506" w:type="dxa"/>
        <w:tblInd w:w="-70" w:type="dxa"/>
        <w:tblLayout w:type="fixed"/>
        <w:tblLook w:val="0000" w:firstRow="0" w:lastRow="0" w:firstColumn="0" w:lastColumn="0" w:noHBand="0" w:noVBand="0"/>
      </w:tblPr>
      <w:tblGrid>
        <w:gridCol w:w="4150"/>
        <w:gridCol w:w="9356"/>
      </w:tblGrid>
      <w:tr w:rsidR="00BE3D1F" w:rsidRPr="00BE6376" w14:paraId="172A2C28" w14:textId="77777777" w:rsidTr="00BE3D1F">
        <w:trPr>
          <w:trHeight w:val="454"/>
        </w:trPr>
        <w:tc>
          <w:tcPr>
            <w:tcW w:w="4150" w:type="dxa"/>
            <w:tcBorders>
              <w:top w:val="single" w:sz="4" w:space="0" w:color="000000"/>
              <w:left w:val="single" w:sz="4" w:space="0" w:color="000000"/>
              <w:bottom w:val="single" w:sz="4" w:space="0" w:color="000000"/>
            </w:tcBorders>
            <w:shd w:val="clear" w:color="auto" w:fill="C6D9F1"/>
            <w:vAlign w:val="center"/>
          </w:tcPr>
          <w:p w14:paraId="46FC439E" w14:textId="77777777" w:rsidR="00BE3D1F" w:rsidRPr="00BE6376" w:rsidRDefault="00BE3D1F" w:rsidP="00BE6376">
            <w:pPr>
              <w:spacing w:before="240" w:after="0" w:line="100" w:lineRule="atLeast"/>
              <w:jc w:val="both"/>
              <w:rPr>
                <w:rFonts w:ascii="Verdana" w:eastAsia="Calibri" w:hAnsi="Verdana" w:cs="Times New Roman"/>
                <w:b/>
                <w:sz w:val="20"/>
                <w:szCs w:val="20"/>
                <w:lang w:val="en-GB"/>
              </w:rPr>
            </w:pPr>
            <w:r w:rsidRPr="00BE6376">
              <w:rPr>
                <w:rFonts w:ascii="Verdana" w:eastAsia="Calibri" w:hAnsi="Verdana" w:cs="Times New Roman"/>
                <w:b/>
                <w:sz w:val="20"/>
                <w:szCs w:val="20"/>
                <w:lang w:val="en-GB"/>
              </w:rPr>
              <w:t>Structure indicators</w:t>
            </w:r>
          </w:p>
        </w:tc>
        <w:tc>
          <w:tcPr>
            <w:tcW w:w="935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1DFF0EA" w14:textId="77777777" w:rsidR="00BE3D1F" w:rsidRPr="00BE6376" w:rsidRDefault="00BE3D1F" w:rsidP="00BE6376">
            <w:pPr>
              <w:spacing w:before="240" w:after="0" w:line="100" w:lineRule="atLeast"/>
              <w:jc w:val="both"/>
              <w:rPr>
                <w:rFonts w:ascii="Verdana" w:eastAsia="Calibri" w:hAnsi="Verdana" w:cs="Times New Roman"/>
                <w:sz w:val="20"/>
                <w:szCs w:val="20"/>
                <w:lang w:val="en-GB"/>
              </w:rPr>
            </w:pPr>
            <w:r w:rsidRPr="00BE6376">
              <w:rPr>
                <w:rFonts w:ascii="Verdana" w:eastAsia="Calibri" w:hAnsi="Verdana" w:cs="Times New Roman"/>
                <w:b/>
                <w:sz w:val="20"/>
                <w:szCs w:val="20"/>
                <w:lang w:val="en-GB"/>
              </w:rPr>
              <w:t>Source and supporting information</w:t>
            </w:r>
          </w:p>
        </w:tc>
      </w:tr>
      <w:tr w:rsidR="00BE3D1F" w:rsidRPr="00BE6376" w14:paraId="133C1ADC" w14:textId="77777777" w:rsidTr="00BE3D1F">
        <w:trPr>
          <w:trHeight w:val="454"/>
        </w:trPr>
        <w:tc>
          <w:tcPr>
            <w:tcW w:w="4150" w:type="dxa"/>
            <w:tcBorders>
              <w:top w:val="single" w:sz="4" w:space="0" w:color="000000"/>
              <w:left w:val="single" w:sz="4" w:space="0" w:color="000000"/>
              <w:bottom w:val="single" w:sz="4" w:space="0" w:color="000000"/>
            </w:tcBorders>
            <w:shd w:val="clear" w:color="auto" w:fill="auto"/>
            <w:vAlign w:val="center"/>
          </w:tcPr>
          <w:p w14:paraId="622662FF" w14:textId="77777777" w:rsidR="00BE3D1F" w:rsidRPr="00BE6376" w:rsidRDefault="00BE3D1F" w:rsidP="00BE6376">
            <w:pPr>
              <w:jc w:val="both"/>
              <w:rPr>
                <w:rFonts w:ascii="Verdana" w:hAnsi="Verdana" w:cs="Times New Roman"/>
                <w:sz w:val="20"/>
                <w:szCs w:val="20"/>
              </w:rPr>
            </w:pPr>
            <w:r w:rsidRPr="00BE6376">
              <w:rPr>
                <w:rFonts w:ascii="Verdana" w:hAnsi="Verdana"/>
                <w:sz w:val="20"/>
                <w:szCs w:val="20"/>
              </w:rPr>
              <w:t>Has [country] ratified the CRPD without a reservation to Article 29? Please give details of any reservation.</w:t>
            </w:r>
          </w:p>
        </w:tc>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518D2C" w14:textId="259B84D2" w:rsidR="00BE3D1F" w:rsidRPr="00D05F7D" w:rsidRDefault="00BE3D1F" w:rsidP="00BE6376">
            <w:pPr>
              <w:jc w:val="both"/>
              <w:rPr>
                <w:rFonts w:ascii="Verdana" w:hAnsi="Verdana"/>
                <w:sz w:val="20"/>
                <w:szCs w:val="20"/>
              </w:rPr>
            </w:pPr>
            <w:r w:rsidRPr="00D05F7D">
              <w:rPr>
                <w:rFonts w:ascii="Verdana" w:hAnsi="Verdana"/>
                <w:sz w:val="20"/>
                <w:szCs w:val="20"/>
              </w:rPr>
              <w:t>Signed on 30 Mar 2007, not yet ratified</w:t>
            </w:r>
            <w:r w:rsidRPr="00D05F7D">
              <w:rPr>
                <w:rStyle w:val="FootnoteReference"/>
                <w:rFonts w:ascii="Verdana" w:hAnsi="Verdana"/>
                <w:sz w:val="20"/>
                <w:szCs w:val="20"/>
              </w:rPr>
              <w:footnoteReference w:id="1"/>
            </w:r>
          </w:p>
          <w:p w14:paraId="67D28B6F" w14:textId="23943BFD" w:rsidR="00BE3D1F" w:rsidRPr="00BB53E2" w:rsidRDefault="00BE3D1F" w:rsidP="00BB53E2">
            <w:pPr>
              <w:spacing w:after="0" w:line="240" w:lineRule="auto"/>
              <w:jc w:val="both"/>
              <w:rPr>
                <w:rFonts w:ascii="Verdana" w:eastAsia="Calibri" w:hAnsi="Verdana" w:cs="Times New Roman"/>
                <w:sz w:val="20"/>
                <w:szCs w:val="20"/>
                <w:lang w:bidi="en-US"/>
              </w:rPr>
            </w:pPr>
            <w:r w:rsidRPr="00D05F7D">
              <w:rPr>
                <w:rFonts w:ascii="Verdana" w:eastAsia="Calibri" w:hAnsi="Verdana" w:cs="Times New Roman"/>
                <w:sz w:val="20"/>
                <w:szCs w:val="20"/>
                <w:lang w:bidi="en-US"/>
              </w:rPr>
              <w:t>The Ministry of Health, Welfare and Sport has published two draft bills on the ratification of the CRPD for the purposes of online consultation: a Ratification Act (</w:t>
            </w:r>
            <w:r w:rsidRPr="00D05F7D">
              <w:rPr>
                <w:rFonts w:ascii="Verdana" w:eastAsia="Calibri" w:hAnsi="Verdana" w:cs="Times New Roman"/>
                <w:i/>
                <w:sz w:val="20"/>
                <w:szCs w:val="20"/>
                <w:lang w:bidi="en-US"/>
              </w:rPr>
              <w:t>Goedkeuringswet</w:t>
            </w:r>
            <w:r w:rsidRPr="00D05F7D">
              <w:rPr>
                <w:rFonts w:ascii="Verdana" w:eastAsia="Calibri" w:hAnsi="Verdana" w:cs="Times New Roman"/>
                <w:sz w:val="20"/>
                <w:szCs w:val="20"/>
                <w:lang w:bidi="en-US"/>
              </w:rPr>
              <w:t>) stipulating the enactment of the CRPD for the Netherlands</w:t>
            </w:r>
            <w:r w:rsidRPr="00D05F7D">
              <w:rPr>
                <w:rFonts w:ascii="Verdana" w:eastAsia="Calibri" w:hAnsi="Verdana" w:cs="Times New Roman"/>
                <w:sz w:val="20"/>
                <w:szCs w:val="20"/>
                <w:vertAlign w:val="superscript"/>
                <w:lang w:bidi="en-US"/>
              </w:rPr>
              <w:footnoteReference w:id="2"/>
            </w:r>
            <w:r w:rsidRPr="00D05F7D">
              <w:rPr>
                <w:rFonts w:ascii="Verdana" w:eastAsia="Calibri" w:hAnsi="Verdana" w:cs="Times New Roman"/>
                <w:sz w:val="20"/>
                <w:szCs w:val="20"/>
                <w:lang w:bidi="en-US"/>
              </w:rPr>
              <w:t xml:space="preserve"> and an Implementation Act (</w:t>
            </w:r>
            <w:r w:rsidRPr="00D05F7D">
              <w:rPr>
                <w:rFonts w:ascii="Verdana" w:eastAsia="Calibri" w:hAnsi="Verdana" w:cs="Times New Roman"/>
                <w:i/>
                <w:sz w:val="20"/>
                <w:szCs w:val="20"/>
                <w:lang w:bidi="en-US"/>
              </w:rPr>
              <w:t>Uitvoeringswet</w:t>
            </w:r>
            <w:r w:rsidRPr="00D05F7D">
              <w:rPr>
                <w:rFonts w:ascii="Verdana" w:eastAsia="Calibri" w:hAnsi="Verdana" w:cs="Times New Roman"/>
                <w:sz w:val="20"/>
                <w:szCs w:val="20"/>
                <w:lang w:bidi="en-US"/>
              </w:rPr>
              <w:t>)</w:t>
            </w:r>
            <w:r>
              <w:rPr>
                <w:rFonts w:ascii="Verdana" w:eastAsia="Calibri" w:hAnsi="Verdana" w:cs="Times New Roman"/>
                <w:sz w:val="20"/>
                <w:szCs w:val="20"/>
                <w:lang w:bidi="en-US"/>
              </w:rPr>
              <w:t xml:space="preserve"> </w:t>
            </w:r>
            <w:r w:rsidRPr="00D05F7D">
              <w:rPr>
                <w:rFonts w:ascii="Verdana" w:eastAsia="Calibri" w:hAnsi="Verdana" w:cs="Times New Roman"/>
                <w:sz w:val="20"/>
                <w:szCs w:val="20"/>
                <w:lang w:bidi="en-US"/>
              </w:rPr>
              <w:t>defining the legal reforms necessary for CRPD ratification.</w:t>
            </w:r>
            <w:r w:rsidRPr="00D05F7D">
              <w:rPr>
                <w:rFonts w:ascii="Verdana" w:eastAsia="Calibri" w:hAnsi="Verdana" w:cs="Times New Roman"/>
                <w:sz w:val="20"/>
                <w:szCs w:val="20"/>
                <w:vertAlign w:val="superscript"/>
                <w:lang w:bidi="en-US"/>
              </w:rPr>
              <w:footnoteReference w:id="3"/>
            </w:r>
          </w:p>
        </w:tc>
      </w:tr>
      <w:tr w:rsidR="00BE3D1F" w:rsidRPr="00BE6376" w14:paraId="1CDC3C26" w14:textId="77777777" w:rsidTr="00BE3D1F">
        <w:trPr>
          <w:trHeight w:val="454"/>
        </w:trPr>
        <w:tc>
          <w:tcPr>
            <w:tcW w:w="4150" w:type="dxa"/>
            <w:tcBorders>
              <w:top w:val="single" w:sz="4" w:space="0" w:color="000000"/>
              <w:left w:val="single" w:sz="4" w:space="0" w:color="000000"/>
              <w:bottom w:val="single" w:sz="4" w:space="0" w:color="000000"/>
            </w:tcBorders>
            <w:shd w:val="clear" w:color="auto" w:fill="auto"/>
            <w:vAlign w:val="center"/>
          </w:tcPr>
          <w:p w14:paraId="2509BA9A" w14:textId="77777777" w:rsidR="00BE3D1F" w:rsidRPr="00BE6376" w:rsidRDefault="00BE3D1F" w:rsidP="00BE6376">
            <w:pPr>
              <w:jc w:val="both"/>
              <w:rPr>
                <w:rFonts w:ascii="Verdana" w:hAnsi="Verdana" w:cs="Times New Roman"/>
                <w:sz w:val="20"/>
                <w:szCs w:val="20"/>
              </w:rPr>
            </w:pPr>
            <w:r w:rsidRPr="00BE6376">
              <w:rPr>
                <w:rFonts w:ascii="Verdana" w:hAnsi="Verdana"/>
                <w:sz w:val="20"/>
                <w:szCs w:val="20"/>
              </w:rPr>
              <w:t>Has [country] ratified the CRPD without a reservation to Article 12? Please give details of any reservation.</w:t>
            </w:r>
          </w:p>
        </w:tc>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71C112" w14:textId="77777777" w:rsidR="00BE3D1F" w:rsidRPr="00DE70BE" w:rsidRDefault="00BE3D1F" w:rsidP="003737BF">
            <w:pPr>
              <w:jc w:val="both"/>
              <w:rPr>
                <w:rFonts w:ascii="Verdana" w:hAnsi="Verdana"/>
              </w:rPr>
            </w:pPr>
            <w:r>
              <w:rPr>
                <w:rFonts w:ascii="Verdana" w:hAnsi="Verdana"/>
              </w:rPr>
              <w:t xml:space="preserve">Signed on </w:t>
            </w:r>
            <w:r w:rsidRPr="00DE70BE">
              <w:rPr>
                <w:rFonts w:ascii="Verdana" w:hAnsi="Verdana"/>
              </w:rPr>
              <w:t>30 Mar</w:t>
            </w:r>
            <w:r>
              <w:rPr>
                <w:rFonts w:ascii="Verdana" w:hAnsi="Verdana"/>
              </w:rPr>
              <w:t xml:space="preserve"> 2007, not yet ratified</w:t>
            </w:r>
            <w:r>
              <w:rPr>
                <w:rStyle w:val="FootnoteReference"/>
                <w:rFonts w:ascii="Verdana" w:hAnsi="Verdana"/>
              </w:rPr>
              <w:footnoteReference w:id="4"/>
            </w:r>
          </w:p>
          <w:p w14:paraId="39DAE050" w14:textId="76F2CED0" w:rsidR="00BE3D1F" w:rsidRPr="00BE6376" w:rsidRDefault="00BE3D1F" w:rsidP="00BE6376">
            <w:pPr>
              <w:spacing w:before="240"/>
              <w:contextualSpacing/>
              <w:jc w:val="both"/>
              <w:rPr>
                <w:rFonts w:ascii="Verdana" w:eastAsia="Calibri" w:hAnsi="Verdana" w:cs="Times New Roman"/>
                <w:sz w:val="20"/>
                <w:szCs w:val="20"/>
                <w:lang w:val="en-GB"/>
              </w:rPr>
            </w:pPr>
          </w:p>
        </w:tc>
      </w:tr>
      <w:tr w:rsidR="00BE3D1F" w:rsidRPr="00BE6376" w14:paraId="2BA27F7D" w14:textId="77777777" w:rsidTr="00BE3D1F">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33DE2798" w14:textId="77777777" w:rsidR="00BE3D1F" w:rsidRPr="00BE6376" w:rsidRDefault="00BE3D1F" w:rsidP="00BE6376">
            <w:pPr>
              <w:jc w:val="both"/>
              <w:rPr>
                <w:rFonts w:ascii="Verdana" w:hAnsi="Verdana" w:cs="Times New Roman"/>
                <w:sz w:val="20"/>
                <w:szCs w:val="20"/>
              </w:rPr>
            </w:pPr>
            <w:r w:rsidRPr="00BE6376">
              <w:rPr>
                <w:rFonts w:ascii="Verdana" w:hAnsi="Verdana"/>
                <w:sz w:val="20"/>
                <w:szCs w:val="20"/>
              </w:rPr>
              <w:t>Has [country] ratified the CRPD without a reservation to Article 9? Please give details of any reservation.</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B9BA80" w14:textId="77777777" w:rsidR="00BE3D1F" w:rsidRPr="00DE70BE" w:rsidRDefault="00BE3D1F" w:rsidP="003737BF">
            <w:pPr>
              <w:jc w:val="both"/>
              <w:rPr>
                <w:rFonts w:ascii="Verdana" w:hAnsi="Verdana"/>
              </w:rPr>
            </w:pPr>
            <w:r>
              <w:rPr>
                <w:rFonts w:ascii="Verdana" w:hAnsi="Verdana"/>
              </w:rPr>
              <w:t xml:space="preserve">Signed on </w:t>
            </w:r>
            <w:r w:rsidRPr="00DE70BE">
              <w:rPr>
                <w:rFonts w:ascii="Verdana" w:hAnsi="Verdana"/>
              </w:rPr>
              <w:t>30 Mar</w:t>
            </w:r>
            <w:r>
              <w:rPr>
                <w:rFonts w:ascii="Verdana" w:hAnsi="Verdana"/>
              </w:rPr>
              <w:t xml:space="preserve"> 2007, not yet ratified</w:t>
            </w:r>
            <w:r>
              <w:rPr>
                <w:rStyle w:val="FootnoteReference"/>
                <w:rFonts w:ascii="Verdana" w:hAnsi="Verdana"/>
              </w:rPr>
              <w:footnoteReference w:id="5"/>
            </w:r>
          </w:p>
          <w:p w14:paraId="1184B864" w14:textId="5DA5982A" w:rsidR="00BE3D1F" w:rsidRPr="00BE6376" w:rsidRDefault="00BE3D1F" w:rsidP="00BE6376">
            <w:pPr>
              <w:spacing w:before="240"/>
              <w:contextualSpacing/>
              <w:jc w:val="both"/>
              <w:rPr>
                <w:rFonts w:ascii="Verdana" w:eastAsia="Calibri" w:hAnsi="Verdana" w:cs="Times New Roman"/>
                <w:sz w:val="20"/>
                <w:szCs w:val="20"/>
                <w:lang w:val="en-GB"/>
              </w:rPr>
            </w:pPr>
          </w:p>
        </w:tc>
      </w:tr>
      <w:tr w:rsidR="00BE3D1F" w:rsidRPr="00BE6376" w14:paraId="296688B5" w14:textId="77777777" w:rsidTr="00BE3D1F">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1EDE59C1" w14:textId="77777777" w:rsidR="00BE3D1F" w:rsidRPr="00BE6376" w:rsidRDefault="00BE3D1F" w:rsidP="00BE6376">
            <w:pPr>
              <w:jc w:val="both"/>
              <w:rPr>
                <w:rFonts w:ascii="Verdana" w:hAnsi="Verdana" w:cs="Times New Roman"/>
                <w:sz w:val="20"/>
                <w:szCs w:val="20"/>
              </w:rPr>
            </w:pPr>
            <w:r w:rsidRPr="00BE6376">
              <w:rPr>
                <w:rFonts w:ascii="Verdana" w:hAnsi="Verdana" w:cs="Times New Roman"/>
                <w:sz w:val="20"/>
                <w:szCs w:val="20"/>
              </w:rPr>
              <w:t>Please indicate the legislation which applies to European Parliament and municipal elections in your country. Please highlight possible amendments in view of the 2014 European Parliament elections.</w:t>
            </w:r>
          </w:p>
          <w:p w14:paraId="53260C1E" w14:textId="77777777" w:rsidR="00BE3D1F" w:rsidRPr="00BE6376" w:rsidRDefault="00BE3D1F" w:rsidP="00BE6376">
            <w:pPr>
              <w:jc w:val="both"/>
              <w:rPr>
                <w:rFonts w:ascii="Verdana" w:hAnsi="Verdana" w:cs="Times New Roman"/>
                <w:sz w:val="20"/>
                <w:szCs w:val="20"/>
              </w:rPr>
            </w:pPr>
          </w:p>
          <w:p w14:paraId="75ABADEB" w14:textId="77777777" w:rsidR="00BE3D1F" w:rsidRPr="00BE6376" w:rsidRDefault="00BE3D1F" w:rsidP="00BE6376">
            <w:pPr>
              <w:jc w:val="both"/>
              <w:rPr>
                <w:rFonts w:ascii="Verdana" w:hAnsi="Verdana" w:cs="Times New Roman"/>
                <w:sz w:val="20"/>
                <w:szCs w:val="20"/>
                <w:highlight w:val="lightGray"/>
              </w:rPr>
            </w:pPr>
            <w:r w:rsidRPr="00BE6376">
              <w:rPr>
                <w:rFonts w:ascii="Verdana" w:hAnsi="Verdana" w:cs="Times New Roman"/>
                <w:sz w:val="20"/>
                <w:szCs w:val="20"/>
              </w:rPr>
              <w:t>Does the same law apply for national, federal, local and regional elections, and referendums?</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DC7076" w14:textId="77777777" w:rsidR="00BE3D1F" w:rsidRDefault="00BE3D1F" w:rsidP="00BE6376">
            <w:pPr>
              <w:spacing w:before="240"/>
              <w:contextualSpacing/>
              <w:jc w:val="both"/>
              <w:rPr>
                <w:rFonts w:ascii="Verdana" w:eastAsia="Calibri" w:hAnsi="Verdana" w:cs="Times New Roman"/>
                <w:sz w:val="20"/>
                <w:szCs w:val="20"/>
                <w:lang w:val="en-GB"/>
              </w:rPr>
            </w:pPr>
            <w:r w:rsidRPr="00D05F7D">
              <w:rPr>
                <w:rFonts w:ascii="Verdana" w:eastAsia="Calibri" w:hAnsi="Verdana" w:cs="Times New Roman"/>
                <w:b/>
                <w:sz w:val="20"/>
                <w:szCs w:val="20"/>
                <w:lang w:val="en-GB"/>
              </w:rPr>
              <w:lastRenderedPageBreak/>
              <w:t>The Electoral Code</w:t>
            </w:r>
            <w:r w:rsidRPr="00BE6376">
              <w:rPr>
                <w:rFonts w:ascii="Verdana" w:eastAsia="Calibri" w:hAnsi="Verdana" w:cs="Times New Roman"/>
                <w:sz w:val="20"/>
                <w:szCs w:val="20"/>
                <w:lang w:val="en-GB"/>
              </w:rPr>
              <w:t xml:space="preserve"> (</w:t>
            </w:r>
            <w:r w:rsidRPr="00BE6376">
              <w:rPr>
                <w:rFonts w:ascii="Verdana" w:eastAsia="Calibri" w:hAnsi="Verdana" w:cs="Times New Roman"/>
                <w:i/>
                <w:sz w:val="20"/>
                <w:szCs w:val="20"/>
                <w:lang w:val="en-GB"/>
              </w:rPr>
              <w:t>Kieswet</w:t>
            </w:r>
            <w:r w:rsidRPr="00BE6376">
              <w:rPr>
                <w:rFonts w:ascii="Verdana" w:eastAsia="Calibri" w:hAnsi="Verdana" w:cs="Times New Roman"/>
                <w:sz w:val="20"/>
                <w:szCs w:val="20"/>
                <w:lang w:val="en-GB"/>
              </w:rPr>
              <w:t xml:space="preserve">) stipulates all regulations pertaining to elections in the Netherlands. </w:t>
            </w:r>
          </w:p>
          <w:p w14:paraId="2235D26E" w14:textId="77777777" w:rsidR="00BE3D1F" w:rsidRDefault="00BE3D1F" w:rsidP="00BE6376">
            <w:pPr>
              <w:spacing w:before="240"/>
              <w:contextualSpacing/>
              <w:jc w:val="both"/>
              <w:rPr>
                <w:rFonts w:ascii="Verdana" w:eastAsia="Calibri" w:hAnsi="Verdana" w:cs="Times New Roman"/>
                <w:sz w:val="20"/>
                <w:szCs w:val="20"/>
                <w:lang w:val="en-GB"/>
              </w:rPr>
            </w:pPr>
          </w:p>
          <w:p w14:paraId="6F64C8B5" w14:textId="05D67E3C" w:rsidR="00BE3D1F" w:rsidRPr="00BE6376" w:rsidRDefault="00BE3D1F" w:rsidP="00BE637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It defines organisational arrangements, such as the existence of the electoral council (</w:t>
            </w:r>
            <w:r w:rsidRPr="00BE6376">
              <w:rPr>
                <w:rFonts w:ascii="Verdana" w:eastAsia="Calibri" w:hAnsi="Verdana" w:cs="Times New Roman"/>
                <w:i/>
                <w:sz w:val="20"/>
                <w:szCs w:val="20"/>
                <w:lang w:val="en-GB"/>
              </w:rPr>
              <w:t>Kiesraad</w:t>
            </w:r>
            <w:r w:rsidRPr="00BE6376">
              <w:rPr>
                <w:rFonts w:ascii="Verdana" w:eastAsia="Calibri" w:hAnsi="Verdana" w:cs="Times New Roman"/>
                <w:sz w:val="20"/>
                <w:szCs w:val="20"/>
                <w:lang w:val="en-GB"/>
              </w:rPr>
              <w:t>), and issues such as eligibility and inscription of political parties. The same law applies for all different levels of election</w:t>
            </w:r>
            <w:r>
              <w:rPr>
                <w:rFonts w:ascii="Verdana" w:eastAsia="Calibri" w:hAnsi="Verdana" w:cs="Times New Roman"/>
                <w:sz w:val="20"/>
                <w:szCs w:val="20"/>
                <w:lang w:val="en-GB"/>
              </w:rPr>
              <w:t>s</w:t>
            </w:r>
            <w:r w:rsidRPr="00BE6376">
              <w:rPr>
                <w:rFonts w:ascii="Verdana" w:eastAsia="Calibri" w:hAnsi="Verdana" w:cs="Times New Roman"/>
                <w:sz w:val="20"/>
                <w:szCs w:val="20"/>
                <w:lang w:val="en-GB"/>
              </w:rPr>
              <w:t>:</w:t>
            </w:r>
          </w:p>
          <w:p w14:paraId="0874C350" w14:textId="77777777" w:rsidR="00BE3D1F" w:rsidRPr="00BE6376" w:rsidRDefault="00BE3D1F" w:rsidP="00BE637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lastRenderedPageBreak/>
              <w:t xml:space="preserve">- section II applies to </w:t>
            </w:r>
            <w:r w:rsidRPr="00D05F7D">
              <w:rPr>
                <w:rFonts w:ascii="Verdana" w:eastAsia="Calibri" w:hAnsi="Verdana" w:cs="Times New Roman"/>
                <w:sz w:val="20"/>
                <w:szCs w:val="20"/>
                <w:u w:val="single"/>
                <w:lang w:val="en-GB"/>
              </w:rPr>
              <w:t>national, regional and local elections</w:t>
            </w:r>
          </w:p>
          <w:p w14:paraId="02759BC6" w14:textId="77777777" w:rsidR="00BE3D1F" w:rsidRPr="00BE6376" w:rsidRDefault="00BE3D1F" w:rsidP="00BE637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 xml:space="preserve">- section V applies to </w:t>
            </w:r>
            <w:r w:rsidRPr="00D05F7D">
              <w:rPr>
                <w:rFonts w:ascii="Verdana" w:eastAsia="Calibri" w:hAnsi="Verdana" w:cs="Times New Roman"/>
                <w:sz w:val="20"/>
                <w:szCs w:val="20"/>
                <w:u w:val="single"/>
                <w:lang w:val="en-GB"/>
              </w:rPr>
              <w:t>elections for the European Parliament</w:t>
            </w:r>
          </w:p>
          <w:p w14:paraId="74E5A7E2" w14:textId="77777777" w:rsidR="00BE3D1F" w:rsidRPr="00BE6376" w:rsidRDefault="00BE3D1F" w:rsidP="00BE637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 xml:space="preserve">- section Va applies to </w:t>
            </w:r>
            <w:r w:rsidRPr="00D05F7D">
              <w:rPr>
                <w:rFonts w:ascii="Verdana" w:eastAsia="Calibri" w:hAnsi="Verdana" w:cs="Times New Roman"/>
                <w:sz w:val="20"/>
                <w:szCs w:val="20"/>
                <w:u w:val="single"/>
                <w:lang w:val="en-GB"/>
              </w:rPr>
              <w:t>elections in the overseas territories of Caribbean Netherlands</w:t>
            </w:r>
            <w:r w:rsidRPr="00BE6376">
              <w:rPr>
                <w:rFonts w:ascii="Verdana" w:eastAsia="Calibri" w:hAnsi="Verdana" w:cs="Times New Roman"/>
                <w:sz w:val="20"/>
                <w:szCs w:val="20"/>
                <w:lang w:val="en-GB"/>
              </w:rPr>
              <w:t xml:space="preserve"> (BES islands).</w:t>
            </w:r>
            <w:r w:rsidRPr="00BE6376">
              <w:rPr>
                <w:rStyle w:val="FootnoteReference"/>
                <w:rFonts w:ascii="Verdana" w:eastAsia="Calibri" w:hAnsi="Verdana" w:cs="Times New Roman"/>
                <w:sz w:val="20"/>
                <w:szCs w:val="20"/>
                <w:lang w:val="en-GB"/>
              </w:rPr>
              <w:footnoteReference w:id="6"/>
            </w:r>
          </w:p>
        </w:tc>
      </w:tr>
      <w:tr w:rsidR="00BE3D1F" w:rsidRPr="00BE6376" w14:paraId="7DE80BE7" w14:textId="77777777" w:rsidTr="00BE3D1F">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13261A4A" w14:textId="77777777" w:rsidR="00BE3D1F" w:rsidRPr="00BE6376" w:rsidRDefault="00BE3D1F" w:rsidP="00BE637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lastRenderedPageBreak/>
              <w:t>Is there a requirement under law to register to vote? If so, please specify the relevant legislation.</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7F5AC0" w14:textId="77777777" w:rsidR="00BE3D1F" w:rsidRDefault="00BE3D1F" w:rsidP="00BE637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 xml:space="preserve">There is no requirement to register to vote. </w:t>
            </w:r>
          </w:p>
          <w:p w14:paraId="1CCFEE12" w14:textId="77777777" w:rsidR="00BE3D1F" w:rsidRDefault="00BE3D1F" w:rsidP="00BE6376">
            <w:pPr>
              <w:spacing w:before="240"/>
              <w:contextualSpacing/>
              <w:jc w:val="both"/>
              <w:rPr>
                <w:rFonts w:ascii="Verdana" w:eastAsia="Calibri" w:hAnsi="Verdana" w:cs="Times New Roman"/>
                <w:sz w:val="20"/>
                <w:szCs w:val="20"/>
                <w:lang w:val="en-GB"/>
              </w:rPr>
            </w:pPr>
          </w:p>
          <w:p w14:paraId="6FECEEAB" w14:textId="34CB6185" w:rsidR="00BE3D1F" w:rsidRDefault="00BE3D1F" w:rsidP="00BE637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Polling cards are sent out to every eligible person registered in the municipal registration. All Dutch nationals aged 18 or older</w:t>
            </w:r>
            <w:r>
              <w:rPr>
                <w:rFonts w:ascii="Verdana" w:eastAsia="Calibri" w:hAnsi="Verdana" w:cs="Times New Roman"/>
                <w:sz w:val="20"/>
                <w:szCs w:val="20"/>
                <w:lang w:val="en-GB"/>
              </w:rPr>
              <w:t xml:space="preserve"> and</w:t>
            </w:r>
            <w:r w:rsidRPr="00BE6376">
              <w:rPr>
                <w:rFonts w:ascii="Verdana" w:eastAsia="Calibri" w:hAnsi="Verdana" w:cs="Times New Roman"/>
                <w:sz w:val="20"/>
                <w:szCs w:val="20"/>
                <w:lang w:val="en-GB"/>
              </w:rPr>
              <w:t xml:space="preserve"> all EU-nationals resident in a municipality aged 18 or older are eligible to vote in municipal elections and European parliament elections.</w:t>
            </w:r>
            <w:r w:rsidRPr="00BE6376">
              <w:rPr>
                <w:rStyle w:val="FootnoteReference"/>
                <w:rFonts w:ascii="Verdana" w:eastAsia="Calibri" w:hAnsi="Verdana" w:cs="Times New Roman"/>
                <w:sz w:val="20"/>
                <w:szCs w:val="20"/>
                <w:lang w:val="en-GB"/>
              </w:rPr>
              <w:footnoteReference w:id="7"/>
            </w:r>
            <w:r w:rsidRPr="00BE6376">
              <w:rPr>
                <w:rFonts w:ascii="Verdana" w:eastAsia="Calibri" w:hAnsi="Verdana" w:cs="Times New Roman"/>
                <w:sz w:val="20"/>
                <w:szCs w:val="20"/>
                <w:lang w:val="en-GB"/>
              </w:rPr>
              <w:t xml:space="preserve"> </w:t>
            </w:r>
          </w:p>
          <w:p w14:paraId="12B53EDE" w14:textId="77777777" w:rsidR="00BE3D1F" w:rsidRDefault="00BE3D1F" w:rsidP="00BE6376">
            <w:pPr>
              <w:spacing w:before="240"/>
              <w:contextualSpacing/>
              <w:jc w:val="both"/>
              <w:rPr>
                <w:rFonts w:ascii="Verdana" w:eastAsia="Calibri" w:hAnsi="Verdana" w:cs="Times New Roman"/>
                <w:sz w:val="20"/>
                <w:szCs w:val="20"/>
                <w:lang w:val="en-GB"/>
              </w:rPr>
            </w:pPr>
          </w:p>
          <w:p w14:paraId="4ED2893F" w14:textId="2EC20C9E" w:rsidR="00BE3D1F" w:rsidRPr="00BE6376" w:rsidRDefault="00BE3D1F" w:rsidP="00BE637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It is mandatory to be registered in the municipal registration system, as stipulated by the Act on Municipal Personal Records (</w:t>
            </w:r>
            <w:r w:rsidRPr="00BE6376">
              <w:rPr>
                <w:rFonts w:ascii="Verdana" w:eastAsia="Calibri" w:hAnsi="Verdana" w:cs="Times New Roman"/>
                <w:i/>
                <w:sz w:val="20"/>
                <w:szCs w:val="20"/>
                <w:lang w:val="en-GB"/>
              </w:rPr>
              <w:t>Wet gemeentelijke basisadministratie persoonsgegevens</w:t>
            </w:r>
            <w:r w:rsidRPr="00BE6376">
              <w:rPr>
                <w:rFonts w:ascii="Verdana" w:eastAsia="Calibri" w:hAnsi="Verdana" w:cs="Times New Roman"/>
                <w:sz w:val="20"/>
                <w:szCs w:val="20"/>
                <w:lang w:val="en-GB"/>
              </w:rPr>
              <w:t>), articles 65-77.</w:t>
            </w:r>
            <w:r w:rsidRPr="00BE6376">
              <w:rPr>
                <w:rStyle w:val="FootnoteReference"/>
                <w:rFonts w:ascii="Verdana" w:eastAsia="Calibri" w:hAnsi="Verdana" w:cs="Times New Roman"/>
                <w:sz w:val="20"/>
                <w:szCs w:val="20"/>
                <w:lang w:val="en-GB"/>
              </w:rPr>
              <w:footnoteReference w:id="8"/>
            </w:r>
          </w:p>
        </w:tc>
      </w:tr>
      <w:tr w:rsidR="00BE3D1F" w:rsidRPr="00BE6376" w14:paraId="461AAD7E" w14:textId="77777777" w:rsidTr="00BE3D1F">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6A641F90" w14:textId="77777777" w:rsidR="00BE3D1F" w:rsidRPr="00BE6376" w:rsidRDefault="00BE3D1F" w:rsidP="00BE6376">
            <w:pPr>
              <w:jc w:val="both"/>
              <w:rPr>
                <w:rFonts w:ascii="Verdana" w:hAnsi="Verdana"/>
                <w:sz w:val="20"/>
                <w:szCs w:val="20"/>
              </w:rPr>
            </w:pPr>
            <w:r w:rsidRPr="00BE6376">
              <w:rPr>
                <w:rFonts w:ascii="Verdana" w:hAnsi="Verdana"/>
                <w:sz w:val="20"/>
                <w:szCs w:val="20"/>
              </w:rPr>
              <w:t xml:space="preserve">Is there any limitation foreseen by law which could affect the right of persons with disabilities to vote in European Parliament and municipal elections? Please give details of any restrictions on the right to vote of persons with disabilities, including any link between a particular type of impairment (e.g. psychosocial/intellectual disability) or substituted decision making (e.g. loss of legal capacity, placement under guardianship)and the right to vote in </w:t>
            </w:r>
            <w:r w:rsidRPr="00BE6376">
              <w:rPr>
                <w:rFonts w:ascii="Verdana" w:hAnsi="Verdana"/>
                <w:sz w:val="20"/>
                <w:szCs w:val="20"/>
              </w:rPr>
              <w:lastRenderedPageBreak/>
              <w:t>elections.</w:t>
            </w:r>
          </w:p>
          <w:p w14:paraId="1E1BBFC4" w14:textId="77777777" w:rsidR="00BE3D1F" w:rsidRPr="00BE6376" w:rsidRDefault="00BE3D1F" w:rsidP="00BE6376">
            <w:pPr>
              <w:spacing w:before="240"/>
              <w:contextualSpacing/>
              <w:jc w:val="both"/>
              <w:rPr>
                <w:rFonts w:ascii="Verdana" w:eastAsia="Calibri" w:hAnsi="Verdana" w:cs="Times New Roman"/>
                <w:sz w:val="20"/>
                <w:szCs w:val="20"/>
                <w:lang w:val="en-GB"/>
              </w:rPr>
            </w:pPr>
            <w:r w:rsidRPr="00BE6376">
              <w:rPr>
                <w:rFonts w:ascii="Verdana" w:hAnsi="Verdana"/>
                <w:sz w:val="20"/>
                <w:szCs w:val="20"/>
              </w:rPr>
              <w:t>Does the same law regarding voting rights apply for national, local/regional elections and referendums?</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8BD5B" w14:textId="10744E9C" w:rsidR="00BE3D1F" w:rsidRPr="00BE6376" w:rsidRDefault="00BE3D1F" w:rsidP="00BE6376">
            <w:pPr>
              <w:jc w:val="both"/>
              <w:rPr>
                <w:rFonts w:ascii="Verdana" w:hAnsi="Verdana" w:cstheme="minorHAnsi"/>
                <w:sz w:val="20"/>
                <w:szCs w:val="20"/>
              </w:rPr>
            </w:pPr>
            <w:r w:rsidRPr="00BE6376">
              <w:rPr>
                <w:rFonts w:ascii="Verdana" w:hAnsi="Verdana" w:cstheme="minorHAnsi"/>
                <w:sz w:val="20"/>
                <w:szCs w:val="20"/>
              </w:rPr>
              <w:lastRenderedPageBreak/>
              <w:t xml:space="preserve">The right to vote is granted by the constitution and specified in </w:t>
            </w:r>
            <w:r>
              <w:rPr>
                <w:rFonts w:ascii="Verdana" w:hAnsi="Verdana" w:cstheme="minorHAnsi"/>
                <w:sz w:val="20"/>
                <w:szCs w:val="20"/>
              </w:rPr>
              <w:t xml:space="preserve">the </w:t>
            </w:r>
            <w:r w:rsidRPr="00BE6376">
              <w:rPr>
                <w:rFonts w:ascii="Verdana" w:hAnsi="Verdana" w:cstheme="minorHAnsi"/>
                <w:sz w:val="20"/>
                <w:szCs w:val="20"/>
              </w:rPr>
              <w:t xml:space="preserve">election law. </w:t>
            </w:r>
          </w:p>
          <w:p w14:paraId="4BE7D2AB" w14:textId="77777777" w:rsidR="00BE3D1F" w:rsidRDefault="00BE3D1F" w:rsidP="00BE6376">
            <w:pPr>
              <w:spacing w:before="240"/>
              <w:contextualSpacing/>
              <w:jc w:val="both"/>
              <w:rPr>
                <w:rFonts w:ascii="Verdana" w:hAnsi="Verdana" w:cstheme="minorHAnsi"/>
                <w:sz w:val="20"/>
                <w:szCs w:val="20"/>
                <w:lang w:val="en-GB"/>
              </w:rPr>
            </w:pPr>
            <w:r w:rsidRPr="00BE6376">
              <w:rPr>
                <w:rFonts w:ascii="Verdana" w:hAnsi="Verdana" w:cstheme="minorHAnsi"/>
                <w:sz w:val="20"/>
                <w:szCs w:val="20"/>
                <w:lang w:val="en-GB"/>
              </w:rPr>
              <w:t xml:space="preserve">Persons with disabilities (whether physical or intellectual) are allowed to vote in the Netherlands. </w:t>
            </w:r>
          </w:p>
          <w:p w14:paraId="1ADF09AA" w14:textId="77777777" w:rsidR="00BE3D1F" w:rsidRDefault="00BE3D1F" w:rsidP="00BE6376">
            <w:pPr>
              <w:spacing w:before="240"/>
              <w:contextualSpacing/>
              <w:jc w:val="both"/>
              <w:rPr>
                <w:rFonts w:ascii="Verdana" w:hAnsi="Verdana" w:cstheme="minorHAnsi"/>
                <w:sz w:val="20"/>
                <w:szCs w:val="20"/>
                <w:lang w:val="en-GB"/>
              </w:rPr>
            </w:pPr>
          </w:p>
          <w:p w14:paraId="696440E6" w14:textId="1B8201E2" w:rsidR="00BE3D1F" w:rsidRPr="00BE6376" w:rsidRDefault="00BE3D1F" w:rsidP="00C11A88">
            <w:pPr>
              <w:spacing w:before="240"/>
              <w:contextualSpacing/>
              <w:jc w:val="both"/>
              <w:rPr>
                <w:rFonts w:ascii="Verdana" w:eastAsia="Calibri" w:hAnsi="Verdana" w:cs="Times New Roman"/>
                <w:sz w:val="20"/>
                <w:szCs w:val="20"/>
                <w:lang w:val="en-GB"/>
              </w:rPr>
            </w:pPr>
            <w:r w:rsidRPr="00BE6376">
              <w:rPr>
                <w:rFonts w:ascii="Verdana" w:hAnsi="Verdana" w:cstheme="minorHAnsi"/>
                <w:sz w:val="20"/>
                <w:szCs w:val="20"/>
                <w:lang w:val="en-GB"/>
              </w:rPr>
              <w:t>Until 2008, persons placed under custodial care due to their mental health problems or intellectual disabilities could not exercise their right to vote. This changed with the constitutional amendment following a decision of the Council of State, declaring that the categorical exclusion of persons placed under custodial care can be contrary to the International Covenant on Civil and Political Rights.</w:t>
            </w:r>
            <w:r w:rsidRPr="00BE6376">
              <w:rPr>
                <w:rFonts w:ascii="Verdana" w:hAnsi="Verdana" w:cstheme="minorHAnsi"/>
                <w:sz w:val="20"/>
                <w:szCs w:val="20"/>
                <w:vertAlign w:val="superscript"/>
                <w:lang w:val="en-GB"/>
              </w:rPr>
              <w:footnoteReference w:id="9"/>
            </w:r>
            <w:r w:rsidRPr="00BE6376">
              <w:rPr>
                <w:rFonts w:ascii="Verdana" w:hAnsi="Verdana" w:cstheme="minorHAnsi"/>
                <w:sz w:val="20"/>
                <w:szCs w:val="20"/>
                <w:lang w:val="en-GB"/>
              </w:rPr>
              <w:t xml:space="preserve"> </w:t>
            </w:r>
          </w:p>
        </w:tc>
      </w:tr>
      <w:tr w:rsidR="00BE3D1F" w:rsidRPr="00BE6376" w14:paraId="6163BB5C" w14:textId="77777777" w:rsidTr="00BE3D1F">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43CFEDDF" w14:textId="77777777" w:rsidR="00BE3D1F" w:rsidRPr="00BE6376" w:rsidRDefault="00BE3D1F" w:rsidP="00BE637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lastRenderedPageBreak/>
              <w:t>Is there legislation in place regulating how people living in long-term institutions may vote?</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2BF864" w14:textId="77777777" w:rsidR="00BE3D1F" w:rsidRDefault="00BE3D1F" w:rsidP="00BE637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People living in long-term institutions are eligible to vote just like others. In 2008, a provision in the Dutch Constitution was removed which prohibited people who have been placed under curatorship to vote.</w:t>
            </w:r>
            <w:r w:rsidRPr="00BE6376">
              <w:rPr>
                <w:rStyle w:val="FootnoteReference"/>
                <w:rFonts w:ascii="Verdana" w:eastAsia="Calibri" w:hAnsi="Verdana" w:cs="Times New Roman"/>
                <w:sz w:val="20"/>
                <w:szCs w:val="20"/>
                <w:lang w:val="en-GB"/>
              </w:rPr>
              <w:footnoteReference w:id="10"/>
            </w:r>
          </w:p>
          <w:p w14:paraId="64AD2CF4" w14:textId="77777777" w:rsidR="00BE3D1F" w:rsidRPr="00BE6376" w:rsidRDefault="00BE3D1F" w:rsidP="00BE6376">
            <w:pPr>
              <w:spacing w:before="240"/>
              <w:contextualSpacing/>
              <w:jc w:val="both"/>
              <w:rPr>
                <w:rFonts w:ascii="Verdana" w:eastAsia="Calibri" w:hAnsi="Verdana" w:cs="Times New Roman"/>
                <w:sz w:val="20"/>
                <w:szCs w:val="20"/>
                <w:lang w:val="en-GB"/>
              </w:rPr>
            </w:pPr>
          </w:p>
          <w:p w14:paraId="2B7CF353" w14:textId="658EECA1" w:rsidR="00BE3D1F" w:rsidRDefault="00BE3D1F" w:rsidP="00BE637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Section II, Chapter L of the Electoral Code stipulates that people, including those living in long-term institutions, can give others the authority to vote on behalf of them by proxy (</w:t>
            </w:r>
            <w:r w:rsidRPr="00BE6376">
              <w:rPr>
                <w:rFonts w:ascii="Verdana" w:eastAsia="Calibri" w:hAnsi="Verdana" w:cs="Times New Roman"/>
                <w:i/>
                <w:sz w:val="20"/>
                <w:szCs w:val="20"/>
                <w:lang w:val="en-GB"/>
              </w:rPr>
              <w:t>bij volmacht</w:t>
            </w:r>
            <w:r w:rsidRPr="00BE6376">
              <w:rPr>
                <w:rFonts w:ascii="Verdana" w:eastAsia="Calibri" w:hAnsi="Verdana" w:cs="Times New Roman"/>
                <w:sz w:val="20"/>
                <w:szCs w:val="20"/>
                <w:lang w:val="en-GB"/>
              </w:rPr>
              <w:t>).</w:t>
            </w:r>
            <w:r w:rsidRPr="00BE6376">
              <w:rPr>
                <w:rStyle w:val="FootnoteReference"/>
                <w:rFonts w:ascii="Verdana" w:eastAsia="Calibri" w:hAnsi="Verdana" w:cs="Times New Roman"/>
                <w:sz w:val="20"/>
                <w:szCs w:val="20"/>
                <w:lang w:val="en-GB"/>
              </w:rPr>
              <w:footnoteReference w:id="11"/>
            </w:r>
            <w:r w:rsidRPr="00BE6376">
              <w:rPr>
                <w:rFonts w:ascii="Verdana" w:eastAsia="Calibri" w:hAnsi="Verdana" w:cs="Times New Roman"/>
                <w:sz w:val="20"/>
                <w:szCs w:val="20"/>
                <w:lang w:val="en-GB"/>
              </w:rPr>
              <w:t xml:space="preserve"> The law does not specify people living in long-term institutions explicitly, but talks of ‘voters who </w:t>
            </w:r>
            <w:r>
              <w:rPr>
                <w:rFonts w:ascii="Verdana" w:eastAsia="Calibri" w:hAnsi="Verdana" w:cs="Times New Roman"/>
                <w:sz w:val="20"/>
                <w:szCs w:val="20"/>
                <w:lang w:val="en-GB"/>
              </w:rPr>
              <w:t xml:space="preserve">are </w:t>
            </w:r>
            <w:r w:rsidRPr="00BE6376">
              <w:rPr>
                <w:rFonts w:ascii="Verdana" w:eastAsia="Calibri" w:hAnsi="Verdana" w:cs="Times New Roman"/>
                <w:sz w:val="20"/>
                <w:szCs w:val="20"/>
                <w:lang w:val="en-GB"/>
              </w:rPr>
              <w:t>expect</w:t>
            </w:r>
            <w:r>
              <w:rPr>
                <w:rFonts w:ascii="Verdana" w:eastAsia="Calibri" w:hAnsi="Verdana" w:cs="Times New Roman"/>
                <w:sz w:val="20"/>
                <w:szCs w:val="20"/>
                <w:lang w:val="en-GB"/>
              </w:rPr>
              <w:t>ed</w:t>
            </w:r>
            <w:r w:rsidRPr="00BE6376">
              <w:rPr>
                <w:rFonts w:ascii="Verdana" w:eastAsia="Calibri" w:hAnsi="Verdana" w:cs="Times New Roman"/>
                <w:sz w:val="20"/>
                <w:szCs w:val="20"/>
                <w:lang w:val="en-GB"/>
              </w:rPr>
              <w:t xml:space="preserve"> not to be able to vote in person'.</w:t>
            </w:r>
            <w:r w:rsidRPr="00BE6376">
              <w:rPr>
                <w:rStyle w:val="FootnoteReference"/>
                <w:rFonts w:ascii="Verdana" w:eastAsia="Calibri" w:hAnsi="Verdana" w:cs="Times New Roman"/>
                <w:sz w:val="20"/>
                <w:szCs w:val="20"/>
                <w:lang w:val="en-GB"/>
              </w:rPr>
              <w:footnoteReference w:id="12"/>
            </w:r>
            <w:r w:rsidRPr="00BE6376">
              <w:rPr>
                <w:rFonts w:ascii="Verdana" w:eastAsia="Calibri" w:hAnsi="Verdana" w:cs="Times New Roman"/>
                <w:sz w:val="20"/>
                <w:szCs w:val="20"/>
                <w:lang w:val="en-GB"/>
              </w:rPr>
              <w:t xml:space="preserve"> </w:t>
            </w:r>
          </w:p>
          <w:p w14:paraId="58E4ECF8" w14:textId="66FEAE2B" w:rsidR="00BE3D1F" w:rsidRPr="00BE6376" w:rsidRDefault="00BE3D1F" w:rsidP="00BE637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There are no special procedures or provisions in place for people living in long-term institutions, so they have to make use of proxy voting. To give another person the authority to vote on their behalf, voters have to submit a proxy form at least two weeks in advance, signed by themselves and the authorised person.</w:t>
            </w:r>
            <w:r w:rsidRPr="00BE6376">
              <w:rPr>
                <w:rStyle w:val="FootnoteReference"/>
                <w:rFonts w:ascii="Verdana" w:eastAsia="Calibri" w:hAnsi="Verdana" w:cs="Times New Roman"/>
                <w:sz w:val="20"/>
                <w:szCs w:val="20"/>
                <w:lang w:val="en-GB"/>
              </w:rPr>
              <w:footnoteReference w:id="13"/>
            </w:r>
            <w:r w:rsidRPr="00BE6376">
              <w:rPr>
                <w:rFonts w:ascii="Verdana" w:eastAsia="Calibri" w:hAnsi="Verdana" w:cs="Times New Roman"/>
                <w:sz w:val="20"/>
                <w:szCs w:val="20"/>
                <w:lang w:val="en-GB"/>
              </w:rPr>
              <w:t xml:space="preserve"> Alternatively, they can assign the authority on the election day itself by signing the appropriate part of their voting card which is sent to their home, and giving that to the person doing the voting.</w:t>
            </w:r>
            <w:r w:rsidRPr="00BE6376">
              <w:rPr>
                <w:rStyle w:val="FootnoteReference"/>
                <w:rFonts w:ascii="Verdana" w:eastAsia="Calibri" w:hAnsi="Verdana" w:cs="Times New Roman"/>
                <w:sz w:val="20"/>
                <w:szCs w:val="20"/>
                <w:lang w:val="en-GB"/>
              </w:rPr>
              <w:footnoteReference w:id="14"/>
            </w:r>
          </w:p>
        </w:tc>
      </w:tr>
      <w:tr w:rsidR="00BE3D1F" w:rsidRPr="00BE6376" w14:paraId="11BC2D2B" w14:textId="77777777" w:rsidTr="00BE3D1F">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09637733" w14:textId="536C8ECC" w:rsidR="00BE3D1F" w:rsidRPr="00BB53E2" w:rsidRDefault="00BE3D1F" w:rsidP="00BE6376">
            <w:pPr>
              <w:spacing w:before="240"/>
              <w:contextualSpacing/>
              <w:jc w:val="both"/>
              <w:rPr>
                <w:rFonts w:ascii="Verdana" w:hAnsi="Verdana"/>
                <w:sz w:val="20"/>
                <w:szCs w:val="20"/>
              </w:rPr>
            </w:pPr>
            <w:r w:rsidRPr="00BE6376">
              <w:rPr>
                <w:rFonts w:ascii="Verdana" w:hAnsi="Verdana"/>
                <w:sz w:val="20"/>
                <w:szCs w:val="20"/>
              </w:rPr>
              <w:t xml:space="preserve">Is there a duty under law to provide reasonable accommodation for persons with disabilities in voting procedures? For example, is there a duty to provide assistance at the polling station (e.g. braille or large print ballot papers, independent </w:t>
            </w:r>
            <w:r w:rsidRPr="00BE6376">
              <w:rPr>
                <w:rFonts w:ascii="Verdana" w:hAnsi="Verdana"/>
                <w:sz w:val="20"/>
                <w:szCs w:val="20"/>
              </w:rPr>
              <w:lastRenderedPageBreak/>
              <w:t>support person to assist with voting chosen by the person with a disability) or to allow for alternative means of voting (e.g. postal ballots, voting in advance, home-based voting, voting at institutions, mobile voting)?</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D887874" w14:textId="36569819" w:rsidR="00BE3D1F" w:rsidRPr="00BE6376" w:rsidRDefault="00BE3D1F" w:rsidP="00BE6376">
            <w:pPr>
              <w:jc w:val="both"/>
              <w:rPr>
                <w:rFonts w:ascii="Verdana" w:hAnsi="Verdana" w:cstheme="minorHAnsi"/>
                <w:sz w:val="20"/>
                <w:szCs w:val="20"/>
              </w:rPr>
            </w:pPr>
            <w:r w:rsidRPr="00BE6376">
              <w:rPr>
                <w:rFonts w:ascii="Verdana" w:hAnsi="Verdana" w:cstheme="minorHAnsi"/>
                <w:sz w:val="20"/>
                <w:szCs w:val="20"/>
              </w:rPr>
              <w:lastRenderedPageBreak/>
              <w:t>Only people with physical disabilities can be accompanied when they vote. People with mental disabilities have to vote themselves.</w:t>
            </w:r>
          </w:p>
          <w:p w14:paraId="4781C585" w14:textId="77777777" w:rsidR="00BE3D1F" w:rsidRPr="00BE6376" w:rsidRDefault="00BE3D1F" w:rsidP="00BE6376">
            <w:pPr>
              <w:jc w:val="both"/>
              <w:rPr>
                <w:rFonts w:ascii="Verdana" w:hAnsi="Verdana" w:cstheme="minorHAnsi"/>
                <w:sz w:val="20"/>
                <w:szCs w:val="20"/>
              </w:rPr>
            </w:pPr>
            <w:r w:rsidRPr="00BE6376">
              <w:rPr>
                <w:rFonts w:ascii="Verdana" w:hAnsi="Verdana" w:cstheme="minorHAnsi"/>
                <w:sz w:val="20"/>
                <w:szCs w:val="20"/>
              </w:rPr>
              <w:t>Alternative ways to vote are limited to voting from home and by proxy.</w:t>
            </w:r>
          </w:p>
          <w:p w14:paraId="2ABC37FA" w14:textId="77777777" w:rsidR="00BE3D1F" w:rsidRPr="00BE6376" w:rsidRDefault="00BE3D1F" w:rsidP="00BE6376">
            <w:pPr>
              <w:spacing w:before="240"/>
              <w:contextualSpacing/>
              <w:jc w:val="both"/>
              <w:rPr>
                <w:rFonts w:ascii="Verdana" w:eastAsia="Calibri" w:hAnsi="Verdana" w:cs="Times New Roman"/>
                <w:sz w:val="20"/>
                <w:szCs w:val="20"/>
                <w:lang w:val="en-GB"/>
              </w:rPr>
            </w:pPr>
          </w:p>
        </w:tc>
      </w:tr>
      <w:tr w:rsidR="00BE3D1F" w:rsidRPr="00BE6376" w14:paraId="3817DD5E" w14:textId="77777777" w:rsidTr="00BE3D1F">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34AC6011" w14:textId="77777777" w:rsidR="00BE3D1F" w:rsidRPr="00BE6376" w:rsidRDefault="00BE3D1F" w:rsidP="00BE637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lastRenderedPageBreak/>
              <w:t>Is there a duty under law for public and private providers of internet and web-based information to ensure that public information is subject to accessibility requirements (e.g. equivalent to Web Content Accessibility Guidelines (WCAG) 2.0 AA standard)</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69A8F9" w14:textId="53310D14" w:rsidR="00BE3D1F" w:rsidRDefault="00BE3D1F" w:rsidP="00BE637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At the time of writing</w:t>
            </w:r>
            <w:r>
              <w:rPr>
                <w:rFonts w:ascii="Verdana" w:eastAsia="Calibri" w:hAnsi="Verdana" w:cs="Times New Roman"/>
                <w:sz w:val="20"/>
                <w:szCs w:val="20"/>
                <w:lang w:val="en-GB"/>
              </w:rPr>
              <w:t xml:space="preserve"> (end of 2013)</w:t>
            </w:r>
            <w:r w:rsidRPr="00BE6376">
              <w:rPr>
                <w:rFonts w:ascii="Verdana" w:eastAsia="Calibri" w:hAnsi="Verdana" w:cs="Times New Roman"/>
                <w:sz w:val="20"/>
                <w:szCs w:val="20"/>
                <w:lang w:val="en-GB"/>
              </w:rPr>
              <w:t>, national public authorities are obliged to construct their websites according to the WCAG 1.0. From 2014 onwards, WCAG 2.0 is the mandatory standard.</w:t>
            </w:r>
          </w:p>
          <w:p w14:paraId="673AB47C" w14:textId="3718B8CD" w:rsidR="00BE3D1F" w:rsidRDefault="00BE3D1F" w:rsidP="00BE6376">
            <w:pPr>
              <w:spacing w:before="240"/>
              <w:contextualSpacing/>
              <w:jc w:val="both"/>
              <w:rPr>
                <w:rFonts w:ascii="Verdana" w:eastAsia="Calibri" w:hAnsi="Verdana" w:cs="Times New Roman"/>
                <w:sz w:val="20"/>
                <w:szCs w:val="20"/>
                <w:lang w:val="en-GB"/>
              </w:rPr>
            </w:pPr>
          </w:p>
          <w:p w14:paraId="38926D3C" w14:textId="4A7661EB" w:rsidR="00BE3D1F" w:rsidRDefault="00BE3D1F" w:rsidP="00BE637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This was determined by a Decision of the Minister of the Interior in 2006. This is not a duty under law, since it is purely based on this decision. No sanctions apply; it is the responsibility of the Minister himself to achieve the objectives of his plan. This duty does not apply to private providers.</w:t>
            </w:r>
            <w:r w:rsidRPr="00BE6376">
              <w:rPr>
                <w:rStyle w:val="FootnoteReference"/>
                <w:rFonts w:ascii="Verdana" w:eastAsia="Calibri" w:hAnsi="Verdana" w:cs="Times New Roman"/>
                <w:sz w:val="20"/>
                <w:szCs w:val="20"/>
                <w:lang w:val="en-GB"/>
              </w:rPr>
              <w:footnoteReference w:id="15"/>
            </w:r>
            <w:r w:rsidRPr="00BE6376">
              <w:rPr>
                <w:rFonts w:ascii="Verdana" w:eastAsia="Calibri" w:hAnsi="Verdana" w:cs="Times New Roman"/>
                <w:sz w:val="20"/>
                <w:szCs w:val="20"/>
                <w:lang w:val="en-GB"/>
              </w:rPr>
              <w:t xml:space="preserve"> </w:t>
            </w:r>
          </w:p>
          <w:p w14:paraId="05FF2AF4" w14:textId="77777777" w:rsidR="00BE3D1F" w:rsidRDefault="00BE3D1F" w:rsidP="00BE6376">
            <w:pPr>
              <w:spacing w:before="240"/>
              <w:contextualSpacing/>
              <w:jc w:val="both"/>
              <w:rPr>
                <w:rFonts w:ascii="Verdana" w:eastAsia="Calibri" w:hAnsi="Verdana" w:cs="Times New Roman"/>
                <w:sz w:val="20"/>
                <w:szCs w:val="20"/>
                <w:lang w:val="en-GB"/>
              </w:rPr>
            </w:pPr>
          </w:p>
          <w:p w14:paraId="291F9195" w14:textId="77777777" w:rsidR="00BE3D1F" w:rsidRDefault="00BE3D1F" w:rsidP="00BE637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Municipalities, water boards and regional authorities (</w:t>
            </w:r>
            <w:r w:rsidRPr="00BE6376">
              <w:rPr>
                <w:rFonts w:ascii="Verdana" w:eastAsia="Calibri" w:hAnsi="Verdana" w:cs="Times New Roman"/>
                <w:i/>
                <w:sz w:val="20"/>
                <w:szCs w:val="20"/>
                <w:lang w:val="en-GB"/>
              </w:rPr>
              <w:t>provincies</w:t>
            </w:r>
            <w:r w:rsidRPr="00BE6376">
              <w:rPr>
                <w:rFonts w:ascii="Verdana" w:eastAsia="Calibri" w:hAnsi="Verdana" w:cs="Times New Roman"/>
                <w:sz w:val="20"/>
                <w:szCs w:val="20"/>
                <w:lang w:val="en-GB"/>
              </w:rPr>
              <w:t>) have a duty to conform with the basic level of the 'hurdle free' guidelines (</w:t>
            </w:r>
            <w:r w:rsidRPr="00BE6376">
              <w:rPr>
                <w:rFonts w:ascii="Verdana" w:eastAsia="Calibri" w:hAnsi="Verdana" w:cs="Times New Roman"/>
                <w:i/>
                <w:sz w:val="20"/>
                <w:szCs w:val="20"/>
                <w:lang w:val="en-GB"/>
              </w:rPr>
              <w:t>drempelvrij</w:t>
            </w:r>
            <w:r w:rsidRPr="00BE6376">
              <w:rPr>
                <w:rFonts w:ascii="Verdana" w:eastAsia="Calibri" w:hAnsi="Verdana" w:cs="Times New Roman"/>
                <w:sz w:val="20"/>
                <w:szCs w:val="20"/>
                <w:lang w:val="en-GB"/>
              </w:rPr>
              <w:t xml:space="preserve">) which is the equivalent of the WCAG 2.0 Level A. By 2015, they must reach Level AA. </w:t>
            </w:r>
          </w:p>
          <w:p w14:paraId="741049B2" w14:textId="77777777" w:rsidR="00BE3D1F" w:rsidRDefault="00BE3D1F" w:rsidP="00BE6376">
            <w:pPr>
              <w:spacing w:before="240"/>
              <w:contextualSpacing/>
              <w:jc w:val="both"/>
              <w:rPr>
                <w:rFonts w:ascii="Verdana" w:eastAsia="Calibri" w:hAnsi="Verdana" w:cs="Times New Roman"/>
                <w:sz w:val="20"/>
                <w:szCs w:val="20"/>
                <w:lang w:val="en-GB"/>
              </w:rPr>
            </w:pPr>
          </w:p>
          <w:p w14:paraId="28149153" w14:textId="06AF0686" w:rsidR="00BE3D1F" w:rsidRPr="00BE6376" w:rsidRDefault="00BE3D1F" w:rsidP="00BE637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This has been agreed in the national executive programme on better service provision and e-government, signed by the Ministry of the Interior, the Association of Municipalities, the Interprovincial Council and the Union of Water Boards.</w:t>
            </w:r>
            <w:r w:rsidRPr="00BE6376">
              <w:rPr>
                <w:rStyle w:val="FootnoteReference"/>
                <w:rFonts w:ascii="Verdana" w:eastAsia="Calibri" w:hAnsi="Verdana" w:cs="Times New Roman"/>
                <w:sz w:val="20"/>
                <w:szCs w:val="20"/>
                <w:lang w:val="en-GB"/>
              </w:rPr>
              <w:footnoteReference w:id="16"/>
            </w:r>
            <w:r w:rsidRPr="00BE6376">
              <w:rPr>
                <w:rFonts w:ascii="Verdana" w:eastAsia="Calibri" w:hAnsi="Verdana" w:cs="Times New Roman"/>
                <w:sz w:val="20"/>
                <w:szCs w:val="20"/>
                <w:lang w:val="en-GB"/>
              </w:rPr>
              <w:t xml:space="preserve"> Again, this is not a duty under law, since it is based on a working agreement. However, the Minister of the Interior has </w:t>
            </w:r>
            <w:r w:rsidRPr="00BE6376">
              <w:rPr>
                <w:rFonts w:ascii="Verdana" w:eastAsia="Calibri" w:hAnsi="Verdana" w:cs="Times New Roman"/>
                <w:sz w:val="20"/>
                <w:szCs w:val="20"/>
                <w:lang w:val="en-GB"/>
              </w:rPr>
              <w:lastRenderedPageBreak/>
              <w:t>announced in his letter to parliament that he will consider imposing administrative measures if local authorities do not comply with the agreement.</w:t>
            </w:r>
            <w:r w:rsidRPr="00BE6376">
              <w:rPr>
                <w:rStyle w:val="FootnoteReference"/>
                <w:rFonts w:ascii="Verdana" w:eastAsia="Calibri" w:hAnsi="Verdana" w:cs="Times New Roman"/>
                <w:sz w:val="20"/>
                <w:szCs w:val="20"/>
                <w:lang w:val="en-GB"/>
              </w:rPr>
              <w:t xml:space="preserve"> </w:t>
            </w:r>
            <w:r w:rsidRPr="00BE6376">
              <w:rPr>
                <w:rStyle w:val="FootnoteReference"/>
                <w:rFonts w:ascii="Verdana" w:eastAsia="Calibri" w:hAnsi="Verdana" w:cs="Times New Roman"/>
                <w:sz w:val="20"/>
                <w:szCs w:val="20"/>
                <w:lang w:val="en-GB"/>
              </w:rPr>
              <w:footnoteReference w:id="17"/>
            </w:r>
          </w:p>
        </w:tc>
      </w:tr>
      <w:tr w:rsidR="00BE3D1F" w:rsidRPr="00BE6376" w14:paraId="47A2A602" w14:textId="77777777" w:rsidTr="00BE3D1F">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7D6F89B1" w14:textId="77777777" w:rsidR="00BE3D1F" w:rsidRPr="00BE6376" w:rsidRDefault="00BE3D1F" w:rsidP="00BE637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lastRenderedPageBreak/>
              <w:t>Is there a duty under law for public and private providers of media (including newspapers, TV, radio and internet) to ensure that their information and communications are subject to accessibility requirements?</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8840E" w14:textId="3C18B874" w:rsidR="00BE3D1F" w:rsidRDefault="00BE3D1F" w:rsidP="008F51E9">
            <w:pPr>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 xml:space="preserve">The existing duties for media providers to ensure the accessibility of information pertain to public and private television providers, and </w:t>
            </w:r>
            <w:r>
              <w:rPr>
                <w:rFonts w:ascii="Verdana" w:eastAsia="Calibri" w:hAnsi="Verdana" w:cs="Times New Roman"/>
                <w:sz w:val="20"/>
                <w:szCs w:val="20"/>
                <w:lang w:val="en-GB"/>
              </w:rPr>
              <w:t xml:space="preserve">are </w:t>
            </w:r>
            <w:r w:rsidRPr="00BE6376">
              <w:rPr>
                <w:rFonts w:ascii="Verdana" w:eastAsia="Calibri" w:hAnsi="Verdana" w:cs="Times New Roman"/>
                <w:sz w:val="20"/>
                <w:szCs w:val="20"/>
                <w:lang w:val="en-GB"/>
              </w:rPr>
              <w:t xml:space="preserve">specifically </w:t>
            </w:r>
            <w:r>
              <w:rPr>
                <w:rFonts w:ascii="Verdana" w:eastAsia="Calibri" w:hAnsi="Verdana" w:cs="Times New Roman"/>
                <w:sz w:val="20"/>
                <w:szCs w:val="20"/>
                <w:lang w:val="en-GB"/>
              </w:rPr>
              <w:t>related to</w:t>
            </w:r>
            <w:r w:rsidRPr="00BE6376">
              <w:rPr>
                <w:rFonts w:ascii="Verdana" w:eastAsia="Calibri" w:hAnsi="Verdana" w:cs="Times New Roman"/>
                <w:sz w:val="20"/>
                <w:szCs w:val="20"/>
                <w:lang w:val="en-GB"/>
              </w:rPr>
              <w:t xml:space="preserve"> the provision of subtitles. </w:t>
            </w:r>
          </w:p>
          <w:p w14:paraId="6A49F655" w14:textId="77777777" w:rsidR="00BE3D1F" w:rsidRDefault="00BE3D1F" w:rsidP="008F51E9">
            <w:pPr>
              <w:jc w:val="both"/>
              <w:rPr>
                <w:rFonts w:ascii="Verdana" w:eastAsia="Calibri" w:hAnsi="Verdana" w:cs="Times New Roman"/>
                <w:sz w:val="20"/>
                <w:szCs w:val="20"/>
                <w:lang w:val="en-GB"/>
              </w:rPr>
            </w:pPr>
            <w:r>
              <w:rPr>
                <w:rFonts w:ascii="Verdana" w:eastAsia="Calibri" w:hAnsi="Verdana" w:cs="Times New Roman"/>
                <w:sz w:val="20"/>
                <w:szCs w:val="20"/>
                <w:lang w:val="en-GB"/>
              </w:rPr>
              <w:t>A</w:t>
            </w:r>
            <w:r w:rsidRPr="00BE6376">
              <w:rPr>
                <w:rFonts w:ascii="Verdana" w:eastAsia="Calibri" w:hAnsi="Verdana" w:cs="Times New Roman"/>
                <w:sz w:val="20"/>
                <w:szCs w:val="20"/>
                <w:lang w:val="en-GB"/>
              </w:rPr>
              <w:t>rticle 15 of the Media Decision (</w:t>
            </w:r>
            <w:r w:rsidRPr="00BE6376">
              <w:rPr>
                <w:rFonts w:ascii="Verdana" w:eastAsia="Calibri" w:hAnsi="Verdana" w:cs="Times New Roman"/>
                <w:i/>
                <w:sz w:val="20"/>
                <w:szCs w:val="20"/>
                <w:lang w:val="en-GB"/>
              </w:rPr>
              <w:t>mediabesluit</w:t>
            </w:r>
            <w:r w:rsidRPr="00BE6376">
              <w:rPr>
                <w:rFonts w:ascii="Verdana" w:eastAsia="Calibri" w:hAnsi="Verdana" w:cs="Times New Roman"/>
                <w:sz w:val="20"/>
                <w:szCs w:val="20"/>
                <w:lang w:val="en-GB"/>
              </w:rPr>
              <w:t>) stipulates that public television stations have a duty to provide subtitles to 95% of their programmes, excluding advertisements.</w:t>
            </w:r>
          </w:p>
          <w:p w14:paraId="0AFA83E5" w14:textId="269958EA" w:rsidR="00BE3D1F" w:rsidRPr="00BE6376" w:rsidRDefault="00BE3D1F" w:rsidP="008F51E9">
            <w:pPr>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Article 17 of the Media Decision stipulates that private television stations, based in the Netherlands, have to provide subtitles to 50% of their programmes, excluding advertisements.</w:t>
            </w:r>
            <w:r w:rsidRPr="00BE6376">
              <w:rPr>
                <w:rStyle w:val="FootnoteReference"/>
                <w:rFonts w:ascii="Verdana" w:eastAsia="Calibri" w:hAnsi="Verdana" w:cs="Times New Roman"/>
                <w:sz w:val="20"/>
                <w:szCs w:val="20"/>
                <w:lang w:val="en-GB"/>
              </w:rPr>
              <w:footnoteReference w:id="18"/>
            </w:r>
          </w:p>
        </w:tc>
      </w:tr>
      <w:tr w:rsidR="00BE3D1F" w:rsidRPr="00BE6376" w14:paraId="4635C143" w14:textId="77777777" w:rsidTr="00BE3D1F">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0EF81A0D" w14:textId="77777777" w:rsidR="00BE3D1F" w:rsidRPr="00BE6376" w:rsidRDefault="00BE3D1F" w:rsidP="00BE6376">
            <w:pPr>
              <w:spacing w:before="240"/>
              <w:contextualSpacing/>
              <w:jc w:val="both"/>
              <w:rPr>
                <w:rFonts w:ascii="Verdana" w:eastAsia="Calibri" w:hAnsi="Verdana" w:cs="Times New Roman"/>
                <w:sz w:val="20"/>
                <w:szCs w:val="20"/>
                <w:lang w:val="en-GB"/>
              </w:rPr>
            </w:pPr>
            <w:r w:rsidRPr="00BE6376">
              <w:rPr>
                <w:rFonts w:ascii="Verdana" w:hAnsi="Verdana"/>
                <w:sz w:val="20"/>
                <w:szCs w:val="20"/>
              </w:rPr>
              <w:t>Are there mandatory accessibility standards for the construction and significant alternation of national and local authority buildings?</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4B01299" w14:textId="28B1DB8C" w:rsidR="00BE3D1F" w:rsidRDefault="00BE3D1F" w:rsidP="00BE6376">
            <w:pPr>
              <w:spacing w:after="0" w:line="240" w:lineRule="auto"/>
              <w:jc w:val="both"/>
              <w:rPr>
                <w:rFonts w:ascii="Verdana" w:eastAsia="Calibri" w:hAnsi="Verdana" w:cs="Times New Roman"/>
                <w:sz w:val="20"/>
                <w:szCs w:val="20"/>
                <w:lang w:val="en-US" w:bidi="en-US"/>
              </w:rPr>
            </w:pPr>
            <w:r w:rsidRPr="008F51E9">
              <w:rPr>
                <w:rFonts w:ascii="Verdana" w:eastAsia="Calibri" w:hAnsi="Verdana" w:cs="Times New Roman"/>
                <w:sz w:val="20"/>
                <w:szCs w:val="20"/>
                <w:lang w:val="en-US" w:bidi="en-US"/>
              </w:rPr>
              <w:t xml:space="preserve">The draft Implementation Act (mentioned above) introduces </w:t>
            </w:r>
            <w:r w:rsidRPr="00C11A88">
              <w:rPr>
                <w:rFonts w:ascii="Verdana" w:eastAsia="Calibri" w:hAnsi="Verdana" w:cs="Times New Roman"/>
                <w:sz w:val="20"/>
                <w:szCs w:val="20"/>
                <w:lang w:val="en-US" w:bidi="en-US"/>
              </w:rPr>
              <w:t>the modification of</w:t>
            </w:r>
            <w:r w:rsidRPr="00867C08">
              <w:rPr>
                <w:rFonts w:ascii="Verdana" w:eastAsia="Calibri" w:hAnsi="Verdana" w:cs="Times New Roman"/>
                <w:sz w:val="20"/>
                <w:szCs w:val="20"/>
                <w:lang w:val="en-US" w:bidi="en-US"/>
              </w:rPr>
              <w:t xml:space="preserve"> the Electoral</w:t>
            </w:r>
            <w:r w:rsidRPr="00BE6376">
              <w:rPr>
                <w:rFonts w:ascii="Verdana" w:eastAsia="Calibri" w:hAnsi="Verdana" w:cs="Times New Roman"/>
                <w:sz w:val="20"/>
                <w:szCs w:val="20"/>
                <w:lang w:val="en-US" w:bidi="en-US"/>
              </w:rPr>
              <w:t xml:space="preserve"> Code (</w:t>
            </w:r>
            <w:r w:rsidRPr="00BE6376">
              <w:rPr>
                <w:rFonts w:ascii="Verdana" w:eastAsia="Calibri" w:hAnsi="Verdana" w:cs="Times New Roman"/>
                <w:i/>
                <w:sz w:val="20"/>
                <w:szCs w:val="20"/>
                <w:lang w:val="en-US" w:bidi="en-US"/>
              </w:rPr>
              <w:t>Kieswet</w:t>
            </w:r>
            <w:r w:rsidRPr="00BE6376">
              <w:rPr>
                <w:rFonts w:ascii="Verdana" w:eastAsia="Calibri" w:hAnsi="Verdana" w:cs="Times New Roman"/>
                <w:sz w:val="20"/>
                <w:szCs w:val="20"/>
                <w:lang w:val="en-US" w:bidi="en-US"/>
              </w:rPr>
              <w:t xml:space="preserve">) to improve the accessibility of polling stations. </w:t>
            </w:r>
          </w:p>
          <w:p w14:paraId="423F561C" w14:textId="77777777" w:rsidR="00BE3D1F" w:rsidRDefault="00BE3D1F" w:rsidP="00BE6376">
            <w:pPr>
              <w:spacing w:after="0" w:line="240" w:lineRule="auto"/>
              <w:jc w:val="both"/>
              <w:rPr>
                <w:rFonts w:ascii="Verdana" w:eastAsia="Calibri" w:hAnsi="Verdana" w:cs="Times New Roman"/>
                <w:sz w:val="20"/>
                <w:szCs w:val="20"/>
                <w:lang w:val="en-US" w:bidi="en-US"/>
              </w:rPr>
            </w:pPr>
          </w:p>
          <w:p w14:paraId="5991B767" w14:textId="345DC7FE" w:rsidR="00BE3D1F" w:rsidRPr="00BB53E2" w:rsidRDefault="00BE3D1F" w:rsidP="00BB53E2">
            <w:pPr>
              <w:spacing w:after="0" w:line="240" w:lineRule="auto"/>
              <w:jc w:val="both"/>
              <w:rPr>
                <w:rFonts w:ascii="Verdana" w:eastAsia="Calibri" w:hAnsi="Verdana" w:cs="Times New Roman"/>
                <w:sz w:val="20"/>
                <w:szCs w:val="20"/>
                <w:lang w:val="en-US" w:bidi="en-US"/>
              </w:rPr>
            </w:pPr>
            <w:r w:rsidRPr="00BE6376">
              <w:rPr>
                <w:rFonts w:ascii="Verdana" w:eastAsia="Calibri" w:hAnsi="Verdana" w:cs="Times New Roman"/>
                <w:sz w:val="20"/>
                <w:szCs w:val="20"/>
                <w:lang w:val="en-US" w:bidi="en-US"/>
              </w:rPr>
              <w:t>Article J4.2 of the Electoral Code, which currently stipulates that local authorities should ensure that "at least 25%" of polling stations are accessible to persons with physical disabilities, will be changed to state that "as many polling stations as possible, but at least 25%" should be accessible to persons with physical disabilities.</w:t>
            </w:r>
            <w:r w:rsidRPr="00BE6376">
              <w:rPr>
                <w:rFonts w:ascii="Verdana" w:eastAsia="Calibri" w:hAnsi="Verdana" w:cs="Times New Roman"/>
                <w:sz w:val="20"/>
                <w:szCs w:val="20"/>
                <w:vertAlign w:val="superscript"/>
                <w:lang w:val="de-AT" w:bidi="en-US"/>
              </w:rPr>
              <w:footnoteReference w:id="19"/>
            </w:r>
            <w:r w:rsidRPr="00BE6376">
              <w:rPr>
                <w:rFonts w:ascii="Verdana" w:eastAsia="Calibri" w:hAnsi="Verdana" w:cs="Times New Roman"/>
                <w:sz w:val="20"/>
                <w:szCs w:val="20"/>
                <w:lang w:val="en-US" w:bidi="en-US"/>
              </w:rPr>
              <w:t xml:space="preserve"> </w:t>
            </w:r>
          </w:p>
        </w:tc>
      </w:tr>
      <w:tr w:rsidR="00BE3D1F" w:rsidRPr="00BE6376" w14:paraId="5DE0FA04" w14:textId="77777777" w:rsidTr="00BE3D1F">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242DD312" w14:textId="4A4058C2" w:rsidR="00BE3D1F" w:rsidRPr="00BE6376" w:rsidRDefault="00BE3D1F" w:rsidP="00BE6376">
            <w:pPr>
              <w:jc w:val="both"/>
              <w:rPr>
                <w:rFonts w:ascii="Verdana" w:hAnsi="Verdana"/>
                <w:sz w:val="20"/>
                <w:szCs w:val="20"/>
              </w:rPr>
            </w:pPr>
            <w:r w:rsidRPr="00BE6376">
              <w:rPr>
                <w:rFonts w:ascii="Verdana" w:hAnsi="Verdana"/>
                <w:sz w:val="20"/>
                <w:szCs w:val="20"/>
              </w:rPr>
              <w:t xml:space="preserve">Is there legislation requiring that polling stations and voting processes be accessible to persons with disabilities (e.g. a certain percentage of polling stations must be accessible; </w:t>
            </w:r>
            <w:r w:rsidRPr="00BE6376">
              <w:rPr>
                <w:rFonts w:ascii="Verdana" w:hAnsi="Verdana"/>
                <w:sz w:val="20"/>
                <w:szCs w:val="20"/>
              </w:rPr>
              <w:lastRenderedPageBreak/>
              <w:t>one polling station per electoral district must be accessible etc</w:t>
            </w:r>
            <w:r>
              <w:rPr>
                <w:rFonts w:ascii="Verdana" w:hAnsi="Verdana"/>
                <w:sz w:val="20"/>
                <w:szCs w:val="20"/>
              </w:rPr>
              <w:t>.</w:t>
            </w:r>
            <w:r w:rsidRPr="00BE6376">
              <w:rPr>
                <w:rFonts w:ascii="Verdana" w:hAnsi="Verdana"/>
                <w:sz w:val="20"/>
                <w:szCs w:val="20"/>
              </w:rPr>
              <w:t>)?</w:t>
            </w:r>
          </w:p>
          <w:p w14:paraId="0D0718C8" w14:textId="77777777" w:rsidR="00BE3D1F" w:rsidRPr="00BE6376" w:rsidRDefault="00BE3D1F" w:rsidP="00BE6376">
            <w:pPr>
              <w:jc w:val="both"/>
              <w:rPr>
                <w:rFonts w:ascii="Verdana" w:hAnsi="Verdana"/>
                <w:sz w:val="20"/>
                <w:szCs w:val="20"/>
              </w:rPr>
            </w:pPr>
          </w:p>
          <w:p w14:paraId="644E6FD2" w14:textId="77777777" w:rsidR="00BE3D1F" w:rsidRPr="00BE6376" w:rsidRDefault="00BE3D1F" w:rsidP="00BE6376">
            <w:pPr>
              <w:spacing w:before="240"/>
              <w:contextualSpacing/>
              <w:jc w:val="both"/>
              <w:rPr>
                <w:rFonts w:ascii="Verdana" w:eastAsia="Calibri" w:hAnsi="Verdana" w:cs="Times New Roman"/>
                <w:sz w:val="20"/>
                <w:szCs w:val="20"/>
                <w:lang w:val="en-GB"/>
              </w:rPr>
            </w:pPr>
            <w:r w:rsidRPr="00BE6376">
              <w:rPr>
                <w:rFonts w:ascii="Verdana" w:hAnsi="Verdana"/>
                <w:sz w:val="20"/>
                <w:szCs w:val="20"/>
              </w:rPr>
              <w:t>Please indicate whether the legislation requires that polling stations and voting processes are accessible for all persons with disabilities or for particular impairment groups (e.g. persons with visual, hearing, physical impairments etc).</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8029D7" w14:textId="2199EE95" w:rsidR="00BE3D1F" w:rsidRDefault="00BE3D1F" w:rsidP="00BE6376">
            <w:pPr>
              <w:jc w:val="both"/>
              <w:rPr>
                <w:rFonts w:ascii="Verdana" w:hAnsi="Verdana" w:cstheme="minorHAnsi"/>
                <w:sz w:val="20"/>
                <w:szCs w:val="20"/>
                <w:lang w:val="en-GB"/>
              </w:rPr>
            </w:pPr>
            <w:r w:rsidRPr="00BE6376">
              <w:rPr>
                <w:rFonts w:ascii="Verdana" w:hAnsi="Verdana" w:cstheme="minorHAnsi"/>
                <w:sz w:val="20"/>
                <w:szCs w:val="20"/>
                <w:lang w:val="en-GB"/>
              </w:rPr>
              <w:lastRenderedPageBreak/>
              <w:t xml:space="preserve">It is prescribed by law that at least 25% of municipalities’ voting stations be situated and set up in a way that ensures voters with physical disabilities </w:t>
            </w:r>
            <w:r>
              <w:rPr>
                <w:rFonts w:ascii="Verdana" w:hAnsi="Verdana" w:cstheme="minorHAnsi"/>
                <w:sz w:val="20"/>
                <w:szCs w:val="20"/>
                <w:lang w:val="en-GB"/>
              </w:rPr>
              <w:t>to</w:t>
            </w:r>
            <w:r w:rsidRPr="00BE6376">
              <w:rPr>
                <w:rFonts w:ascii="Verdana" w:hAnsi="Verdana" w:cstheme="minorHAnsi"/>
                <w:sz w:val="20"/>
                <w:szCs w:val="20"/>
                <w:lang w:val="en-GB"/>
              </w:rPr>
              <w:t xml:space="preserve"> vote independently.</w:t>
            </w:r>
            <w:r w:rsidRPr="00BE6376">
              <w:rPr>
                <w:rFonts w:ascii="Verdana" w:hAnsi="Verdana" w:cstheme="minorHAnsi"/>
                <w:sz w:val="20"/>
                <w:szCs w:val="20"/>
                <w:vertAlign w:val="superscript"/>
                <w:lang w:val="en-GB"/>
              </w:rPr>
              <w:footnoteReference w:id="20"/>
            </w:r>
            <w:r w:rsidRPr="00BE6376">
              <w:rPr>
                <w:rFonts w:ascii="Verdana" w:hAnsi="Verdana" w:cstheme="minorHAnsi"/>
                <w:sz w:val="20"/>
                <w:szCs w:val="20"/>
                <w:lang w:val="en-GB"/>
              </w:rPr>
              <w:t xml:space="preserve"> </w:t>
            </w:r>
          </w:p>
          <w:p w14:paraId="01372F26" w14:textId="29629762" w:rsidR="00BE3D1F" w:rsidRPr="00BE6376" w:rsidRDefault="00BE3D1F" w:rsidP="00BE6376">
            <w:pPr>
              <w:jc w:val="both"/>
              <w:rPr>
                <w:rFonts w:ascii="Verdana" w:hAnsi="Verdana" w:cstheme="minorHAnsi"/>
                <w:sz w:val="20"/>
                <w:szCs w:val="20"/>
                <w:lang w:val="en-GB"/>
              </w:rPr>
            </w:pPr>
            <w:r w:rsidRPr="00BE6376">
              <w:rPr>
                <w:rFonts w:ascii="Verdana" w:hAnsi="Verdana" w:cstheme="minorHAnsi"/>
                <w:sz w:val="20"/>
                <w:szCs w:val="20"/>
                <w:lang w:val="en-GB"/>
              </w:rPr>
              <w:t>The Dutch Council of the Chronically Ill and the Disabled (</w:t>
            </w:r>
            <w:r w:rsidRPr="00BE6376">
              <w:rPr>
                <w:rFonts w:ascii="Verdana" w:hAnsi="Verdana" w:cstheme="minorHAnsi"/>
                <w:i/>
                <w:sz w:val="20"/>
                <w:szCs w:val="20"/>
                <w:lang w:val="en-GB"/>
              </w:rPr>
              <w:t xml:space="preserve">Chronisch zieken en Gehandicapten Raad Nederland, </w:t>
            </w:r>
            <w:r w:rsidRPr="00BE6376">
              <w:rPr>
                <w:rFonts w:ascii="Verdana" w:hAnsi="Verdana" w:cstheme="minorHAnsi"/>
                <w:sz w:val="20"/>
                <w:szCs w:val="20"/>
                <w:lang w:val="en-GB"/>
              </w:rPr>
              <w:t xml:space="preserve">CG-Raad) </w:t>
            </w:r>
            <w:r>
              <w:rPr>
                <w:rFonts w:ascii="Verdana" w:hAnsi="Verdana" w:cstheme="minorHAnsi"/>
                <w:sz w:val="20"/>
                <w:szCs w:val="20"/>
                <w:lang w:val="en-GB"/>
              </w:rPr>
              <w:t>considers</w:t>
            </w:r>
            <w:r w:rsidRPr="00BE6376">
              <w:rPr>
                <w:rFonts w:ascii="Verdana" w:hAnsi="Verdana" w:cstheme="minorHAnsi"/>
                <w:sz w:val="20"/>
                <w:szCs w:val="20"/>
                <w:lang w:val="en-GB"/>
              </w:rPr>
              <w:t xml:space="preserve"> that everyone must be able to vote </w:t>
            </w:r>
            <w:r w:rsidRPr="00BE6376">
              <w:rPr>
                <w:rFonts w:ascii="Verdana" w:hAnsi="Verdana" w:cstheme="minorHAnsi"/>
                <w:sz w:val="20"/>
                <w:szCs w:val="20"/>
                <w:lang w:val="en-GB"/>
              </w:rPr>
              <w:lastRenderedPageBreak/>
              <w:t>independently; it finds the 25% accessibility requirement imposed on the municipalities unacceptable.</w:t>
            </w:r>
            <w:r w:rsidRPr="00BE6376">
              <w:rPr>
                <w:rFonts w:ascii="Verdana" w:hAnsi="Verdana" w:cstheme="minorHAnsi"/>
                <w:sz w:val="20"/>
                <w:szCs w:val="20"/>
                <w:vertAlign w:val="superscript"/>
                <w:lang w:val="en-GB"/>
              </w:rPr>
              <w:footnoteReference w:id="21"/>
            </w:r>
            <w:r w:rsidRPr="00BE6376">
              <w:rPr>
                <w:rFonts w:ascii="Verdana" w:hAnsi="Verdana" w:cstheme="minorHAnsi"/>
                <w:sz w:val="20"/>
                <w:szCs w:val="20"/>
                <w:lang w:val="en-GB"/>
              </w:rPr>
              <w:t xml:space="preserve"> </w:t>
            </w:r>
          </w:p>
          <w:p w14:paraId="5118FAD0" w14:textId="058BF952" w:rsidR="00BE3D1F" w:rsidRDefault="00BE3D1F" w:rsidP="00BE6376">
            <w:pPr>
              <w:spacing w:before="240"/>
              <w:contextualSpacing/>
              <w:jc w:val="both"/>
              <w:rPr>
                <w:rFonts w:ascii="Verdana" w:hAnsi="Verdana" w:cstheme="minorHAnsi"/>
                <w:sz w:val="20"/>
                <w:szCs w:val="20"/>
                <w:lang w:val="en-GB"/>
              </w:rPr>
            </w:pPr>
            <w:r w:rsidRPr="00BE6376">
              <w:rPr>
                <w:rFonts w:ascii="Verdana" w:hAnsi="Verdana" w:cstheme="minorHAnsi"/>
                <w:sz w:val="20"/>
                <w:szCs w:val="20"/>
                <w:lang w:val="en-GB"/>
              </w:rPr>
              <w:t xml:space="preserve">Though </w:t>
            </w:r>
            <w:r>
              <w:rPr>
                <w:rFonts w:ascii="Verdana" w:hAnsi="Verdana" w:cstheme="minorHAnsi"/>
                <w:sz w:val="20"/>
                <w:szCs w:val="20"/>
                <w:lang w:val="en-GB"/>
              </w:rPr>
              <w:t>persons with intellectual disabilities</w:t>
            </w:r>
            <w:r w:rsidRPr="00BE6376">
              <w:rPr>
                <w:rFonts w:ascii="Verdana" w:hAnsi="Verdana" w:cstheme="minorHAnsi"/>
                <w:sz w:val="20"/>
                <w:szCs w:val="20"/>
                <w:lang w:val="en-GB"/>
              </w:rPr>
              <w:t xml:space="preserve"> have the right to vote in the Netherlands,</w:t>
            </w:r>
            <w:r>
              <w:rPr>
                <w:rFonts w:ascii="Verdana" w:hAnsi="Verdana" w:cstheme="minorHAnsi"/>
                <w:sz w:val="20"/>
                <w:szCs w:val="20"/>
                <w:lang w:val="en-GB"/>
              </w:rPr>
              <w:t xml:space="preserve"> no</w:t>
            </w:r>
            <w:r w:rsidRPr="00BE6376">
              <w:rPr>
                <w:rFonts w:ascii="Verdana" w:hAnsi="Verdana" w:cstheme="minorHAnsi"/>
                <w:sz w:val="20"/>
                <w:szCs w:val="20"/>
                <w:lang w:val="en-GB"/>
              </w:rPr>
              <w:t xml:space="preserve"> help</w:t>
            </w:r>
            <w:r>
              <w:rPr>
                <w:rFonts w:ascii="Verdana" w:hAnsi="Verdana" w:cstheme="minorHAnsi"/>
                <w:sz w:val="20"/>
                <w:szCs w:val="20"/>
                <w:lang w:val="en-GB"/>
              </w:rPr>
              <w:t xml:space="preserve"> is provided while</w:t>
            </w:r>
            <w:r w:rsidRPr="00BE6376">
              <w:rPr>
                <w:rFonts w:ascii="Verdana" w:hAnsi="Verdana" w:cstheme="minorHAnsi"/>
                <w:sz w:val="20"/>
                <w:szCs w:val="20"/>
                <w:lang w:val="en-GB"/>
              </w:rPr>
              <w:t xml:space="preserve"> </w:t>
            </w:r>
            <w:r>
              <w:rPr>
                <w:rFonts w:ascii="Verdana" w:hAnsi="Verdana" w:cstheme="minorHAnsi"/>
                <w:sz w:val="20"/>
                <w:szCs w:val="20"/>
                <w:lang w:val="en-GB"/>
              </w:rPr>
              <w:t>v</w:t>
            </w:r>
            <w:r w:rsidRPr="00BE6376">
              <w:rPr>
                <w:rFonts w:ascii="Verdana" w:hAnsi="Verdana" w:cstheme="minorHAnsi"/>
                <w:sz w:val="20"/>
                <w:szCs w:val="20"/>
                <w:lang w:val="en-GB"/>
              </w:rPr>
              <w:t>oting.</w:t>
            </w:r>
          </w:p>
          <w:p w14:paraId="02A0023F" w14:textId="65E871AA" w:rsidR="00BE3D1F" w:rsidRDefault="00BE3D1F" w:rsidP="00BE6376">
            <w:pPr>
              <w:spacing w:before="240"/>
              <w:contextualSpacing/>
              <w:jc w:val="both"/>
              <w:rPr>
                <w:rFonts w:ascii="Verdana" w:hAnsi="Verdana" w:cstheme="minorHAnsi"/>
                <w:sz w:val="20"/>
                <w:szCs w:val="20"/>
                <w:lang w:val="en-GB"/>
              </w:rPr>
            </w:pPr>
          </w:p>
          <w:p w14:paraId="40BABA1B" w14:textId="06909020" w:rsidR="00BE3D1F" w:rsidRPr="00BE6376" w:rsidRDefault="00BE3D1F" w:rsidP="00BE6376">
            <w:pPr>
              <w:spacing w:before="240"/>
              <w:contextualSpacing/>
              <w:jc w:val="both"/>
              <w:rPr>
                <w:rFonts w:ascii="Verdana" w:hAnsi="Verdana" w:cstheme="minorHAnsi"/>
                <w:sz w:val="20"/>
                <w:szCs w:val="20"/>
                <w:lang w:val="en-GB"/>
              </w:rPr>
            </w:pPr>
            <w:r w:rsidRPr="00BE6376">
              <w:rPr>
                <w:rFonts w:ascii="Verdana" w:hAnsi="Verdana" w:cstheme="minorHAnsi"/>
                <w:sz w:val="20"/>
                <w:szCs w:val="20"/>
                <w:lang w:val="en-GB"/>
              </w:rPr>
              <w:t>In case persons</w:t>
            </w:r>
            <w:r>
              <w:rPr>
                <w:rFonts w:ascii="Verdana" w:hAnsi="Verdana" w:cstheme="minorHAnsi"/>
                <w:sz w:val="20"/>
                <w:szCs w:val="20"/>
                <w:lang w:val="en-GB"/>
              </w:rPr>
              <w:t xml:space="preserve"> with physical disabilities</w:t>
            </w:r>
            <w:r w:rsidRPr="00BE6376">
              <w:rPr>
                <w:rFonts w:ascii="Verdana" w:hAnsi="Verdana" w:cstheme="minorHAnsi"/>
                <w:sz w:val="20"/>
                <w:szCs w:val="20"/>
                <w:lang w:val="en-GB"/>
              </w:rPr>
              <w:t xml:space="preserve"> need help, this can be provided by a staff member at the voting station or someone selected by themselves.</w:t>
            </w:r>
            <w:r w:rsidRPr="00BE6376">
              <w:rPr>
                <w:rFonts w:ascii="Verdana" w:hAnsi="Verdana" w:cstheme="minorHAnsi"/>
                <w:sz w:val="20"/>
                <w:szCs w:val="20"/>
                <w:vertAlign w:val="superscript"/>
                <w:lang w:val="en-GB"/>
              </w:rPr>
              <w:footnoteReference w:id="22"/>
            </w:r>
            <w:r w:rsidRPr="00BE6376" w:rsidDel="00C154C4">
              <w:rPr>
                <w:rFonts w:ascii="Verdana" w:hAnsi="Verdana" w:cstheme="minorHAnsi"/>
                <w:sz w:val="20"/>
                <w:szCs w:val="20"/>
                <w:lang w:val="en-GB"/>
              </w:rPr>
              <w:t xml:space="preserve"> </w:t>
            </w:r>
            <w:r>
              <w:rPr>
                <w:rFonts w:ascii="Verdana" w:hAnsi="Verdana" w:cstheme="minorHAnsi"/>
                <w:sz w:val="20"/>
                <w:szCs w:val="20"/>
                <w:lang w:val="en-GB"/>
              </w:rPr>
              <w:t>When</w:t>
            </w:r>
            <w:r w:rsidRPr="00BE6376">
              <w:rPr>
                <w:rFonts w:ascii="Verdana" w:hAnsi="Verdana" w:cstheme="minorHAnsi"/>
                <w:sz w:val="20"/>
                <w:szCs w:val="20"/>
                <w:lang w:val="en-GB"/>
              </w:rPr>
              <w:t xml:space="preserve"> persons are incapable of signing an authorisation, a government official can visit them at home to register the authorisation.</w:t>
            </w:r>
            <w:r w:rsidRPr="00BE6376">
              <w:rPr>
                <w:rFonts w:ascii="Verdana" w:hAnsi="Verdana" w:cstheme="minorHAnsi"/>
                <w:sz w:val="20"/>
                <w:szCs w:val="20"/>
                <w:vertAlign w:val="superscript"/>
                <w:lang w:val="en-GB"/>
              </w:rPr>
              <w:footnoteReference w:id="23"/>
            </w:r>
            <w:r w:rsidRPr="00BE6376">
              <w:rPr>
                <w:rFonts w:ascii="Verdana" w:hAnsi="Verdana" w:cstheme="minorHAnsi"/>
                <w:sz w:val="20"/>
                <w:szCs w:val="20"/>
                <w:lang w:val="en-GB"/>
              </w:rPr>
              <w:t xml:space="preserve"> A special phone service was launched for visually impaired voters (</w:t>
            </w:r>
            <w:r w:rsidRPr="00BE6376">
              <w:rPr>
                <w:rFonts w:ascii="Verdana" w:hAnsi="Verdana" w:cstheme="minorHAnsi"/>
                <w:i/>
                <w:sz w:val="20"/>
                <w:szCs w:val="20"/>
                <w:lang w:val="en-GB"/>
              </w:rPr>
              <w:t>Kieslijsttelefoon</w:t>
            </w:r>
            <w:r w:rsidRPr="00BE6376">
              <w:rPr>
                <w:rFonts w:ascii="Verdana" w:hAnsi="Verdana" w:cstheme="minorHAnsi"/>
                <w:sz w:val="20"/>
                <w:szCs w:val="20"/>
                <w:lang w:val="en-GB"/>
              </w:rPr>
              <w:t>) which provides them with an audio version of the electoral list.</w:t>
            </w:r>
            <w:r>
              <w:rPr>
                <w:rStyle w:val="FootnoteReference"/>
                <w:rFonts w:ascii="Verdana" w:hAnsi="Verdana" w:cstheme="minorHAnsi"/>
                <w:sz w:val="20"/>
                <w:szCs w:val="20"/>
                <w:lang w:val="en-GB"/>
              </w:rPr>
              <w:footnoteReference w:id="24"/>
            </w:r>
          </w:p>
          <w:p w14:paraId="568284FC" w14:textId="77777777" w:rsidR="00BE3D1F" w:rsidRPr="00BE6376" w:rsidRDefault="00BE3D1F" w:rsidP="00BE6376">
            <w:pPr>
              <w:spacing w:before="240"/>
              <w:contextualSpacing/>
              <w:jc w:val="both"/>
              <w:rPr>
                <w:rFonts w:ascii="Verdana" w:hAnsi="Verdana" w:cstheme="minorHAnsi"/>
                <w:sz w:val="20"/>
                <w:szCs w:val="20"/>
                <w:lang w:val="en-GB"/>
              </w:rPr>
            </w:pPr>
          </w:p>
          <w:p w14:paraId="1E4E0359" w14:textId="6E8C3942" w:rsidR="00BE3D1F" w:rsidRDefault="00BE3D1F" w:rsidP="006921DF">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 xml:space="preserve">In October 2013 the Minister of the Interior and Kingdom Relations informed the House of Representatives about a new ballot paper which will enable visually impaired, blind and illiterate persons as well as persons who have problems understanding the Dutch language to vote on their own. A new ballot paper will be used during the upcoming European elections as an experiment.  </w:t>
            </w:r>
          </w:p>
          <w:p w14:paraId="72ECC5AB" w14:textId="77777777" w:rsidR="00BE3D1F" w:rsidRDefault="00BE3D1F" w:rsidP="006921DF">
            <w:pPr>
              <w:spacing w:before="240"/>
              <w:contextualSpacing/>
              <w:jc w:val="both"/>
              <w:rPr>
                <w:rFonts w:ascii="Verdana" w:eastAsia="Calibri" w:hAnsi="Verdana" w:cs="Times New Roman"/>
                <w:sz w:val="20"/>
                <w:szCs w:val="20"/>
                <w:lang w:val="en-GB"/>
              </w:rPr>
            </w:pPr>
          </w:p>
          <w:p w14:paraId="2C769FE6" w14:textId="0CCE2934" w:rsidR="00BE3D1F" w:rsidRPr="00BE6376" w:rsidRDefault="00BE3D1F" w:rsidP="00C154C4">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 xml:space="preserve">At the time of writing of this report, the Dutch cabinet considers the procedures </w:t>
            </w:r>
            <w:r>
              <w:rPr>
                <w:rFonts w:ascii="Verdana" w:eastAsia="Calibri" w:hAnsi="Verdana" w:cs="Times New Roman"/>
                <w:sz w:val="20"/>
                <w:szCs w:val="20"/>
                <w:lang w:val="en-GB"/>
              </w:rPr>
              <w:t>to conduct the</w:t>
            </w:r>
            <w:r w:rsidRPr="00BE6376">
              <w:rPr>
                <w:rFonts w:ascii="Verdana" w:eastAsia="Calibri" w:hAnsi="Verdana" w:cs="Times New Roman"/>
                <w:sz w:val="20"/>
                <w:szCs w:val="20"/>
                <w:lang w:val="en-GB"/>
              </w:rPr>
              <w:t xml:space="preserve"> voting</w:t>
            </w:r>
            <w:r>
              <w:rPr>
                <w:rFonts w:ascii="Verdana" w:eastAsia="Calibri" w:hAnsi="Verdana" w:cs="Times New Roman"/>
                <w:sz w:val="20"/>
                <w:szCs w:val="20"/>
                <w:lang w:val="en-GB"/>
              </w:rPr>
              <w:t xml:space="preserve"> process</w:t>
            </w:r>
            <w:r w:rsidRPr="00BE6376">
              <w:rPr>
                <w:rFonts w:ascii="Verdana" w:eastAsia="Calibri" w:hAnsi="Verdana" w:cs="Times New Roman"/>
                <w:sz w:val="20"/>
                <w:szCs w:val="20"/>
                <w:lang w:val="en-GB"/>
              </w:rPr>
              <w:t xml:space="preserve"> and the (re)introduction of electronic voting. In 2013 a research committee investigated the possibilities of electronic voting. In the report ‘Elke stem telt’ (Every vote counts), the committee states that according to the organizations that represent persons with (physical) disabilities, large groups of persons with disabilities are not able to participate in the voting process independently (there are no precise figures). Persons who are physically not able to vote by the ballot paper are allowed to call for help and ask someone else to vote for them. Because calling for help means that they have to give up their voting secret, some people do not vote at all. According to the organizations, electronic voting might improve the opportunities for persons with physical </w:t>
            </w:r>
            <w:r w:rsidRPr="00BE6376">
              <w:rPr>
                <w:rFonts w:ascii="Verdana" w:eastAsia="Calibri" w:hAnsi="Verdana" w:cs="Times New Roman"/>
                <w:sz w:val="20"/>
                <w:szCs w:val="20"/>
                <w:lang w:val="en-GB"/>
              </w:rPr>
              <w:lastRenderedPageBreak/>
              <w:t xml:space="preserve">impairments.  </w:t>
            </w:r>
          </w:p>
        </w:tc>
      </w:tr>
      <w:tr w:rsidR="00BE3D1F" w:rsidRPr="00BE6376" w14:paraId="0F50DFE5" w14:textId="77777777" w:rsidTr="00BE3D1F">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472587A9" w14:textId="77777777" w:rsidR="00BE3D1F" w:rsidRPr="00BE6376" w:rsidRDefault="00BE3D1F" w:rsidP="00BE637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lastRenderedPageBreak/>
              <w:t>Does the law foresee training for election authorities and election officials on non-discrimination on the grounds of disability, accessibility and reasonable accommodation?</w:t>
            </w:r>
          </w:p>
        </w:tc>
        <w:tc>
          <w:tcPr>
            <w:tcW w:w="9356" w:type="dxa"/>
            <w:tcBorders>
              <w:top w:val="single" w:sz="4" w:space="0" w:color="000000"/>
              <w:left w:val="single" w:sz="4" w:space="0" w:color="000000"/>
              <w:bottom w:val="single" w:sz="4" w:space="0" w:color="000000"/>
              <w:right w:val="single" w:sz="4" w:space="0" w:color="000000"/>
            </w:tcBorders>
            <w:shd w:val="clear" w:color="auto" w:fill="FFFFFF"/>
          </w:tcPr>
          <w:p w14:paraId="6AA74075" w14:textId="77777777" w:rsidR="00BE3D1F" w:rsidRPr="00BE6376" w:rsidRDefault="00BE3D1F" w:rsidP="00BE6376">
            <w:pPr>
              <w:jc w:val="both"/>
              <w:rPr>
                <w:rFonts w:ascii="Verdana" w:hAnsi="Verdana"/>
                <w:sz w:val="20"/>
                <w:szCs w:val="20"/>
              </w:rPr>
            </w:pPr>
            <w:r w:rsidRPr="00BE6376">
              <w:rPr>
                <w:rFonts w:ascii="Verdana" w:hAnsi="Verdana"/>
                <w:sz w:val="20"/>
                <w:szCs w:val="20"/>
              </w:rPr>
              <w:t>The Elections Act requires in general that election officials working in a polling station are trained so that they have sufficient knowledge and skills about the electoral process.</w:t>
            </w:r>
            <w:r w:rsidRPr="00BE6376">
              <w:rPr>
                <w:rStyle w:val="FootnoteReference"/>
                <w:rFonts w:ascii="Verdana" w:hAnsi="Verdana"/>
                <w:sz w:val="20"/>
                <w:szCs w:val="20"/>
              </w:rPr>
              <w:footnoteReference w:id="25"/>
            </w:r>
            <w:r w:rsidRPr="00BE6376">
              <w:rPr>
                <w:rFonts w:ascii="Verdana" w:hAnsi="Verdana"/>
                <w:sz w:val="20"/>
                <w:szCs w:val="20"/>
              </w:rPr>
              <w:t xml:space="preserve"> The local authorities are responsible to provide these trainings for the election officials who they appoint.</w:t>
            </w:r>
          </w:p>
          <w:p w14:paraId="06C00372" w14:textId="5C0F5FC5" w:rsidR="00BE3D1F" w:rsidRPr="00BB53E2" w:rsidRDefault="00BE3D1F" w:rsidP="00BE6376">
            <w:pPr>
              <w:spacing w:before="240"/>
              <w:contextualSpacing/>
              <w:jc w:val="both"/>
              <w:rPr>
                <w:rFonts w:ascii="Verdana" w:hAnsi="Verdana"/>
                <w:sz w:val="20"/>
                <w:szCs w:val="20"/>
                <w:lang w:val="en-GB"/>
              </w:rPr>
            </w:pPr>
            <w:r w:rsidRPr="00BE6376">
              <w:rPr>
                <w:rFonts w:ascii="Verdana" w:hAnsi="Verdana"/>
                <w:sz w:val="20"/>
                <w:szCs w:val="20"/>
                <w:lang w:val="en-GB"/>
              </w:rPr>
              <w:t>The training material for election officials working in polling stations – provided by the National Government –does not include information on accessibility.</w:t>
            </w:r>
            <w:r w:rsidRPr="00BE6376">
              <w:rPr>
                <w:rFonts w:ascii="Verdana" w:hAnsi="Verdana"/>
                <w:sz w:val="20"/>
                <w:szCs w:val="20"/>
                <w:vertAlign w:val="superscript"/>
                <w:lang w:val="en-GB"/>
              </w:rPr>
              <w:footnoteReference w:id="26"/>
            </w:r>
          </w:p>
        </w:tc>
      </w:tr>
      <w:tr w:rsidR="00BE3D1F" w:rsidRPr="00BE6376" w14:paraId="621625A9" w14:textId="77777777" w:rsidTr="00BE3D1F">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10BBAAE5" w14:textId="77777777" w:rsidR="00BE3D1F" w:rsidRPr="00BE6376" w:rsidRDefault="00BE3D1F" w:rsidP="00BE6376">
            <w:pPr>
              <w:spacing w:before="240"/>
              <w:contextualSpacing/>
              <w:jc w:val="both"/>
              <w:rPr>
                <w:rFonts w:ascii="Verdana" w:eastAsia="Calibri" w:hAnsi="Verdana" w:cs="Times New Roman"/>
                <w:sz w:val="20"/>
                <w:szCs w:val="20"/>
                <w:lang w:val="en-GB"/>
              </w:rPr>
            </w:pPr>
            <w:r w:rsidRPr="00BE6376">
              <w:rPr>
                <w:rFonts w:ascii="Verdana" w:hAnsi="Verdana"/>
                <w:sz w:val="20"/>
                <w:szCs w:val="20"/>
              </w:rPr>
              <w:t>Does the national strategy/action plan on disability cover the right to political participation of persons with disabilities?</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9EAB16" w14:textId="54D9E507" w:rsidR="00BE3D1F" w:rsidRPr="00BE6376" w:rsidRDefault="00BE3D1F" w:rsidP="00BE6376">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No national disability action plan or strategy.</w:t>
            </w:r>
          </w:p>
        </w:tc>
      </w:tr>
      <w:tr w:rsidR="00BE3D1F" w:rsidRPr="00BE6376" w14:paraId="18268A8E" w14:textId="77777777" w:rsidTr="00BE3D1F">
        <w:trPr>
          <w:trHeight w:val="454"/>
        </w:trPr>
        <w:tc>
          <w:tcPr>
            <w:tcW w:w="4150" w:type="dxa"/>
            <w:tcBorders>
              <w:top w:val="single" w:sz="4" w:space="0" w:color="000000"/>
              <w:left w:val="single" w:sz="4" w:space="0" w:color="000000"/>
              <w:bottom w:val="single" w:sz="4" w:space="0" w:color="000000"/>
            </w:tcBorders>
            <w:shd w:val="clear" w:color="auto" w:fill="FFFFFF"/>
            <w:vAlign w:val="center"/>
          </w:tcPr>
          <w:p w14:paraId="1BA0D210" w14:textId="77777777" w:rsidR="00BE3D1F" w:rsidRPr="00BE6376" w:rsidRDefault="00BE3D1F" w:rsidP="00BE637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Are all persons with disabilities, including those who have been deprived of their legal capacity, able to access redress and complaint mechanisms in cases where they have not been able to exercise the right to vote?</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A1D052A" w14:textId="1ECCE158" w:rsidR="00BE3D1F" w:rsidRDefault="00BE3D1F" w:rsidP="00BE637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All complaint procedures and redress mechanisms existing in electoral law are also available to persons with disabilities. Depending on the nature of the complaint, this can be addressed to the municipality, to a polling station in question, to one of the 19 major polling stations or to the Electoral Council (</w:t>
            </w:r>
            <w:r w:rsidRPr="00BE6376">
              <w:rPr>
                <w:rFonts w:ascii="Verdana" w:eastAsia="Calibri" w:hAnsi="Verdana" w:cs="Times New Roman"/>
                <w:i/>
                <w:sz w:val="20"/>
                <w:szCs w:val="20"/>
                <w:lang w:val="en-GB"/>
              </w:rPr>
              <w:t>Kiesraad</w:t>
            </w:r>
            <w:r w:rsidRPr="00BE6376">
              <w:rPr>
                <w:rFonts w:ascii="Verdana" w:eastAsia="Calibri" w:hAnsi="Verdana" w:cs="Times New Roman"/>
                <w:sz w:val="20"/>
                <w:szCs w:val="20"/>
                <w:lang w:val="en-GB"/>
              </w:rPr>
              <w:t>). All the complaints are collected and sent to the representative body in question, e.g. the House of Representatives or the municipal council.</w:t>
            </w:r>
            <w:r w:rsidRPr="00BE6376">
              <w:rPr>
                <w:rStyle w:val="FootnoteReference"/>
                <w:rFonts w:ascii="Verdana" w:eastAsia="Calibri" w:hAnsi="Verdana" w:cs="Times New Roman"/>
                <w:sz w:val="20"/>
                <w:szCs w:val="20"/>
                <w:lang w:val="en-GB"/>
              </w:rPr>
              <w:footnoteReference w:id="27"/>
            </w:r>
            <w:r w:rsidRPr="00BE6376">
              <w:rPr>
                <w:rFonts w:ascii="Verdana" w:eastAsia="Calibri" w:hAnsi="Verdana" w:cs="Times New Roman"/>
                <w:sz w:val="20"/>
                <w:szCs w:val="20"/>
                <w:lang w:val="en-GB"/>
              </w:rPr>
              <w:t xml:space="preserve"> </w:t>
            </w:r>
          </w:p>
          <w:p w14:paraId="23B48F76" w14:textId="77777777" w:rsidR="00BE3D1F" w:rsidRDefault="00BE3D1F" w:rsidP="00BE6376">
            <w:pPr>
              <w:spacing w:before="240"/>
              <w:contextualSpacing/>
              <w:jc w:val="both"/>
              <w:rPr>
                <w:rFonts w:ascii="Verdana" w:eastAsia="Calibri" w:hAnsi="Verdana" w:cs="Times New Roman"/>
                <w:sz w:val="20"/>
                <w:szCs w:val="20"/>
                <w:lang w:val="en-GB"/>
              </w:rPr>
            </w:pPr>
          </w:p>
          <w:p w14:paraId="36BB5024" w14:textId="565C083A" w:rsidR="00BE3D1F" w:rsidRDefault="00BE3D1F" w:rsidP="00BE637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US"/>
              </w:rPr>
              <w:t>In principle, those deprived of legal capacity can only perform official acts with expressed written consent of their curator.</w:t>
            </w:r>
            <w:r w:rsidRPr="00BE6376">
              <w:rPr>
                <w:rStyle w:val="FootnoteReference"/>
                <w:rFonts w:ascii="Verdana" w:eastAsia="Calibri" w:hAnsi="Verdana" w:cs="Times New Roman"/>
                <w:sz w:val="20"/>
                <w:szCs w:val="20"/>
                <w:lang w:val="en-US"/>
              </w:rPr>
              <w:footnoteReference w:id="28"/>
            </w:r>
            <w:r w:rsidRPr="00BE6376">
              <w:rPr>
                <w:rFonts w:ascii="Verdana" w:eastAsia="Calibri" w:hAnsi="Verdana" w:cs="Times New Roman"/>
                <w:sz w:val="20"/>
                <w:szCs w:val="20"/>
                <w:lang w:val="en-US"/>
              </w:rPr>
              <w:t xml:space="preserve"> </w:t>
            </w:r>
            <w:r w:rsidRPr="00BE6376">
              <w:rPr>
                <w:rFonts w:ascii="Verdana" w:eastAsia="Calibri" w:hAnsi="Verdana" w:cs="Times New Roman"/>
                <w:sz w:val="20"/>
                <w:szCs w:val="20"/>
                <w:lang w:val="en-GB"/>
              </w:rPr>
              <w:t>If a person is placed under mentorship, they retain their legal capacity, though their mentor is responsible for their personal affairs.</w:t>
            </w:r>
            <w:r w:rsidRPr="00BE6376">
              <w:rPr>
                <w:rStyle w:val="FootnoteReference"/>
                <w:rFonts w:ascii="Verdana" w:eastAsia="Calibri" w:hAnsi="Verdana" w:cs="Times New Roman"/>
                <w:sz w:val="20"/>
                <w:szCs w:val="20"/>
                <w:lang w:val="en-GB"/>
              </w:rPr>
              <w:footnoteReference w:id="29"/>
            </w:r>
            <w:r w:rsidRPr="00BE6376">
              <w:rPr>
                <w:rFonts w:ascii="Verdana" w:eastAsia="Calibri" w:hAnsi="Verdana" w:cs="Times New Roman"/>
                <w:sz w:val="20"/>
                <w:szCs w:val="20"/>
                <w:lang w:val="en-GB"/>
              </w:rPr>
              <w:t xml:space="preserve">  </w:t>
            </w:r>
          </w:p>
          <w:p w14:paraId="60F0550B" w14:textId="77777777" w:rsidR="00BE3D1F" w:rsidRPr="00BE6376" w:rsidRDefault="00BE3D1F" w:rsidP="00BE6376">
            <w:pPr>
              <w:spacing w:before="240"/>
              <w:contextualSpacing/>
              <w:jc w:val="both"/>
              <w:rPr>
                <w:rFonts w:ascii="Verdana" w:eastAsia="Calibri" w:hAnsi="Verdana" w:cs="Times New Roman"/>
                <w:sz w:val="20"/>
                <w:szCs w:val="20"/>
                <w:lang w:val="en-US"/>
              </w:rPr>
            </w:pPr>
          </w:p>
          <w:p w14:paraId="4AFE4840" w14:textId="34EDA697" w:rsidR="00BE3D1F" w:rsidRPr="00BE6376" w:rsidRDefault="00BE3D1F" w:rsidP="00B17AE3">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 xml:space="preserve">Regarding individual complaints which are not specifically connected to the organisation of </w:t>
            </w:r>
            <w:r w:rsidRPr="00BE6376">
              <w:rPr>
                <w:rFonts w:ascii="Verdana" w:eastAsia="Calibri" w:hAnsi="Verdana" w:cs="Times New Roman"/>
                <w:sz w:val="20"/>
                <w:szCs w:val="20"/>
                <w:lang w:val="en-GB"/>
              </w:rPr>
              <w:lastRenderedPageBreak/>
              <w:t>the voting</w:t>
            </w:r>
            <w:r>
              <w:rPr>
                <w:rFonts w:ascii="Verdana" w:eastAsia="Calibri" w:hAnsi="Verdana" w:cs="Times New Roman"/>
                <w:sz w:val="20"/>
                <w:szCs w:val="20"/>
                <w:lang w:val="en-GB"/>
              </w:rPr>
              <w:t xml:space="preserve"> process</w:t>
            </w:r>
            <w:r w:rsidRPr="00BE6376">
              <w:rPr>
                <w:rFonts w:ascii="Verdana" w:eastAsia="Calibri" w:hAnsi="Verdana" w:cs="Times New Roman"/>
                <w:sz w:val="20"/>
                <w:szCs w:val="20"/>
                <w:lang w:val="en-GB"/>
              </w:rPr>
              <w:t xml:space="preserve"> or to polling stations, individuals (including persons with disabilities), can bring their case to the Council of State (</w:t>
            </w:r>
            <w:r w:rsidRPr="00BE6376">
              <w:rPr>
                <w:rFonts w:ascii="Verdana" w:eastAsia="Calibri" w:hAnsi="Verdana" w:cs="Times New Roman"/>
                <w:i/>
                <w:sz w:val="20"/>
                <w:szCs w:val="20"/>
                <w:lang w:val="en-GB"/>
              </w:rPr>
              <w:t>Raad van State</w:t>
            </w:r>
            <w:r w:rsidRPr="00BE6376">
              <w:rPr>
                <w:rFonts w:ascii="Verdana" w:eastAsia="Calibri" w:hAnsi="Verdana" w:cs="Times New Roman"/>
                <w:sz w:val="20"/>
                <w:szCs w:val="20"/>
                <w:lang w:val="en-GB"/>
              </w:rPr>
              <w:t xml:space="preserve">). In this case, persons deprived of their legal capacity usually need the consent of their curator to pursue this course of action or the curators file the case on behalf of the persons. </w:t>
            </w:r>
          </w:p>
        </w:tc>
      </w:tr>
    </w:tbl>
    <w:p w14:paraId="53321E6C" w14:textId="77777777" w:rsidR="00225B23" w:rsidRPr="00BE6376" w:rsidRDefault="00225B23" w:rsidP="00BE6376">
      <w:pPr>
        <w:spacing w:line="240" w:lineRule="auto"/>
        <w:ind w:left="567"/>
        <w:contextualSpacing/>
        <w:jc w:val="both"/>
        <w:rPr>
          <w:rFonts w:ascii="Verdana" w:eastAsia="Calibri" w:hAnsi="Verdana" w:cs="Times New Roman"/>
          <w:b/>
          <w:sz w:val="24"/>
          <w:szCs w:val="24"/>
          <w:lang w:val="en-GB"/>
        </w:rPr>
      </w:pPr>
    </w:p>
    <w:p w14:paraId="53321E6D" w14:textId="77777777" w:rsidR="00912C69" w:rsidRDefault="005F45ED" w:rsidP="00BE6376">
      <w:pPr>
        <w:numPr>
          <w:ilvl w:val="0"/>
          <w:numId w:val="6"/>
        </w:numPr>
        <w:spacing w:after="0" w:line="240" w:lineRule="auto"/>
        <w:ind w:left="567" w:hanging="567"/>
        <w:contextualSpacing/>
        <w:jc w:val="both"/>
        <w:rPr>
          <w:rFonts w:ascii="Verdana" w:eastAsia="Calibri" w:hAnsi="Verdana" w:cs="Times New Roman"/>
          <w:b/>
          <w:sz w:val="24"/>
          <w:szCs w:val="24"/>
          <w:lang w:val="en-GB"/>
        </w:rPr>
      </w:pPr>
      <w:r w:rsidRPr="00BE6376">
        <w:rPr>
          <w:rFonts w:ascii="Verdana" w:eastAsia="Calibri" w:hAnsi="Verdana" w:cs="Times New Roman"/>
          <w:b/>
          <w:sz w:val="24"/>
          <w:szCs w:val="24"/>
          <w:lang w:val="en-GB"/>
        </w:rPr>
        <w:t>PROCESS INDICATORS</w:t>
      </w:r>
    </w:p>
    <w:p w14:paraId="53321E6E" w14:textId="77777777" w:rsidR="00821E86" w:rsidRPr="00BE6376" w:rsidRDefault="00821E86" w:rsidP="00BE6376">
      <w:pPr>
        <w:spacing w:before="240" w:line="240" w:lineRule="auto"/>
        <w:contextualSpacing/>
        <w:jc w:val="both"/>
        <w:rPr>
          <w:rFonts w:ascii="Verdana" w:eastAsia="Calibri" w:hAnsi="Verdana" w:cs="Times New Roman"/>
          <w:sz w:val="20"/>
          <w:szCs w:val="20"/>
          <w:lang w:val="en-GB"/>
        </w:rPr>
      </w:pPr>
    </w:p>
    <w:tbl>
      <w:tblPr>
        <w:tblW w:w="13580" w:type="dxa"/>
        <w:tblInd w:w="-70" w:type="dxa"/>
        <w:tblLayout w:type="fixed"/>
        <w:tblLook w:val="0000" w:firstRow="0" w:lastRow="0" w:firstColumn="0" w:lastColumn="0" w:noHBand="0" w:noVBand="0"/>
      </w:tblPr>
      <w:tblGrid>
        <w:gridCol w:w="4224"/>
        <w:gridCol w:w="9356"/>
      </w:tblGrid>
      <w:tr w:rsidR="00BE3D1F" w:rsidRPr="00BE6376" w14:paraId="5573B4C8" w14:textId="77777777" w:rsidTr="00BE3D1F">
        <w:trPr>
          <w:trHeight w:val="454"/>
        </w:trPr>
        <w:tc>
          <w:tcPr>
            <w:tcW w:w="4224" w:type="dxa"/>
            <w:tcBorders>
              <w:top w:val="single" w:sz="4" w:space="0" w:color="000000"/>
              <w:left w:val="single" w:sz="4" w:space="0" w:color="000000"/>
              <w:bottom w:val="single" w:sz="4" w:space="0" w:color="000000"/>
            </w:tcBorders>
            <w:shd w:val="clear" w:color="auto" w:fill="C6D9F1"/>
            <w:vAlign w:val="center"/>
          </w:tcPr>
          <w:p w14:paraId="12E7F9A8" w14:textId="77777777" w:rsidR="00BE3D1F" w:rsidRPr="00BE6376" w:rsidRDefault="00BE3D1F" w:rsidP="00BE6376">
            <w:pPr>
              <w:spacing w:before="240" w:after="0" w:line="100" w:lineRule="atLeast"/>
              <w:jc w:val="both"/>
              <w:rPr>
                <w:rFonts w:ascii="Verdana" w:eastAsia="Calibri" w:hAnsi="Verdana" w:cs="Times New Roman"/>
                <w:b/>
                <w:sz w:val="20"/>
                <w:szCs w:val="20"/>
                <w:lang w:val="en-GB"/>
              </w:rPr>
            </w:pPr>
            <w:r w:rsidRPr="00BE6376">
              <w:rPr>
                <w:rFonts w:ascii="Verdana" w:eastAsia="Calibri" w:hAnsi="Verdana" w:cs="Times New Roman"/>
                <w:b/>
                <w:sz w:val="20"/>
                <w:szCs w:val="20"/>
                <w:lang w:val="en-GB"/>
              </w:rPr>
              <w:t>Process indicators</w:t>
            </w:r>
          </w:p>
        </w:tc>
        <w:tc>
          <w:tcPr>
            <w:tcW w:w="9356"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5112B341" w14:textId="77777777" w:rsidR="00BE3D1F" w:rsidRPr="00BE6376" w:rsidRDefault="00BE3D1F" w:rsidP="00BE6376">
            <w:pPr>
              <w:spacing w:before="240" w:after="0" w:line="100" w:lineRule="atLeast"/>
              <w:jc w:val="both"/>
              <w:rPr>
                <w:rFonts w:ascii="Verdana" w:eastAsia="Calibri" w:hAnsi="Verdana" w:cs="Times New Roman"/>
                <w:sz w:val="20"/>
                <w:szCs w:val="20"/>
                <w:lang w:val="en-GB"/>
              </w:rPr>
            </w:pPr>
            <w:r w:rsidRPr="00BE6376">
              <w:rPr>
                <w:rFonts w:ascii="Verdana" w:eastAsia="Calibri" w:hAnsi="Verdana" w:cs="Times New Roman"/>
                <w:b/>
                <w:sz w:val="20"/>
                <w:szCs w:val="20"/>
                <w:lang w:val="en-GB"/>
              </w:rPr>
              <w:t>Source and supporting information</w:t>
            </w:r>
          </w:p>
        </w:tc>
      </w:tr>
      <w:tr w:rsidR="00BE3D1F" w:rsidRPr="00BE6376" w14:paraId="699BA60E" w14:textId="77777777" w:rsidTr="00BE3D1F">
        <w:trPr>
          <w:trHeight w:val="454"/>
        </w:trPr>
        <w:tc>
          <w:tcPr>
            <w:tcW w:w="4224" w:type="dxa"/>
            <w:tcBorders>
              <w:top w:val="single" w:sz="4" w:space="0" w:color="000000"/>
              <w:left w:val="single" w:sz="4" w:space="0" w:color="000000"/>
              <w:bottom w:val="single" w:sz="4" w:space="0" w:color="000000"/>
            </w:tcBorders>
            <w:shd w:val="clear" w:color="auto" w:fill="FFFFFF"/>
            <w:vAlign w:val="center"/>
          </w:tcPr>
          <w:p w14:paraId="782410E5" w14:textId="77777777" w:rsidR="00BE3D1F" w:rsidRPr="00BE6376" w:rsidRDefault="00BE3D1F" w:rsidP="00BE6376">
            <w:pPr>
              <w:spacing w:before="240" w:after="0" w:line="100" w:lineRule="atLeast"/>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Are there mechanisms in place to ensure that disabled people’s organisations (DPOs) are consulted and involved in the development of laws and policies in electoral matters? Please give details of the mechanisms through which DPOs are involved.</w:t>
            </w:r>
          </w:p>
        </w:tc>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AF3B59" w14:textId="0943E00C" w:rsidR="00BE3D1F" w:rsidRPr="00BE6376" w:rsidRDefault="00BE3D1F" w:rsidP="00BE637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There is no specific mechanism in place to ensure consultation of disabled people's organisations in the development of laws and policies. The main umbrella organisations representing people with disabilities at</w:t>
            </w:r>
            <w:r>
              <w:rPr>
                <w:rFonts w:ascii="Verdana" w:eastAsia="Calibri" w:hAnsi="Verdana" w:cs="Times New Roman"/>
                <w:sz w:val="20"/>
                <w:szCs w:val="20"/>
                <w:lang w:val="en-GB"/>
              </w:rPr>
              <w:t xml:space="preserve"> the</w:t>
            </w:r>
            <w:r w:rsidRPr="00BE6376">
              <w:rPr>
                <w:rFonts w:ascii="Verdana" w:eastAsia="Calibri" w:hAnsi="Verdana" w:cs="Times New Roman"/>
                <w:sz w:val="20"/>
                <w:szCs w:val="20"/>
                <w:lang w:val="en-GB"/>
              </w:rPr>
              <w:t xml:space="preserve"> national level are the Dutch Council of the Chronically ill and the Disabled (</w:t>
            </w:r>
            <w:r w:rsidRPr="00BE6376">
              <w:rPr>
                <w:rFonts w:ascii="Verdana" w:eastAsia="Calibri" w:hAnsi="Verdana" w:cs="Times New Roman"/>
                <w:i/>
                <w:sz w:val="20"/>
                <w:szCs w:val="20"/>
                <w:lang w:val="en-GB"/>
              </w:rPr>
              <w:t>CG-Raad</w:t>
            </w:r>
            <w:r w:rsidRPr="00BE6376">
              <w:rPr>
                <w:rFonts w:ascii="Verdana" w:eastAsia="Calibri" w:hAnsi="Verdana" w:cs="Times New Roman"/>
                <w:sz w:val="20"/>
                <w:szCs w:val="20"/>
                <w:lang w:val="en-GB"/>
              </w:rPr>
              <w:t>) and the Platform for Mentally Disabled Persons (</w:t>
            </w:r>
            <w:r w:rsidRPr="00BE6376">
              <w:rPr>
                <w:rFonts w:ascii="Verdana" w:eastAsia="Calibri" w:hAnsi="Verdana" w:cs="Times New Roman"/>
                <w:i/>
                <w:sz w:val="20"/>
                <w:szCs w:val="20"/>
                <w:lang w:val="en-GB"/>
              </w:rPr>
              <w:t>Platform VG</w:t>
            </w:r>
            <w:r w:rsidRPr="00BE6376">
              <w:rPr>
                <w:rFonts w:ascii="Verdana" w:eastAsia="Calibri" w:hAnsi="Verdana" w:cs="Times New Roman"/>
                <w:sz w:val="20"/>
                <w:szCs w:val="20"/>
                <w:lang w:val="en-GB"/>
              </w:rPr>
              <w:t>) which are in a process of merging.</w:t>
            </w:r>
            <w:r w:rsidRPr="00BE6376">
              <w:rPr>
                <w:rStyle w:val="FootnoteReference"/>
                <w:rFonts w:ascii="Verdana" w:eastAsia="Calibri" w:hAnsi="Verdana" w:cs="Times New Roman"/>
                <w:sz w:val="20"/>
                <w:szCs w:val="20"/>
                <w:lang w:val="en-GB"/>
              </w:rPr>
              <w:footnoteReference w:id="30"/>
            </w:r>
            <w:r w:rsidRPr="00BE6376">
              <w:rPr>
                <w:rFonts w:ascii="Verdana" w:eastAsia="Calibri" w:hAnsi="Verdana" w:cs="Times New Roman"/>
                <w:sz w:val="20"/>
                <w:szCs w:val="20"/>
                <w:lang w:val="en-GB"/>
              </w:rPr>
              <w:t xml:space="preserve"> These organisations try to influence policy-making processes and represent disabled people's organisations and disabled people themselves in discussions with policy makers, but not in the framework of a formalised mechanism.</w:t>
            </w:r>
            <w:r w:rsidRPr="00BE6376">
              <w:rPr>
                <w:rStyle w:val="FootnoteReference"/>
                <w:rFonts w:ascii="Verdana" w:eastAsia="Calibri" w:hAnsi="Verdana" w:cs="Times New Roman"/>
                <w:sz w:val="20"/>
                <w:szCs w:val="20"/>
                <w:lang w:val="en-GB"/>
              </w:rPr>
              <w:footnoteReference w:id="31"/>
            </w:r>
            <w:r w:rsidRPr="00BE6376">
              <w:rPr>
                <w:rFonts w:ascii="Verdana" w:eastAsia="Calibri" w:hAnsi="Verdana" w:cs="Times New Roman"/>
                <w:sz w:val="20"/>
                <w:szCs w:val="20"/>
                <w:lang w:val="en-GB"/>
              </w:rPr>
              <w:t xml:space="preserve"> </w:t>
            </w:r>
          </w:p>
          <w:p w14:paraId="2584AB9C" w14:textId="77777777" w:rsidR="00BE3D1F" w:rsidRPr="00BE6376" w:rsidRDefault="00BE3D1F" w:rsidP="00BE6376">
            <w:pPr>
              <w:spacing w:before="240"/>
              <w:contextualSpacing/>
              <w:jc w:val="both"/>
              <w:rPr>
                <w:rFonts w:ascii="Verdana" w:eastAsia="Calibri" w:hAnsi="Verdana" w:cs="Times New Roman"/>
                <w:sz w:val="20"/>
                <w:szCs w:val="20"/>
                <w:lang w:val="en-GB"/>
              </w:rPr>
            </w:pPr>
          </w:p>
          <w:p w14:paraId="7465347D" w14:textId="394B6F85" w:rsidR="00BE3D1F" w:rsidRPr="00BE6376" w:rsidRDefault="00BE3D1F" w:rsidP="00BB53E2">
            <w:pPr>
              <w:jc w:val="both"/>
              <w:rPr>
                <w:rFonts w:ascii="Verdana" w:eastAsia="Calibri" w:hAnsi="Verdana" w:cs="Times New Roman"/>
                <w:sz w:val="20"/>
                <w:szCs w:val="20"/>
                <w:lang w:val="en-GB"/>
              </w:rPr>
            </w:pPr>
            <w:r>
              <w:rPr>
                <w:rFonts w:ascii="Verdana" w:eastAsia="Calibri" w:hAnsi="Verdana" w:cs="Times New Roman"/>
                <w:sz w:val="20"/>
                <w:szCs w:val="20"/>
                <w:lang w:val="en-GB"/>
              </w:rPr>
              <w:t>Furthermore, t</w:t>
            </w:r>
            <w:r w:rsidRPr="00BE6376">
              <w:rPr>
                <w:rFonts w:ascii="Verdana" w:eastAsia="Calibri" w:hAnsi="Verdana" w:cs="Times New Roman"/>
                <w:sz w:val="20"/>
                <w:szCs w:val="20"/>
                <w:lang w:val="en-GB"/>
              </w:rPr>
              <w:t>he Social Support Act asks municipalities to involve citizens (with disabilities). Though it is not required, target groups are often involved in policy making.</w:t>
            </w:r>
          </w:p>
        </w:tc>
      </w:tr>
      <w:tr w:rsidR="00BE3D1F" w:rsidRPr="00BE6376" w14:paraId="3D03E609" w14:textId="77777777" w:rsidTr="00BE3D1F">
        <w:trPr>
          <w:trHeight w:val="454"/>
        </w:trPr>
        <w:tc>
          <w:tcPr>
            <w:tcW w:w="4224" w:type="dxa"/>
            <w:tcBorders>
              <w:top w:val="single" w:sz="4" w:space="0" w:color="000000"/>
              <w:left w:val="single" w:sz="4" w:space="0" w:color="000000"/>
              <w:bottom w:val="single" w:sz="4" w:space="0" w:color="000000"/>
            </w:tcBorders>
            <w:shd w:val="clear" w:color="auto" w:fill="FFFFFF"/>
            <w:vAlign w:val="center"/>
          </w:tcPr>
          <w:p w14:paraId="29091E1B" w14:textId="77777777" w:rsidR="00BE3D1F" w:rsidRPr="00BE6376" w:rsidRDefault="00BE3D1F" w:rsidP="00BE6376">
            <w:pPr>
              <w:jc w:val="both"/>
              <w:rPr>
                <w:rFonts w:ascii="Verdana" w:hAnsi="Verdana"/>
                <w:sz w:val="20"/>
                <w:szCs w:val="20"/>
              </w:rPr>
            </w:pPr>
            <w:r w:rsidRPr="00BE6376">
              <w:rPr>
                <w:rFonts w:ascii="Verdana" w:hAnsi="Verdana"/>
                <w:sz w:val="20"/>
                <w:szCs w:val="20"/>
              </w:rPr>
              <w:t>Have national judicial redress mechanisms considered any cases related to the right to political participation of persons with disabilities?</w:t>
            </w:r>
          </w:p>
          <w:p w14:paraId="5DD4C1C1" w14:textId="77777777" w:rsidR="00BE3D1F" w:rsidRPr="00BE6376" w:rsidRDefault="00BE3D1F" w:rsidP="00BE6376">
            <w:pPr>
              <w:spacing w:before="240"/>
              <w:contextualSpacing/>
              <w:jc w:val="both"/>
              <w:rPr>
                <w:rFonts w:ascii="Verdana" w:eastAsia="Calibri" w:hAnsi="Verdana" w:cs="Times New Roman"/>
                <w:sz w:val="20"/>
                <w:szCs w:val="20"/>
                <w:lang w:val="en-GB"/>
              </w:rPr>
            </w:pPr>
            <w:r w:rsidRPr="00BE6376">
              <w:rPr>
                <w:rFonts w:ascii="Verdana" w:hAnsi="Verdana"/>
                <w:sz w:val="20"/>
                <w:szCs w:val="20"/>
              </w:rPr>
              <w:t xml:space="preserve">Please give details of relevant case law and any available data on the number </w:t>
            </w:r>
            <w:r w:rsidRPr="00BE6376">
              <w:rPr>
                <w:rFonts w:ascii="Verdana" w:hAnsi="Verdana"/>
                <w:sz w:val="20"/>
                <w:szCs w:val="20"/>
              </w:rPr>
              <w:lastRenderedPageBreak/>
              <w:t>of such cases.</w:t>
            </w:r>
          </w:p>
        </w:tc>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7B82C7" w14:textId="3636DB53" w:rsidR="00BE3D1F" w:rsidRDefault="00BE3D1F" w:rsidP="00BE6376">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lastRenderedPageBreak/>
              <w:t xml:space="preserve">The administrative division of the </w:t>
            </w:r>
            <w:r w:rsidRPr="00BE6376">
              <w:rPr>
                <w:rFonts w:ascii="Verdana" w:eastAsia="Calibri" w:hAnsi="Verdana" w:cs="Times New Roman"/>
                <w:sz w:val="20"/>
                <w:szCs w:val="20"/>
                <w:lang w:val="en-GB"/>
              </w:rPr>
              <w:t>Council of State</w:t>
            </w:r>
            <w:r>
              <w:rPr>
                <w:rFonts w:ascii="Verdana" w:eastAsia="Calibri" w:hAnsi="Verdana" w:cs="Times New Roman"/>
                <w:sz w:val="20"/>
                <w:szCs w:val="20"/>
                <w:lang w:val="en-GB"/>
              </w:rPr>
              <w:t xml:space="preserve"> took a decision regarding the case </w:t>
            </w:r>
            <w:r w:rsidRPr="00BE6376">
              <w:rPr>
                <w:rFonts w:ascii="Verdana" w:eastAsia="Calibri" w:hAnsi="Verdana" w:cs="Times New Roman"/>
                <w:sz w:val="20"/>
                <w:szCs w:val="20"/>
                <w:lang w:val="en-GB"/>
              </w:rPr>
              <w:t xml:space="preserve"> of a person who was placed under curatorship and, as a consequence of the then applicable law, was excluded from participating in an election</w:t>
            </w:r>
            <w:r>
              <w:rPr>
                <w:rFonts w:ascii="Verdana" w:eastAsia="Calibri" w:hAnsi="Verdana" w:cs="Times New Roman"/>
                <w:sz w:val="20"/>
                <w:szCs w:val="20"/>
                <w:lang w:val="en-GB"/>
              </w:rPr>
              <w:t>, on the 29</w:t>
            </w:r>
            <w:r w:rsidRPr="00D05F7D">
              <w:rPr>
                <w:rFonts w:ascii="Verdana" w:eastAsia="Calibri" w:hAnsi="Verdana" w:cs="Times New Roman"/>
                <w:sz w:val="20"/>
                <w:szCs w:val="20"/>
                <w:vertAlign w:val="superscript"/>
                <w:lang w:val="en-GB"/>
              </w:rPr>
              <w:t>th</w:t>
            </w:r>
            <w:r>
              <w:rPr>
                <w:rFonts w:ascii="Verdana" w:eastAsia="Calibri" w:hAnsi="Verdana" w:cs="Times New Roman"/>
                <w:sz w:val="20"/>
                <w:szCs w:val="20"/>
                <w:lang w:val="en-GB"/>
              </w:rPr>
              <w:t xml:space="preserve"> of October 2003</w:t>
            </w:r>
            <w:r w:rsidRPr="00BE6376">
              <w:rPr>
                <w:rFonts w:ascii="Verdana" w:eastAsia="Calibri" w:hAnsi="Verdana" w:cs="Times New Roman"/>
                <w:sz w:val="20"/>
                <w:szCs w:val="20"/>
                <w:lang w:val="en-GB"/>
              </w:rPr>
              <w:t xml:space="preserve">. </w:t>
            </w:r>
          </w:p>
          <w:p w14:paraId="2EBCE207" w14:textId="77777777" w:rsidR="00BE3D1F" w:rsidRDefault="00BE3D1F" w:rsidP="00BE6376">
            <w:pPr>
              <w:spacing w:before="240"/>
              <w:contextualSpacing/>
              <w:jc w:val="both"/>
              <w:rPr>
                <w:rFonts w:ascii="Verdana" w:eastAsia="Calibri" w:hAnsi="Verdana" w:cs="Times New Roman"/>
                <w:sz w:val="20"/>
                <w:szCs w:val="20"/>
                <w:lang w:val="en-GB"/>
              </w:rPr>
            </w:pPr>
          </w:p>
          <w:p w14:paraId="58E78B13" w14:textId="7188D218" w:rsidR="00BE3D1F" w:rsidRDefault="00BE3D1F" w:rsidP="00BE637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 xml:space="preserve">The Council concluded that the exclusion of people who are placed under curatorship from electoral rights, could, in specific cases, be an infringement of the International Covenant on Civil and Political Rights (ICCPR). The Council did not approve the appeal of the person </w:t>
            </w:r>
            <w:r w:rsidRPr="00BE6376">
              <w:rPr>
                <w:rFonts w:ascii="Verdana" w:eastAsia="Calibri" w:hAnsi="Verdana" w:cs="Times New Roman"/>
                <w:sz w:val="20"/>
                <w:szCs w:val="20"/>
                <w:lang w:val="en-GB"/>
              </w:rPr>
              <w:lastRenderedPageBreak/>
              <w:t>in question, since it considered it a responsibility of the legislative bodies to improve the situation and not of the judicial branch.</w:t>
            </w:r>
            <w:r w:rsidRPr="00BE6376">
              <w:rPr>
                <w:rStyle w:val="FootnoteReference"/>
                <w:rFonts w:ascii="Verdana" w:eastAsia="Calibri" w:hAnsi="Verdana" w:cs="Times New Roman"/>
                <w:sz w:val="20"/>
                <w:szCs w:val="20"/>
                <w:lang w:val="en-GB"/>
              </w:rPr>
              <w:footnoteReference w:id="32"/>
            </w:r>
          </w:p>
          <w:p w14:paraId="4E6ED1B9" w14:textId="77777777" w:rsidR="00BE3D1F" w:rsidRPr="00BE6376" w:rsidRDefault="00BE3D1F" w:rsidP="00BE6376">
            <w:pPr>
              <w:spacing w:before="240"/>
              <w:contextualSpacing/>
              <w:jc w:val="both"/>
              <w:rPr>
                <w:rFonts w:ascii="Verdana" w:eastAsia="Calibri" w:hAnsi="Verdana" w:cs="Times New Roman"/>
                <w:sz w:val="20"/>
                <w:szCs w:val="20"/>
                <w:lang w:val="en-GB"/>
              </w:rPr>
            </w:pPr>
          </w:p>
          <w:p w14:paraId="45CF4E84" w14:textId="1E021504" w:rsidR="00BE3D1F" w:rsidRPr="00BE6376" w:rsidRDefault="00BE3D1F" w:rsidP="00BE637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This case eventually led to a change in the constitution, removing the exclusion of people placed under curatorship.</w:t>
            </w:r>
            <w:r w:rsidRPr="00BE6376">
              <w:rPr>
                <w:rStyle w:val="FootnoteReference"/>
                <w:rFonts w:ascii="Verdana" w:eastAsia="Calibri" w:hAnsi="Verdana" w:cs="Times New Roman"/>
                <w:sz w:val="20"/>
                <w:szCs w:val="20"/>
                <w:lang w:val="en-GB"/>
              </w:rPr>
              <w:footnoteReference w:id="33"/>
            </w:r>
          </w:p>
        </w:tc>
      </w:tr>
      <w:tr w:rsidR="00BE3D1F" w:rsidRPr="00BE6376" w14:paraId="59CFFC60" w14:textId="77777777" w:rsidTr="00BE3D1F">
        <w:trPr>
          <w:trHeight w:val="454"/>
        </w:trPr>
        <w:tc>
          <w:tcPr>
            <w:tcW w:w="4224" w:type="dxa"/>
            <w:tcBorders>
              <w:top w:val="single" w:sz="4" w:space="0" w:color="000000"/>
              <w:left w:val="single" w:sz="4" w:space="0" w:color="000000"/>
              <w:bottom w:val="single" w:sz="4" w:space="0" w:color="000000"/>
            </w:tcBorders>
            <w:shd w:val="clear" w:color="auto" w:fill="FFFFFF"/>
            <w:vAlign w:val="center"/>
          </w:tcPr>
          <w:p w14:paraId="6C27F22C" w14:textId="77777777" w:rsidR="00BE3D1F" w:rsidRPr="00BE6376" w:rsidRDefault="00BE3D1F" w:rsidP="00BE6376">
            <w:pPr>
              <w:jc w:val="both"/>
              <w:rPr>
                <w:rFonts w:ascii="Verdana" w:hAnsi="Verdana"/>
                <w:sz w:val="20"/>
                <w:szCs w:val="20"/>
              </w:rPr>
            </w:pPr>
            <w:r w:rsidRPr="00BE6376">
              <w:rPr>
                <w:rFonts w:ascii="Verdana" w:hAnsi="Verdana"/>
                <w:sz w:val="20"/>
                <w:szCs w:val="20"/>
              </w:rPr>
              <w:lastRenderedPageBreak/>
              <w:t>Have national non-judicial redress mechanisms (e.g. National Human Rights Institutions, Equality Bodies, Ombuds institutions) considered any cases related to the right to political participation of persons with disabilities?</w:t>
            </w:r>
          </w:p>
          <w:p w14:paraId="53826A82" w14:textId="77777777" w:rsidR="00BE3D1F" w:rsidRPr="00BE6376" w:rsidRDefault="00BE3D1F" w:rsidP="00BE6376">
            <w:pPr>
              <w:spacing w:before="240"/>
              <w:contextualSpacing/>
              <w:jc w:val="both"/>
              <w:rPr>
                <w:rFonts w:ascii="Verdana" w:eastAsia="Calibri" w:hAnsi="Verdana" w:cs="Times New Roman"/>
                <w:sz w:val="20"/>
                <w:szCs w:val="20"/>
                <w:lang w:val="en-GB"/>
              </w:rPr>
            </w:pPr>
            <w:r w:rsidRPr="00BE6376">
              <w:rPr>
                <w:rFonts w:ascii="Verdana" w:hAnsi="Verdana"/>
                <w:sz w:val="20"/>
                <w:szCs w:val="20"/>
              </w:rPr>
              <w:t>Please give details of relevant case law and any available data on the number of such cases.</w:t>
            </w:r>
          </w:p>
        </w:tc>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781FEE" w14:textId="3CAE6483" w:rsidR="00BE3D1F" w:rsidRDefault="00BE3D1F" w:rsidP="00BE637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 xml:space="preserve">There are no decisions </w:t>
            </w:r>
            <w:r>
              <w:rPr>
                <w:rFonts w:ascii="Verdana" w:eastAsia="Calibri" w:hAnsi="Verdana" w:cs="Times New Roman"/>
                <w:sz w:val="20"/>
                <w:szCs w:val="20"/>
                <w:lang w:val="en-GB"/>
              </w:rPr>
              <w:t>of</w:t>
            </w:r>
            <w:r w:rsidRPr="00BE6376">
              <w:rPr>
                <w:rFonts w:ascii="Verdana" w:eastAsia="Calibri" w:hAnsi="Verdana" w:cs="Times New Roman"/>
                <w:sz w:val="20"/>
                <w:szCs w:val="20"/>
                <w:lang w:val="en-GB"/>
              </w:rPr>
              <w:t xml:space="preserve"> the National Ombudsman or the national human rights institution</w:t>
            </w:r>
            <w:r>
              <w:rPr>
                <w:rFonts w:ascii="Verdana" w:eastAsia="Calibri" w:hAnsi="Verdana" w:cs="Times New Roman"/>
                <w:sz w:val="20"/>
                <w:szCs w:val="20"/>
                <w:lang w:val="en-GB"/>
              </w:rPr>
              <w:t xml:space="preserve"> related to the right to political participation of persons with disabilities</w:t>
            </w:r>
            <w:r w:rsidRPr="00BE6376">
              <w:rPr>
                <w:rFonts w:ascii="Verdana" w:eastAsia="Calibri" w:hAnsi="Verdana" w:cs="Times New Roman"/>
                <w:sz w:val="20"/>
                <w:szCs w:val="20"/>
                <w:lang w:val="en-GB"/>
              </w:rPr>
              <w:t>.</w:t>
            </w:r>
          </w:p>
          <w:p w14:paraId="19355C19" w14:textId="77777777" w:rsidR="00BE3D1F" w:rsidRDefault="00BE3D1F" w:rsidP="00BE6376">
            <w:pPr>
              <w:spacing w:before="240"/>
              <w:contextualSpacing/>
              <w:jc w:val="both"/>
              <w:rPr>
                <w:rFonts w:ascii="Verdana" w:eastAsia="Calibri" w:hAnsi="Verdana" w:cs="Times New Roman"/>
                <w:sz w:val="20"/>
                <w:szCs w:val="20"/>
                <w:lang w:val="en-GB"/>
              </w:rPr>
            </w:pPr>
          </w:p>
          <w:p w14:paraId="5712B05A" w14:textId="336DDFF4" w:rsidR="00BE3D1F" w:rsidRPr="00BE6376" w:rsidRDefault="00BE3D1F" w:rsidP="00BE637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 xml:space="preserve">The Electoral Code does not fall under the remit of the national human rights institution (Netherlands Institute for Human Rights, </w:t>
            </w:r>
            <w:r w:rsidRPr="00BE6376">
              <w:rPr>
                <w:rFonts w:ascii="Verdana" w:eastAsia="Calibri" w:hAnsi="Verdana" w:cs="Times New Roman"/>
                <w:i/>
                <w:sz w:val="20"/>
                <w:szCs w:val="20"/>
                <w:lang w:val="en-GB"/>
              </w:rPr>
              <w:t>College voor de Rechten van de Mens</w:t>
            </w:r>
            <w:r w:rsidRPr="00BE6376">
              <w:rPr>
                <w:rFonts w:ascii="Verdana" w:eastAsia="Calibri" w:hAnsi="Verdana" w:cs="Times New Roman"/>
                <w:sz w:val="20"/>
                <w:szCs w:val="20"/>
                <w:lang w:val="en-GB"/>
              </w:rPr>
              <w:t xml:space="preserve">). </w:t>
            </w:r>
          </w:p>
          <w:p w14:paraId="2F1AF75C" w14:textId="77777777" w:rsidR="00BE3D1F" w:rsidRDefault="00BE3D1F" w:rsidP="00BE6376">
            <w:pPr>
              <w:spacing w:before="240"/>
              <w:contextualSpacing/>
              <w:jc w:val="both"/>
              <w:rPr>
                <w:rFonts w:ascii="Verdana" w:eastAsia="Calibri" w:hAnsi="Verdana" w:cs="Times New Roman"/>
                <w:sz w:val="20"/>
                <w:szCs w:val="20"/>
                <w:lang w:val="en-GB"/>
              </w:rPr>
            </w:pPr>
          </w:p>
          <w:p w14:paraId="03045F7D" w14:textId="49DB15E6" w:rsidR="00BE3D1F" w:rsidRPr="00BE6376" w:rsidRDefault="00BE3D1F" w:rsidP="004E4F4F">
            <w:pPr>
              <w:spacing w:before="240"/>
              <w:contextualSpacing/>
              <w:jc w:val="both"/>
              <w:rPr>
                <w:rFonts w:ascii="Verdana" w:eastAsia="Calibri" w:hAnsi="Verdana" w:cs="Times New Roman"/>
                <w:sz w:val="20"/>
                <w:szCs w:val="20"/>
                <w:lang w:val="en-GB"/>
              </w:rPr>
            </w:pPr>
            <w:r>
              <w:rPr>
                <w:rFonts w:ascii="Verdana" w:eastAsia="Calibri" w:hAnsi="Verdana" w:cs="Times New Roman"/>
                <w:sz w:val="20"/>
                <w:szCs w:val="20"/>
                <w:lang w:val="en-GB"/>
              </w:rPr>
              <w:t xml:space="preserve"> A search of the </w:t>
            </w:r>
            <w:r w:rsidRPr="00BE6376">
              <w:rPr>
                <w:rFonts w:ascii="Verdana" w:eastAsia="Calibri" w:hAnsi="Verdana" w:cs="Times New Roman"/>
                <w:sz w:val="20"/>
                <w:szCs w:val="20"/>
                <w:lang w:val="en-GB"/>
              </w:rPr>
              <w:t>database of the Netherlands Institute for Human Rights was conducted which yielded no results.</w:t>
            </w:r>
            <w:r w:rsidRPr="00BE6376">
              <w:rPr>
                <w:rStyle w:val="FootnoteReference"/>
                <w:rFonts w:ascii="Verdana" w:eastAsia="Calibri" w:hAnsi="Verdana" w:cs="Times New Roman"/>
                <w:sz w:val="20"/>
                <w:szCs w:val="20"/>
                <w:lang w:val="en-GB"/>
              </w:rPr>
              <w:footnoteReference w:id="34"/>
            </w:r>
          </w:p>
        </w:tc>
      </w:tr>
      <w:tr w:rsidR="00BE3D1F" w:rsidRPr="00BE6376" w14:paraId="36D47365" w14:textId="77777777" w:rsidTr="00BE3D1F">
        <w:trPr>
          <w:trHeight w:val="454"/>
        </w:trPr>
        <w:tc>
          <w:tcPr>
            <w:tcW w:w="4224" w:type="dxa"/>
            <w:tcBorders>
              <w:top w:val="single" w:sz="4" w:space="0" w:color="000000"/>
              <w:left w:val="single" w:sz="4" w:space="0" w:color="000000"/>
              <w:bottom w:val="single" w:sz="4" w:space="0" w:color="000000"/>
            </w:tcBorders>
            <w:shd w:val="clear" w:color="auto" w:fill="FFFFFF"/>
            <w:vAlign w:val="center"/>
          </w:tcPr>
          <w:p w14:paraId="158D0ECE" w14:textId="77777777" w:rsidR="00BE3D1F" w:rsidRPr="00BE6376" w:rsidRDefault="00BE3D1F" w:rsidP="00BE6376">
            <w:pPr>
              <w:jc w:val="both"/>
              <w:rPr>
                <w:rFonts w:ascii="Verdana" w:hAnsi="Verdana"/>
                <w:sz w:val="20"/>
                <w:szCs w:val="20"/>
              </w:rPr>
            </w:pPr>
            <w:r w:rsidRPr="00BE6376">
              <w:rPr>
                <w:rFonts w:ascii="Verdana" w:eastAsia="Calibri" w:hAnsi="Verdana" w:cs="Times New Roman"/>
                <w:sz w:val="20"/>
                <w:szCs w:val="20"/>
                <w:lang w:val="en-GB"/>
              </w:rPr>
              <w:t xml:space="preserve">Is information about how and where to complain in the case of problems with exercising the right to political participation accessible to all persons </w:t>
            </w:r>
            <w:r w:rsidRPr="00BE6376">
              <w:rPr>
                <w:rFonts w:ascii="Verdana" w:eastAsia="Calibri" w:hAnsi="Verdana" w:cs="Times New Roman"/>
                <w:sz w:val="20"/>
                <w:szCs w:val="20"/>
                <w:lang w:val="en-GB"/>
              </w:rPr>
              <w:lastRenderedPageBreak/>
              <w:t>with disabilities?</w:t>
            </w:r>
            <w:r w:rsidRPr="00BE6376">
              <w:rPr>
                <w:rStyle w:val="CommentReference"/>
                <w:rFonts w:ascii="Verdana" w:hAnsi="Verdana"/>
                <w:sz w:val="20"/>
                <w:szCs w:val="20"/>
              </w:rPr>
              <w:t xml:space="preserve"> </w:t>
            </w:r>
          </w:p>
        </w:tc>
        <w:tc>
          <w:tcPr>
            <w:tcW w:w="93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7AA46" w14:textId="518682CE" w:rsidR="00BE3D1F" w:rsidRDefault="00BE3D1F" w:rsidP="004E4F4F">
            <w:pPr>
              <w:spacing w:before="240"/>
              <w:contextualSpacing/>
              <w:jc w:val="both"/>
              <w:rPr>
                <w:rFonts w:ascii="Verdana" w:eastAsia="Calibri" w:hAnsi="Verdana" w:cs="Times New Roman"/>
                <w:sz w:val="20"/>
                <w:szCs w:val="20"/>
                <w:lang w:val="en-US"/>
              </w:rPr>
            </w:pPr>
            <w:r>
              <w:rPr>
                <w:rFonts w:ascii="Verdana" w:eastAsia="Calibri" w:hAnsi="Verdana" w:cs="Times New Roman"/>
                <w:sz w:val="20"/>
                <w:szCs w:val="20"/>
                <w:lang w:val="en-US"/>
              </w:rPr>
              <w:lastRenderedPageBreak/>
              <w:t>V</w:t>
            </w:r>
            <w:r w:rsidRPr="00BE6376">
              <w:rPr>
                <w:rFonts w:ascii="Verdana" w:eastAsia="Calibri" w:hAnsi="Verdana" w:cs="Times New Roman"/>
                <w:sz w:val="20"/>
                <w:szCs w:val="20"/>
                <w:lang w:val="en-US"/>
              </w:rPr>
              <w:t>oters can register complaints at their polling station, or address their complaints to the Electoral Council. Information about the complaints procedure is provided on the website of the national government which complies with the accessibility criteria relating to public websites.</w:t>
            </w:r>
            <w:r w:rsidRPr="00BE6376">
              <w:rPr>
                <w:rStyle w:val="FootnoteReference"/>
                <w:rFonts w:ascii="Verdana" w:eastAsia="Calibri" w:hAnsi="Verdana" w:cs="Times New Roman"/>
                <w:sz w:val="20"/>
                <w:szCs w:val="20"/>
                <w:lang w:val="en-US"/>
              </w:rPr>
              <w:footnoteReference w:id="35"/>
            </w:r>
            <w:r w:rsidRPr="00BE6376">
              <w:rPr>
                <w:rFonts w:ascii="Verdana" w:eastAsia="Calibri" w:hAnsi="Verdana" w:cs="Times New Roman"/>
                <w:sz w:val="20"/>
                <w:szCs w:val="20"/>
                <w:lang w:val="en-US"/>
              </w:rPr>
              <w:t xml:space="preserve"> </w:t>
            </w:r>
          </w:p>
          <w:p w14:paraId="4678C4A7" w14:textId="77777777" w:rsidR="00BE3D1F" w:rsidRDefault="00BE3D1F" w:rsidP="004E4F4F">
            <w:pPr>
              <w:spacing w:before="240"/>
              <w:contextualSpacing/>
              <w:jc w:val="both"/>
              <w:rPr>
                <w:rFonts w:ascii="Verdana" w:eastAsia="Calibri" w:hAnsi="Verdana" w:cs="Times New Roman"/>
                <w:sz w:val="20"/>
                <w:szCs w:val="20"/>
                <w:lang w:val="en-US"/>
              </w:rPr>
            </w:pPr>
          </w:p>
          <w:p w14:paraId="221D0898" w14:textId="77777777" w:rsidR="00BE3D1F" w:rsidRDefault="00BE3D1F" w:rsidP="004E4F4F">
            <w:pPr>
              <w:spacing w:before="240"/>
              <w:contextualSpacing/>
              <w:jc w:val="both"/>
              <w:rPr>
                <w:rFonts w:ascii="Verdana" w:eastAsia="Calibri" w:hAnsi="Verdana" w:cs="Times New Roman"/>
                <w:sz w:val="20"/>
                <w:szCs w:val="20"/>
                <w:lang w:val="en-US"/>
              </w:rPr>
            </w:pPr>
            <w:r w:rsidRPr="00BE6376">
              <w:rPr>
                <w:rFonts w:ascii="Verdana" w:eastAsia="Calibri" w:hAnsi="Verdana" w:cs="Times New Roman"/>
                <w:sz w:val="20"/>
                <w:szCs w:val="20"/>
                <w:lang w:val="en-US"/>
              </w:rPr>
              <w:t>The Electoral Council also provides information regarding the organisation of the elections</w:t>
            </w:r>
            <w:r w:rsidRPr="00BE6376">
              <w:rPr>
                <w:rStyle w:val="FootnoteReference"/>
                <w:rFonts w:ascii="Verdana" w:eastAsia="Calibri" w:hAnsi="Verdana" w:cs="Times New Roman"/>
                <w:sz w:val="20"/>
                <w:szCs w:val="20"/>
                <w:lang w:val="en-US"/>
              </w:rPr>
              <w:footnoteReference w:id="36"/>
            </w:r>
            <w:r w:rsidRPr="00BE6376">
              <w:rPr>
                <w:rFonts w:ascii="Verdana" w:eastAsia="Calibri" w:hAnsi="Verdana" w:cs="Times New Roman"/>
                <w:sz w:val="20"/>
                <w:szCs w:val="20"/>
                <w:lang w:val="en-US"/>
              </w:rPr>
              <w:t xml:space="preserve"> and accessibility and assistance measures for persons with disabilities</w:t>
            </w:r>
            <w:r w:rsidRPr="00BE6376">
              <w:rPr>
                <w:rStyle w:val="FootnoteReference"/>
                <w:rFonts w:ascii="Verdana" w:eastAsia="Calibri" w:hAnsi="Verdana" w:cs="Times New Roman"/>
                <w:sz w:val="20"/>
                <w:szCs w:val="20"/>
                <w:lang w:val="en-US"/>
              </w:rPr>
              <w:footnoteReference w:id="37"/>
            </w:r>
            <w:r w:rsidRPr="00BE6376">
              <w:rPr>
                <w:rFonts w:ascii="Verdana" w:eastAsia="Calibri" w:hAnsi="Verdana" w:cs="Times New Roman"/>
                <w:sz w:val="20"/>
                <w:szCs w:val="20"/>
                <w:lang w:val="en-US"/>
              </w:rPr>
              <w:t xml:space="preserve"> on its website. </w:t>
            </w:r>
          </w:p>
          <w:p w14:paraId="700FDC53" w14:textId="77777777" w:rsidR="00BE3D1F" w:rsidRDefault="00BE3D1F" w:rsidP="004E4F4F">
            <w:pPr>
              <w:spacing w:before="240"/>
              <w:contextualSpacing/>
              <w:jc w:val="both"/>
              <w:rPr>
                <w:rFonts w:ascii="Verdana" w:eastAsia="Calibri" w:hAnsi="Verdana" w:cs="Times New Roman"/>
                <w:sz w:val="20"/>
                <w:szCs w:val="20"/>
                <w:lang w:val="en-US"/>
              </w:rPr>
            </w:pPr>
          </w:p>
          <w:p w14:paraId="503C5D4F" w14:textId="50ECE9CF" w:rsidR="00BE3D1F" w:rsidRPr="00BE6376" w:rsidRDefault="00BE3D1F" w:rsidP="004E4F4F">
            <w:pPr>
              <w:spacing w:before="240"/>
              <w:contextualSpacing/>
              <w:jc w:val="both"/>
              <w:rPr>
                <w:rFonts w:ascii="Verdana" w:eastAsia="Calibri" w:hAnsi="Verdana" w:cs="Times New Roman"/>
                <w:sz w:val="20"/>
                <w:szCs w:val="20"/>
                <w:lang w:val="en-US"/>
              </w:rPr>
            </w:pPr>
            <w:r w:rsidRPr="00BE6376">
              <w:rPr>
                <w:rFonts w:ascii="Verdana" w:eastAsia="Calibri" w:hAnsi="Verdana" w:cs="Times New Roman"/>
                <w:sz w:val="20"/>
                <w:szCs w:val="20"/>
                <w:lang w:val="en-US"/>
              </w:rPr>
              <w:t>This website does not have an accessibility certificate, but does include some accessibility features, such as a variable font size. In general, it is the responsibility of the Ministry of the Interior to ensure the accessibility of this information.</w:t>
            </w:r>
            <w:r w:rsidRPr="00BE6376">
              <w:rPr>
                <w:rStyle w:val="FootnoteReference"/>
                <w:rFonts w:ascii="Verdana" w:eastAsia="Calibri" w:hAnsi="Verdana" w:cs="Times New Roman"/>
                <w:sz w:val="20"/>
                <w:szCs w:val="20"/>
                <w:lang w:val="en-US"/>
              </w:rPr>
              <w:footnoteReference w:id="38"/>
            </w:r>
          </w:p>
        </w:tc>
      </w:tr>
    </w:tbl>
    <w:p w14:paraId="794F8037" w14:textId="77777777" w:rsidR="0093497B" w:rsidRPr="00BE6376" w:rsidRDefault="0093497B" w:rsidP="00BE6376">
      <w:pPr>
        <w:spacing w:after="0" w:line="240" w:lineRule="auto"/>
        <w:contextualSpacing/>
        <w:jc w:val="both"/>
        <w:rPr>
          <w:rFonts w:ascii="Verdana" w:eastAsia="Calibri" w:hAnsi="Verdana" w:cs="Times New Roman"/>
          <w:b/>
          <w:sz w:val="20"/>
          <w:szCs w:val="20"/>
          <w:lang w:val="en-GB"/>
        </w:rPr>
      </w:pPr>
    </w:p>
    <w:p w14:paraId="53321E90" w14:textId="77777777" w:rsidR="00912C69" w:rsidRPr="00BE6376" w:rsidRDefault="00576099" w:rsidP="00BE6376">
      <w:pPr>
        <w:numPr>
          <w:ilvl w:val="0"/>
          <w:numId w:val="6"/>
        </w:numPr>
        <w:spacing w:after="0" w:line="240" w:lineRule="auto"/>
        <w:ind w:left="567" w:hanging="567"/>
        <w:contextualSpacing/>
        <w:jc w:val="both"/>
        <w:rPr>
          <w:rFonts w:ascii="Verdana" w:eastAsia="Calibri" w:hAnsi="Verdana" w:cs="Times New Roman"/>
          <w:b/>
          <w:sz w:val="24"/>
          <w:szCs w:val="24"/>
          <w:lang w:val="en-GB"/>
        </w:rPr>
      </w:pPr>
      <w:r w:rsidRPr="00BE6376">
        <w:rPr>
          <w:rFonts w:ascii="Verdana" w:eastAsia="Calibri" w:hAnsi="Verdana" w:cs="Times New Roman"/>
          <w:b/>
          <w:sz w:val="24"/>
          <w:szCs w:val="24"/>
          <w:lang w:val="en-GB"/>
        </w:rPr>
        <w:t>OUTCOME INDICATORS</w:t>
      </w:r>
    </w:p>
    <w:p w14:paraId="79F6AAB3" w14:textId="77777777" w:rsidR="0093497B" w:rsidRPr="00BE6376" w:rsidRDefault="0093497B" w:rsidP="00BE6376">
      <w:pPr>
        <w:spacing w:after="0" w:line="240" w:lineRule="auto"/>
        <w:contextualSpacing/>
        <w:jc w:val="both"/>
        <w:rPr>
          <w:rFonts w:ascii="Verdana" w:eastAsia="Calibri" w:hAnsi="Verdana" w:cs="Times New Roman"/>
          <w:b/>
          <w:sz w:val="20"/>
          <w:szCs w:val="20"/>
          <w:lang w:val="en-GB"/>
        </w:rPr>
      </w:pPr>
    </w:p>
    <w:tbl>
      <w:tblPr>
        <w:tblStyle w:val="TableGrid"/>
        <w:tblW w:w="4750" w:type="pct"/>
        <w:tblLayout w:type="fixed"/>
        <w:tblLook w:val="04A0" w:firstRow="1" w:lastRow="0" w:firstColumn="1" w:lastColumn="0" w:noHBand="0" w:noVBand="1"/>
      </w:tblPr>
      <w:tblGrid>
        <w:gridCol w:w="4110"/>
        <w:gridCol w:w="9355"/>
      </w:tblGrid>
      <w:tr w:rsidR="00BE3D1F" w:rsidRPr="00BE6376" w14:paraId="2DC535A3" w14:textId="77777777" w:rsidTr="00BE3D1F">
        <w:trPr>
          <w:trHeight w:val="454"/>
        </w:trPr>
        <w:tc>
          <w:tcPr>
            <w:tcW w:w="1526" w:type="pct"/>
            <w:shd w:val="clear" w:color="auto" w:fill="C6D9F1" w:themeFill="text2" w:themeFillTint="33"/>
            <w:vAlign w:val="center"/>
          </w:tcPr>
          <w:p w14:paraId="17A13487" w14:textId="77777777" w:rsidR="00BE3D1F" w:rsidRPr="00BE6376" w:rsidRDefault="00BE3D1F" w:rsidP="00BE6376">
            <w:pPr>
              <w:spacing w:before="240"/>
              <w:contextualSpacing/>
              <w:jc w:val="both"/>
              <w:rPr>
                <w:rFonts w:ascii="Verdana" w:eastAsia="Calibri" w:hAnsi="Verdana" w:cs="Times New Roman"/>
                <w:b/>
                <w:sz w:val="20"/>
                <w:szCs w:val="20"/>
                <w:lang w:val="en-GB"/>
              </w:rPr>
            </w:pPr>
            <w:r w:rsidRPr="00BE6376">
              <w:rPr>
                <w:rFonts w:ascii="Verdana" w:eastAsia="Calibri" w:hAnsi="Verdana" w:cs="Times New Roman"/>
                <w:b/>
                <w:sz w:val="20"/>
                <w:szCs w:val="20"/>
                <w:lang w:val="en-GB"/>
              </w:rPr>
              <w:t>Outcome indicators</w:t>
            </w:r>
          </w:p>
        </w:tc>
        <w:tc>
          <w:tcPr>
            <w:tcW w:w="3474" w:type="pct"/>
            <w:shd w:val="clear" w:color="auto" w:fill="C6D9F1" w:themeFill="text2" w:themeFillTint="33"/>
            <w:vAlign w:val="center"/>
          </w:tcPr>
          <w:p w14:paraId="3880518C" w14:textId="77777777" w:rsidR="00BE3D1F" w:rsidRPr="00BE6376" w:rsidRDefault="00BE3D1F" w:rsidP="00BE6376">
            <w:pPr>
              <w:spacing w:before="240" w:line="100" w:lineRule="atLeast"/>
              <w:jc w:val="both"/>
              <w:rPr>
                <w:rFonts w:ascii="Verdana" w:eastAsia="Calibri" w:hAnsi="Verdana" w:cs="Times New Roman"/>
                <w:sz w:val="20"/>
                <w:szCs w:val="20"/>
                <w:lang w:val="en-GB"/>
              </w:rPr>
            </w:pPr>
            <w:r w:rsidRPr="00BE6376">
              <w:rPr>
                <w:rFonts w:ascii="Verdana" w:eastAsia="Calibri" w:hAnsi="Verdana" w:cs="Times New Roman"/>
                <w:b/>
                <w:sz w:val="20"/>
                <w:szCs w:val="20"/>
                <w:lang w:val="en-GB"/>
              </w:rPr>
              <w:t>Source and supporting information</w:t>
            </w:r>
          </w:p>
        </w:tc>
      </w:tr>
      <w:tr w:rsidR="00BE3D1F" w:rsidRPr="00BE6376" w14:paraId="7327CAFD" w14:textId="77777777" w:rsidTr="00BE3D1F">
        <w:trPr>
          <w:trHeight w:val="454"/>
        </w:trPr>
        <w:tc>
          <w:tcPr>
            <w:tcW w:w="1526" w:type="pct"/>
            <w:shd w:val="clear" w:color="auto" w:fill="auto"/>
            <w:vAlign w:val="center"/>
          </w:tcPr>
          <w:p w14:paraId="107AB106" w14:textId="77777777" w:rsidR="00BE3D1F" w:rsidRPr="00BE6376" w:rsidRDefault="00BE3D1F" w:rsidP="00BE6376">
            <w:pPr>
              <w:spacing w:before="240"/>
              <w:contextualSpacing/>
              <w:jc w:val="both"/>
              <w:rPr>
                <w:rFonts w:ascii="Verdana" w:hAnsi="Verdana" w:cs="Times New Roman"/>
                <w:sz w:val="20"/>
                <w:szCs w:val="20"/>
              </w:rPr>
            </w:pPr>
            <w:r w:rsidRPr="00BE6376">
              <w:rPr>
                <w:rFonts w:ascii="Verdana" w:hAnsi="Verdana" w:cs="Times New Roman"/>
                <w:sz w:val="20"/>
                <w:szCs w:val="20"/>
              </w:rPr>
              <w:t>What was the voter turnout rate for persons with disabilities in the most recent municipal elections and in the 2009 European Parliament elections? How does this compare with the voter turnout rate among the general population?</w:t>
            </w:r>
          </w:p>
          <w:p w14:paraId="4DE5EB74" w14:textId="77777777" w:rsidR="00BE3D1F" w:rsidRPr="00BE6376" w:rsidRDefault="00BE3D1F" w:rsidP="00BE6376">
            <w:pPr>
              <w:spacing w:before="240"/>
              <w:contextualSpacing/>
              <w:jc w:val="both"/>
              <w:rPr>
                <w:rFonts w:ascii="Verdana" w:hAnsi="Verdana" w:cs="Times New Roman"/>
                <w:sz w:val="20"/>
                <w:szCs w:val="20"/>
              </w:rPr>
            </w:pPr>
          </w:p>
          <w:p w14:paraId="08868FEE" w14:textId="6F4FA737" w:rsidR="00BE3D1F" w:rsidRPr="00BE6376" w:rsidRDefault="00BE3D1F" w:rsidP="00BE6376">
            <w:pPr>
              <w:spacing w:before="240"/>
              <w:contextualSpacing/>
              <w:jc w:val="both"/>
              <w:rPr>
                <w:rFonts w:ascii="Verdana" w:hAnsi="Verdana" w:cs="Times New Roman"/>
                <w:sz w:val="20"/>
                <w:szCs w:val="20"/>
              </w:rPr>
            </w:pPr>
            <w:r w:rsidRPr="00BE6376">
              <w:rPr>
                <w:rFonts w:ascii="Verdana" w:hAnsi="Verdana" w:cs="Times New Roman"/>
                <w:sz w:val="20"/>
                <w:szCs w:val="20"/>
              </w:rPr>
              <w:t>What was the voter turnout rate for persons with disabilities in the most recent national elections? How does this compare with the voter turnout rate among the general population?</w:t>
            </w:r>
          </w:p>
        </w:tc>
        <w:tc>
          <w:tcPr>
            <w:tcW w:w="3474" w:type="pct"/>
            <w:vAlign w:val="center"/>
          </w:tcPr>
          <w:p w14:paraId="66A11823" w14:textId="294ABD35" w:rsidR="00BE3D1F" w:rsidRDefault="00BE3D1F" w:rsidP="00BE6376">
            <w:pPr>
              <w:spacing w:before="240"/>
              <w:contextualSpacing/>
              <w:jc w:val="both"/>
              <w:rPr>
                <w:rFonts w:ascii="Verdana" w:eastAsia="Calibri" w:hAnsi="Verdana" w:cs="Times New Roman"/>
                <w:sz w:val="20"/>
                <w:szCs w:val="20"/>
                <w:lang w:val="en-US"/>
              </w:rPr>
            </w:pPr>
            <w:r w:rsidRPr="00BE6376">
              <w:rPr>
                <w:rFonts w:ascii="Verdana" w:eastAsia="Calibri" w:hAnsi="Verdana" w:cs="Times New Roman"/>
                <w:sz w:val="20"/>
                <w:szCs w:val="20"/>
                <w:lang w:val="en-US"/>
              </w:rPr>
              <w:t xml:space="preserve">No data </w:t>
            </w:r>
            <w:r>
              <w:rPr>
                <w:rFonts w:ascii="Verdana" w:eastAsia="Calibri" w:hAnsi="Verdana" w:cs="Times New Roman"/>
                <w:sz w:val="20"/>
                <w:szCs w:val="20"/>
                <w:lang w:val="en-US"/>
              </w:rPr>
              <w:t>available.</w:t>
            </w:r>
          </w:p>
          <w:p w14:paraId="6E9FEC7C" w14:textId="77777777" w:rsidR="00BE3D1F" w:rsidRDefault="00BE3D1F" w:rsidP="00BE6376">
            <w:pPr>
              <w:spacing w:before="240"/>
              <w:contextualSpacing/>
              <w:jc w:val="both"/>
              <w:rPr>
                <w:rFonts w:ascii="Verdana" w:eastAsia="Calibri" w:hAnsi="Verdana" w:cs="Times New Roman"/>
                <w:sz w:val="20"/>
                <w:szCs w:val="20"/>
                <w:lang w:val="en-US"/>
              </w:rPr>
            </w:pPr>
          </w:p>
          <w:p w14:paraId="0C45D4CA" w14:textId="6137CD36" w:rsidR="00BE3D1F" w:rsidRDefault="00BE3D1F" w:rsidP="00BE6376">
            <w:pPr>
              <w:spacing w:before="240"/>
              <w:contextualSpacing/>
              <w:jc w:val="both"/>
              <w:rPr>
                <w:rFonts w:ascii="Verdana" w:eastAsia="Calibri" w:hAnsi="Verdana" w:cs="Times New Roman"/>
                <w:sz w:val="20"/>
                <w:szCs w:val="20"/>
                <w:lang w:val="en-US"/>
              </w:rPr>
            </w:pPr>
            <w:r>
              <w:rPr>
                <w:rFonts w:ascii="Verdana" w:eastAsia="Calibri" w:hAnsi="Verdana" w:cs="Times New Roman"/>
                <w:sz w:val="20"/>
                <w:szCs w:val="20"/>
                <w:lang w:val="en-US"/>
              </w:rPr>
              <w:t xml:space="preserve">The </w:t>
            </w:r>
            <w:r w:rsidRPr="00BE6376">
              <w:rPr>
                <w:rFonts w:ascii="Verdana" w:eastAsia="Calibri" w:hAnsi="Verdana" w:cs="Times New Roman"/>
                <w:sz w:val="20"/>
                <w:szCs w:val="20"/>
                <w:lang w:val="en-US"/>
              </w:rPr>
              <w:t>Electoral Council</w:t>
            </w:r>
            <w:r>
              <w:rPr>
                <w:rFonts w:ascii="Verdana" w:eastAsia="Calibri" w:hAnsi="Verdana" w:cs="Times New Roman"/>
                <w:sz w:val="20"/>
                <w:szCs w:val="20"/>
                <w:lang w:val="en-US"/>
              </w:rPr>
              <w:t xml:space="preserve">, </w:t>
            </w:r>
            <w:r w:rsidRPr="00BE6376">
              <w:rPr>
                <w:rFonts w:ascii="Verdana" w:eastAsia="Calibri" w:hAnsi="Verdana" w:cs="Times New Roman"/>
                <w:sz w:val="20"/>
                <w:szCs w:val="20"/>
                <w:lang w:val="en-US"/>
              </w:rPr>
              <w:t xml:space="preserve">ProDemos, </w:t>
            </w:r>
            <w:r>
              <w:rPr>
                <w:rFonts w:ascii="Verdana" w:eastAsia="Calibri" w:hAnsi="Verdana" w:cs="Times New Roman"/>
                <w:sz w:val="20"/>
                <w:szCs w:val="20"/>
                <w:lang w:val="en-US"/>
              </w:rPr>
              <w:t xml:space="preserve">a </w:t>
            </w:r>
            <w:r w:rsidRPr="00BE6376">
              <w:rPr>
                <w:rFonts w:ascii="Verdana" w:eastAsia="Calibri" w:hAnsi="Verdana" w:cs="Times New Roman"/>
                <w:sz w:val="20"/>
                <w:szCs w:val="20"/>
                <w:lang w:val="en-US"/>
              </w:rPr>
              <w:t>knowledge Centre for democracy and the rule of law</w:t>
            </w:r>
            <w:r>
              <w:rPr>
                <w:rFonts w:ascii="Verdana" w:eastAsia="Calibri" w:hAnsi="Verdana" w:cs="Times New Roman"/>
                <w:sz w:val="20"/>
                <w:szCs w:val="20"/>
                <w:lang w:val="en-US"/>
              </w:rPr>
              <w:t xml:space="preserve"> and the</w:t>
            </w:r>
            <w:r w:rsidRPr="00BE6376">
              <w:rPr>
                <w:rFonts w:ascii="Verdana" w:eastAsia="Calibri" w:hAnsi="Verdana" w:cs="Times New Roman"/>
                <w:sz w:val="20"/>
                <w:szCs w:val="20"/>
                <w:lang w:val="en-US"/>
              </w:rPr>
              <w:t xml:space="preserve"> Council of the Chronically Ill and Disabled</w:t>
            </w:r>
            <w:r>
              <w:rPr>
                <w:rFonts w:ascii="Verdana" w:eastAsia="Calibri" w:hAnsi="Verdana" w:cs="Times New Roman"/>
                <w:sz w:val="20"/>
                <w:szCs w:val="20"/>
                <w:lang w:val="en-US"/>
              </w:rPr>
              <w:t xml:space="preserve"> were consulted</w:t>
            </w:r>
            <w:r w:rsidRPr="00BE6376">
              <w:rPr>
                <w:rFonts w:ascii="Verdana" w:eastAsia="Calibri" w:hAnsi="Verdana" w:cs="Times New Roman"/>
                <w:sz w:val="20"/>
                <w:szCs w:val="20"/>
                <w:lang w:val="en-US"/>
              </w:rPr>
              <w:t xml:space="preserve">. </w:t>
            </w:r>
          </w:p>
          <w:p w14:paraId="30996D9A" w14:textId="2430714B" w:rsidR="00BE3D1F" w:rsidRDefault="00BE3D1F" w:rsidP="00BE6376">
            <w:pPr>
              <w:spacing w:before="240"/>
              <w:contextualSpacing/>
              <w:jc w:val="both"/>
              <w:rPr>
                <w:rFonts w:ascii="Verdana" w:eastAsia="Calibri" w:hAnsi="Verdana" w:cs="Times New Roman"/>
                <w:sz w:val="20"/>
                <w:szCs w:val="20"/>
                <w:lang w:val="en-US"/>
              </w:rPr>
            </w:pPr>
          </w:p>
          <w:p w14:paraId="3569EC77" w14:textId="77777777" w:rsidR="00BE3D1F" w:rsidRDefault="00BE3D1F" w:rsidP="00BE6376">
            <w:pPr>
              <w:spacing w:before="240"/>
              <w:contextualSpacing/>
              <w:jc w:val="both"/>
              <w:rPr>
                <w:rFonts w:ascii="Verdana" w:eastAsia="Calibri" w:hAnsi="Verdana" w:cs="Times New Roman"/>
                <w:sz w:val="20"/>
                <w:szCs w:val="20"/>
                <w:lang w:val="en-US"/>
              </w:rPr>
            </w:pPr>
            <w:r w:rsidRPr="00BE6376">
              <w:rPr>
                <w:rFonts w:ascii="Verdana" w:eastAsia="Calibri" w:hAnsi="Verdana" w:cs="Times New Roman"/>
                <w:sz w:val="20"/>
                <w:szCs w:val="20"/>
                <w:lang w:val="en-US"/>
              </w:rPr>
              <w:t>The Electoral Council reports the number of postal votes, but not the number of people voting from institutions, by proxy or with assistance.</w:t>
            </w:r>
            <w:r w:rsidRPr="00BE6376">
              <w:rPr>
                <w:rStyle w:val="FootnoteReference"/>
                <w:rFonts w:ascii="Verdana" w:eastAsia="Calibri" w:hAnsi="Verdana" w:cs="Times New Roman"/>
                <w:sz w:val="20"/>
                <w:szCs w:val="20"/>
                <w:lang w:val="en-US"/>
              </w:rPr>
              <w:footnoteReference w:id="39"/>
            </w:r>
            <w:r w:rsidRPr="00BE6376">
              <w:rPr>
                <w:rFonts w:ascii="Verdana" w:eastAsia="Calibri" w:hAnsi="Verdana" w:cs="Times New Roman"/>
                <w:sz w:val="20"/>
                <w:szCs w:val="20"/>
                <w:lang w:val="en-US"/>
              </w:rPr>
              <w:t xml:space="preserve"> </w:t>
            </w:r>
          </w:p>
          <w:p w14:paraId="3961D10D" w14:textId="77777777" w:rsidR="00BE3D1F" w:rsidRDefault="00BE3D1F" w:rsidP="00BE6376">
            <w:pPr>
              <w:spacing w:before="240"/>
              <w:contextualSpacing/>
              <w:jc w:val="both"/>
              <w:rPr>
                <w:rFonts w:ascii="Verdana" w:eastAsia="Calibri" w:hAnsi="Verdana" w:cs="Times New Roman"/>
                <w:sz w:val="20"/>
                <w:szCs w:val="20"/>
                <w:lang w:val="en-US"/>
              </w:rPr>
            </w:pPr>
          </w:p>
          <w:p w14:paraId="10219397" w14:textId="2BD27C3F" w:rsidR="00BE3D1F" w:rsidRPr="00BE6376" w:rsidRDefault="00BE3D1F" w:rsidP="00BE6376">
            <w:pPr>
              <w:spacing w:before="240"/>
              <w:contextualSpacing/>
              <w:jc w:val="both"/>
              <w:rPr>
                <w:rFonts w:ascii="Verdana" w:eastAsia="Calibri" w:hAnsi="Verdana" w:cs="Times New Roman"/>
                <w:sz w:val="20"/>
                <w:szCs w:val="20"/>
                <w:lang w:val="en-US"/>
              </w:rPr>
            </w:pPr>
            <w:r w:rsidRPr="00BE6376">
              <w:rPr>
                <w:rFonts w:ascii="Verdana" w:eastAsia="Calibri" w:hAnsi="Verdana" w:cs="Times New Roman"/>
                <w:sz w:val="20"/>
                <w:szCs w:val="20"/>
                <w:lang w:val="en-US"/>
              </w:rPr>
              <w:t xml:space="preserve">The evaluation of the most recent parliamentary elections reports that 1,12 voters </w:t>
            </w:r>
            <w:r>
              <w:rPr>
                <w:rFonts w:ascii="Verdana" w:eastAsia="Calibri" w:hAnsi="Verdana" w:cs="Times New Roman"/>
                <w:sz w:val="20"/>
                <w:szCs w:val="20"/>
                <w:lang w:val="en-US"/>
              </w:rPr>
              <w:t>per</w:t>
            </w:r>
            <w:r w:rsidRPr="00BE6376">
              <w:rPr>
                <w:rFonts w:ascii="Verdana" w:eastAsia="Calibri" w:hAnsi="Verdana" w:cs="Times New Roman"/>
                <w:sz w:val="20"/>
                <w:szCs w:val="20"/>
                <w:lang w:val="en-US"/>
              </w:rPr>
              <w:t xml:space="preserve"> thousand requested a formal proxy vote </w:t>
            </w:r>
            <w:r>
              <w:rPr>
                <w:rFonts w:ascii="Verdana" w:eastAsia="Calibri" w:hAnsi="Verdana" w:cs="Times New Roman"/>
                <w:sz w:val="20"/>
                <w:szCs w:val="20"/>
                <w:lang w:val="en-US"/>
              </w:rPr>
              <w:t>previously to</w:t>
            </w:r>
            <w:r w:rsidRPr="00BE6376">
              <w:rPr>
                <w:rFonts w:ascii="Verdana" w:eastAsia="Calibri" w:hAnsi="Verdana" w:cs="Times New Roman"/>
                <w:sz w:val="20"/>
                <w:szCs w:val="20"/>
                <w:lang w:val="en-US"/>
              </w:rPr>
              <w:t xml:space="preserve"> the election</w:t>
            </w:r>
            <w:r>
              <w:rPr>
                <w:rFonts w:ascii="Verdana" w:eastAsia="Calibri" w:hAnsi="Verdana" w:cs="Times New Roman"/>
                <w:sz w:val="20"/>
                <w:szCs w:val="20"/>
                <w:lang w:val="en-US"/>
              </w:rPr>
              <w:t>s</w:t>
            </w:r>
            <w:r w:rsidRPr="00BE6376">
              <w:rPr>
                <w:rFonts w:ascii="Verdana" w:eastAsia="Calibri" w:hAnsi="Verdana" w:cs="Times New Roman"/>
                <w:sz w:val="20"/>
                <w:szCs w:val="20"/>
                <w:lang w:val="en-US"/>
              </w:rPr>
              <w:t xml:space="preserve"> (i.e. 0.112% of voters).</w:t>
            </w:r>
            <w:r w:rsidRPr="00BE6376">
              <w:rPr>
                <w:rStyle w:val="FootnoteReference"/>
                <w:rFonts w:ascii="Verdana" w:eastAsia="Calibri" w:hAnsi="Verdana" w:cs="Times New Roman"/>
                <w:sz w:val="20"/>
                <w:szCs w:val="20"/>
                <w:lang w:val="en-US"/>
              </w:rPr>
              <w:footnoteReference w:id="40"/>
            </w:r>
          </w:p>
        </w:tc>
      </w:tr>
      <w:tr w:rsidR="00BE3D1F" w:rsidRPr="00BE6376" w14:paraId="2E45BE59" w14:textId="77777777" w:rsidTr="00BE3D1F">
        <w:trPr>
          <w:trHeight w:val="454"/>
        </w:trPr>
        <w:tc>
          <w:tcPr>
            <w:tcW w:w="1526" w:type="pct"/>
            <w:shd w:val="clear" w:color="auto" w:fill="auto"/>
            <w:vAlign w:val="center"/>
          </w:tcPr>
          <w:p w14:paraId="0A3BD6D7" w14:textId="77777777" w:rsidR="00BE3D1F" w:rsidRPr="00BE6376" w:rsidRDefault="00BE3D1F" w:rsidP="00BE6376">
            <w:pPr>
              <w:spacing w:before="240"/>
              <w:contextualSpacing/>
              <w:jc w:val="both"/>
              <w:rPr>
                <w:rFonts w:ascii="Verdana" w:hAnsi="Verdana"/>
                <w:sz w:val="20"/>
                <w:szCs w:val="20"/>
                <w:highlight w:val="yellow"/>
              </w:rPr>
            </w:pPr>
            <w:r w:rsidRPr="00BE6376">
              <w:rPr>
                <w:rFonts w:ascii="Verdana" w:hAnsi="Verdana" w:cs="Times New Roman"/>
                <w:sz w:val="20"/>
                <w:szCs w:val="20"/>
              </w:rPr>
              <w:lastRenderedPageBreak/>
              <w:t>How many members of the current national parliament identify as having a disability?</w:t>
            </w:r>
          </w:p>
        </w:tc>
        <w:tc>
          <w:tcPr>
            <w:tcW w:w="3474" w:type="pct"/>
            <w:vAlign w:val="center"/>
          </w:tcPr>
          <w:p w14:paraId="1D71C81C" w14:textId="77777777" w:rsidR="00BE3D1F" w:rsidRDefault="00BE3D1F" w:rsidP="00BE6376">
            <w:pPr>
              <w:spacing w:before="240"/>
              <w:contextualSpacing/>
              <w:jc w:val="both"/>
              <w:rPr>
                <w:rFonts w:ascii="Verdana" w:eastAsia="Calibri" w:hAnsi="Verdana" w:cs="Times New Roman"/>
                <w:sz w:val="20"/>
                <w:szCs w:val="20"/>
                <w:lang w:val="en-US"/>
              </w:rPr>
            </w:pPr>
            <w:r w:rsidRPr="00BE6376">
              <w:rPr>
                <w:rFonts w:ascii="Verdana" w:eastAsia="Calibri" w:hAnsi="Verdana" w:cs="Times New Roman"/>
                <w:sz w:val="20"/>
                <w:szCs w:val="20"/>
                <w:lang w:val="en-US"/>
              </w:rPr>
              <w:t xml:space="preserve">This information is not centrally recorded. </w:t>
            </w:r>
          </w:p>
          <w:p w14:paraId="4B1F35A3" w14:textId="77777777" w:rsidR="00BE3D1F" w:rsidRDefault="00BE3D1F" w:rsidP="00BE6376">
            <w:pPr>
              <w:spacing w:before="240"/>
              <w:contextualSpacing/>
              <w:jc w:val="both"/>
              <w:rPr>
                <w:rFonts w:ascii="Verdana" w:eastAsia="Calibri" w:hAnsi="Verdana" w:cs="Times New Roman"/>
                <w:sz w:val="20"/>
                <w:szCs w:val="20"/>
                <w:lang w:val="en-US"/>
              </w:rPr>
            </w:pPr>
          </w:p>
          <w:p w14:paraId="04D9B01B" w14:textId="44F552C1" w:rsidR="00BE3D1F" w:rsidRPr="00BE6376" w:rsidRDefault="00BE3D1F" w:rsidP="00BE6376">
            <w:pPr>
              <w:spacing w:before="240"/>
              <w:contextualSpacing/>
              <w:jc w:val="both"/>
              <w:rPr>
                <w:rFonts w:ascii="Verdana" w:eastAsia="Calibri" w:hAnsi="Verdana" w:cs="Times New Roman"/>
                <w:sz w:val="20"/>
                <w:szCs w:val="20"/>
                <w:lang w:val="en-US"/>
              </w:rPr>
            </w:pPr>
            <w:r>
              <w:rPr>
                <w:rFonts w:ascii="Verdana" w:eastAsia="Calibri" w:hAnsi="Verdana" w:cs="Times New Roman"/>
                <w:sz w:val="20"/>
                <w:szCs w:val="20"/>
                <w:lang w:val="en-US"/>
              </w:rPr>
              <w:t>T</w:t>
            </w:r>
            <w:r w:rsidRPr="00BE6376">
              <w:rPr>
                <w:rFonts w:ascii="Verdana" w:eastAsia="Calibri" w:hAnsi="Verdana" w:cs="Times New Roman"/>
                <w:sz w:val="20"/>
                <w:szCs w:val="20"/>
                <w:lang w:val="en-US"/>
              </w:rPr>
              <w:t>he central inform</w:t>
            </w:r>
            <w:r>
              <w:rPr>
                <w:rFonts w:ascii="Verdana" w:eastAsia="Calibri" w:hAnsi="Verdana" w:cs="Times New Roman"/>
                <w:sz w:val="20"/>
                <w:szCs w:val="20"/>
                <w:lang w:val="en-US"/>
              </w:rPr>
              <w:t xml:space="preserve">ation service of the parliament, </w:t>
            </w:r>
            <w:r w:rsidRPr="00BE6376">
              <w:rPr>
                <w:rFonts w:ascii="Verdana" w:eastAsia="Calibri" w:hAnsi="Verdana" w:cs="Times New Roman"/>
                <w:sz w:val="20"/>
                <w:szCs w:val="20"/>
                <w:lang w:val="en-US"/>
              </w:rPr>
              <w:t>a</w:t>
            </w:r>
            <w:r>
              <w:rPr>
                <w:rFonts w:ascii="Verdana" w:eastAsia="Calibri" w:hAnsi="Verdana" w:cs="Times New Roman"/>
                <w:sz w:val="20"/>
                <w:szCs w:val="20"/>
                <w:lang w:val="en-US"/>
              </w:rPr>
              <w:t>s well as</w:t>
            </w:r>
            <w:r w:rsidRPr="00BE6376">
              <w:rPr>
                <w:rFonts w:ascii="Verdana" w:eastAsia="Calibri" w:hAnsi="Verdana" w:cs="Times New Roman"/>
                <w:sz w:val="20"/>
                <w:szCs w:val="20"/>
                <w:lang w:val="en-US"/>
              </w:rPr>
              <w:t xml:space="preserve"> the parliamentary documentation Centre for information</w:t>
            </w:r>
            <w:r>
              <w:rPr>
                <w:rFonts w:ascii="Verdana" w:eastAsia="Calibri" w:hAnsi="Verdana" w:cs="Times New Roman"/>
                <w:sz w:val="20"/>
                <w:szCs w:val="20"/>
                <w:lang w:val="en-US"/>
              </w:rPr>
              <w:t xml:space="preserve"> were consulted</w:t>
            </w:r>
            <w:r w:rsidRPr="00BE6376">
              <w:rPr>
                <w:rFonts w:ascii="Verdana" w:eastAsia="Calibri" w:hAnsi="Verdana" w:cs="Times New Roman"/>
                <w:sz w:val="20"/>
                <w:szCs w:val="20"/>
                <w:lang w:val="en-US"/>
              </w:rPr>
              <w:t xml:space="preserve">. According to </w:t>
            </w:r>
            <w:r>
              <w:rPr>
                <w:rFonts w:ascii="Verdana" w:eastAsia="Calibri" w:hAnsi="Verdana" w:cs="Times New Roman"/>
                <w:sz w:val="20"/>
                <w:szCs w:val="20"/>
                <w:lang w:val="en-US"/>
              </w:rPr>
              <w:t>them</w:t>
            </w:r>
            <w:r w:rsidRPr="00BE6376">
              <w:rPr>
                <w:rFonts w:ascii="Verdana" w:eastAsia="Calibri" w:hAnsi="Verdana" w:cs="Times New Roman"/>
                <w:sz w:val="20"/>
                <w:szCs w:val="20"/>
                <w:lang w:val="en-US"/>
              </w:rPr>
              <w:t>, there are two members of the current parliament who identify as having a disability. Also, one state secretary identifies as having a disability.</w:t>
            </w:r>
            <w:r w:rsidRPr="00BE6376">
              <w:rPr>
                <w:rStyle w:val="FootnoteReference"/>
                <w:rFonts w:ascii="Verdana" w:eastAsia="Calibri" w:hAnsi="Verdana" w:cs="Times New Roman"/>
                <w:sz w:val="20"/>
                <w:szCs w:val="20"/>
                <w:lang w:val="en-US"/>
              </w:rPr>
              <w:footnoteReference w:id="41"/>
            </w:r>
          </w:p>
        </w:tc>
      </w:tr>
      <w:tr w:rsidR="00BE3D1F" w:rsidRPr="00BE6376" w14:paraId="6B8DDAF0" w14:textId="77777777" w:rsidTr="00BE3D1F">
        <w:trPr>
          <w:trHeight w:val="454"/>
        </w:trPr>
        <w:tc>
          <w:tcPr>
            <w:tcW w:w="1526" w:type="pct"/>
            <w:shd w:val="clear" w:color="auto" w:fill="auto"/>
            <w:vAlign w:val="center"/>
          </w:tcPr>
          <w:p w14:paraId="66B43636" w14:textId="77777777" w:rsidR="00BE3D1F" w:rsidRPr="00BE6376" w:rsidRDefault="00BE3D1F" w:rsidP="00BE6376">
            <w:pPr>
              <w:spacing w:before="240"/>
              <w:contextualSpacing/>
              <w:jc w:val="both"/>
              <w:rPr>
                <w:rFonts w:ascii="Verdana" w:eastAsia="Calibri" w:hAnsi="Verdana" w:cs="Times New Roman"/>
                <w:sz w:val="20"/>
                <w:szCs w:val="20"/>
                <w:lang w:val="en-GB"/>
              </w:rPr>
            </w:pPr>
            <w:r w:rsidRPr="00BE6376">
              <w:rPr>
                <w:rFonts w:ascii="Verdana" w:hAnsi="Verdana" w:cs="Times New Roman"/>
                <w:sz w:val="20"/>
                <w:szCs w:val="20"/>
              </w:rPr>
              <w:t>How many members of current municipal governments identify as having a disability?</w:t>
            </w:r>
          </w:p>
        </w:tc>
        <w:tc>
          <w:tcPr>
            <w:tcW w:w="3474" w:type="pct"/>
            <w:vAlign w:val="center"/>
          </w:tcPr>
          <w:p w14:paraId="0AA7E178" w14:textId="77777777" w:rsidR="00BE3D1F" w:rsidRDefault="00BE3D1F" w:rsidP="00BE6376">
            <w:pPr>
              <w:spacing w:before="240"/>
              <w:contextualSpacing/>
              <w:jc w:val="both"/>
              <w:rPr>
                <w:rFonts w:ascii="Verdana" w:eastAsia="Calibri" w:hAnsi="Verdana" w:cs="Times New Roman"/>
                <w:sz w:val="20"/>
                <w:szCs w:val="20"/>
                <w:lang w:val="en-US"/>
              </w:rPr>
            </w:pPr>
            <w:r w:rsidRPr="00BE6376">
              <w:rPr>
                <w:rFonts w:ascii="Verdana" w:eastAsia="Calibri" w:hAnsi="Verdana" w:cs="Times New Roman"/>
                <w:sz w:val="20"/>
                <w:szCs w:val="20"/>
                <w:lang w:val="en-US"/>
              </w:rPr>
              <w:t>No data could be found.</w:t>
            </w:r>
          </w:p>
          <w:p w14:paraId="601873AC" w14:textId="77777777" w:rsidR="00BE3D1F" w:rsidRPr="00BE6376" w:rsidRDefault="00BE3D1F" w:rsidP="00BE6376">
            <w:pPr>
              <w:spacing w:before="240"/>
              <w:contextualSpacing/>
              <w:jc w:val="both"/>
              <w:rPr>
                <w:rFonts w:ascii="Verdana" w:eastAsia="Calibri" w:hAnsi="Verdana" w:cs="Times New Roman"/>
                <w:sz w:val="20"/>
                <w:szCs w:val="20"/>
                <w:lang w:val="en-US"/>
              </w:rPr>
            </w:pPr>
          </w:p>
          <w:p w14:paraId="2F44556C" w14:textId="1DAF0AB6" w:rsidR="00BE3D1F" w:rsidRPr="00BE6376" w:rsidRDefault="00BE3D1F" w:rsidP="003533C8">
            <w:pPr>
              <w:spacing w:before="240"/>
              <w:contextualSpacing/>
              <w:jc w:val="both"/>
              <w:rPr>
                <w:rFonts w:ascii="Verdana" w:eastAsia="Calibri" w:hAnsi="Verdana" w:cs="Times New Roman"/>
                <w:sz w:val="20"/>
                <w:szCs w:val="20"/>
                <w:lang w:val="en-US"/>
              </w:rPr>
            </w:pPr>
            <w:r>
              <w:rPr>
                <w:rFonts w:ascii="Verdana" w:eastAsia="Calibri" w:hAnsi="Verdana" w:cs="Times New Roman"/>
                <w:sz w:val="20"/>
                <w:szCs w:val="20"/>
                <w:lang w:val="en-US"/>
              </w:rPr>
              <w:t>T</w:t>
            </w:r>
            <w:r w:rsidRPr="00BE6376">
              <w:rPr>
                <w:rFonts w:ascii="Verdana" w:eastAsia="Calibri" w:hAnsi="Verdana" w:cs="Times New Roman"/>
                <w:sz w:val="20"/>
                <w:szCs w:val="20"/>
                <w:lang w:val="en-US"/>
              </w:rPr>
              <w:t>he Federation of Dutch Municipalities (</w:t>
            </w:r>
            <w:r w:rsidRPr="00BE6376">
              <w:rPr>
                <w:rFonts w:ascii="Verdana" w:eastAsia="Calibri" w:hAnsi="Verdana" w:cs="Times New Roman"/>
                <w:i/>
                <w:sz w:val="20"/>
                <w:szCs w:val="20"/>
                <w:lang w:val="en-US"/>
              </w:rPr>
              <w:t>Vereniging Nederlandse Gemeenten, VNG</w:t>
            </w:r>
            <w:r w:rsidRPr="00BE6376">
              <w:rPr>
                <w:rFonts w:ascii="Verdana" w:eastAsia="Calibri" w:hAnsi="Verdana" w:cs="Times New Roman"/>
                <w:sz w:val="20"/>
                <w:szCs w:val="20"/>
                <w:lang w:val="en-US"/>
              </w:rPr>
              <w:t>) ProDemos</w:t>
            </w:r>
            <w:r>
              <w:rPr>
                <w:rFonts w:ascii="Verdana" w:eastAsia="Calibri" w:hAnsi="Verdana" w:cs="Times New Roman"/>
                <w:sz w:val="20"/>
                <w:szCs w:val="20"/>
                <w:lang w:val="en-US"/>
              </w:rPr>
              <w:t xml:space="preserve"> and </w:t>
            </w:r>
            <w:r w:rsidRPr="00BE6376">
              <w:rPr>
                <w:rFonts w:ascii="Verdana" w:eastAsia="Calibri" w:hAnsi="Verdana" w:cs="Times New Roman"/>
                <w:sz w:val="20"/>
                <w:szCs w:val="20"/>
                <w:lang w:val="en-US"/>
              </w:rPr>
              <w:t>the Council of the Chronically Ill and Disabled</w:t>
            </w:r>
            <w:r>
              <w:rPr>
                <w:rFonts w:ascii="Verdana" w:eastAsia="Calibri" w:hAnsi="Verdana" w:cs="Times New Roman"/>
                <w:sz w:val="20"/>
                <w:szCs w:val="20"/>
                <w:lang w:val="en-US"/>
              </w:rPr>
              <w:t xml:space="preserve"> were consulted</w:t>
            </w:r>
            <w:r w:rsidRPr="00BE6376">
              <w:rPr>
                <w:rFonts w:ascii="Verdana" w:eastAsia="Calibri" w:hAnsi="Verdana" w:cs="Times New Roman"/>
                <w:sz w:val="20"/>
                <w:szCs w:val="20"/>
                <w:lang w:val="en-US"/>
              </w:rPr>
              <w:t xml:space="preserve">. </w:t>
            </w:r>
            <w:r>
              <w:rPr>
                <w:rFonts w:ascii="Verdana" w:eastAsia="Calibri" w:hAnsi="Verdana" w:cs="Times New Roman"/>
                <w:sz w:val="20"/>
                <w:szCs w:val="20"/>
                <w:lang w:val="en-US"/>
              </w:rPr>
              <w:t>No</w:t>
            </w:r>
            <w:r w:rsidRPr="00BE6376">
              <w:rPr>
                <w:rFonts w:ascii="Verdana" w:eastAsia="Calibri" w:hAnsi="Verdana" w:cs="Times New Roman"/>
                <w:sz w:val="20"/>
                <w:szCs w:val="20"/>
                <w:lang w:val="en-US"/>
              </w:rPr>
              <w:t xml:space="preserve"> information </w:t>
            </w:r>
            <w:r>
              <w:rPr>
                <w:rFonts w:ascii="Verdana" w:eastAsia="Calibri" w:hAnsi="Verdana" w:cs="Times New Roman"/>
                <w:sz w:val="20"/>
                <w:szCs w:val="20"/>
                <w:lang w:val="en-US"/>
              </w:rPr>
              <w:t xml:space="preserve">is </w:t>
            </w:r>
            <w:r w:rsidRPr="00BE6376">
              <w:rPr>
                <w:rFonts w:ascii="Verdana" w:eastAsia="Calibri" w:hAnsi="Verdana" w:cs="Times New Roman"/>
                <w:sz w:val="20"/>
                <w:szCs w:val="20"/>
                <w:lang w:val="en-US"/>
              </w:rPr>
              <w:t>available regarding this question.</w:t>
            </w:r>
            <w:r w:rsidRPr="00BE6376">
              <w:rPr>
                <w:rStyle w:val="FootnoteReference"/>
                <w:rFonts w:ascii="Verdana" w:eastAsia="Calibri" w:hAnsi="Verdana" w:cs="Times New Roman"/>
                <w:sz w:val="20"/>
                <w:szCs w:val="20"/>
                <w:lang w:val="en-US"/>
              </w:rPr>
              <w:footnoteReference w:id="42"/>
            </w:r>
          </w:p>
        </w:tc>
      </w:tr>
      <w:tr w:rsidR="00BE3D1F" w:rsidRPr="00BE6376" w14:paraId="72DCD17E" w14:textId="77777777" w:rsidTr="00BE3D1F">
        <w:trPr>
          <w:trHeight w:val="454"/>
        </w:trPr>
        <w:tc>
          <w:tcPr>
            <w:tcW w:w="1526" w:type="pct"/>
            <w:shd w:val="clear" w:color="auto" w:fill="auto"/>
            <w:vAlign w:val="center"/>
          </w:tcPr>
          <w:p w14:paraId="0DAECEE2" w14:textId="77777777" w:rsidR="00BE3D1F" w:rsidRPr="00BE6376" w:rsidRDefault="00BE3D1F" w:rsidP="00BE637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What proportion of polling stations is accessible for persons with disabilities? Please indicate whether polling stations are accessible for all persons with disabilities or for particular impairment groups e.g. persons with visual, hearing, physical impairments etc)</w:t>
            </w:r>
          </w:p>
        </w:tc>
        <w:tc>
          <w:tcPr>
            <w:tcW w:w="3474" w:type="pct"/>
            <w:vAlign w:val="center"/>
          </w:tcPr>
          <w:p w14:paraId="164833DC" w14:textId="77777777" w:rsidR="00BE3D1F" w:rsidRDefault="00BE3D1F" w:rsidP="00BE6376">
            <w:pPr>
              <w:spacing w:before="240"/>
              <w:contextualSpacing/>
              <w:jc w:val="both"/>
              <w:rPr>
                <w:rFonts w:ascii="Verdana" w:eastAsia="Calibri" w:hAnsi="Verdana" w:cs="Times New Roman"/>
                <w:sz w:val="20"/>
                <w:szCs w:val="20"/>
                <w:lang w:val="en-US"/>
              </w:rPr>
            </w:pPr>
            <w:r w:rsidRPr="00BE6376">
              <w:rPr>
                <w:rFonts w:ascii="Verdana" w:eastAsia="Calibri" w:hAnsi="Verdana" w:cs="Times New Roman"/>
                <w:sz w:val="20"/>
                <w:szCs w:val="20"/>
                <w:lang w:val="en-US"/>
              </w:rPr>
              <w:t>No data is available regarding European Parliament elections or municipal elections.</w:t>
            </w:r>
            <w:r w:rsidRPr="00BE6376">
              <w:rPr>
                <w:rStyle w:val="FootnoteReference"/>
                <w:rFonts w:ascii="Verdana" w:eastAsia="Calibri" w:hAnsi="Verdana" w:cs="Times New Roman"/>
                <w:sz w:val="20"/>
                <w:szCs w:val="20"/>
                <w:lang w:val="en-US"/>
              </w:rPr>
              <w:footnoteReference w:id="43"/>
            </w:r>
            <w:r w:rsidRPr="00BE6376">
              <w:rPr>
                <w:rFonts w:ascii="Verdana" w:eastAsia="Calibri" w:hAnsi="Verdana" w:cs="Times New Roman"/>
                <w:sz w:val="20"/>
                <w:szCs w:val="20"/>
                <w:lang w:val="en-US"/>
              </w:rPr>
              <w:t xml:space="preserve"> </w:t>
            </w:r>
          </w:p>
          <w:p w14:paraId="1D8B8C49" w14:textId="77777777" w:rsidR="00BE3D1F" w:rsidRDefault="00BE3D1F" w:rsidP="00BE6376">
            <w:pPr>
              <w:spacing w:before="240"/>
              <w:contextualSpacing/>
              <w:jc w:val="both"/>
              <w:rPr>
                <w:rFonts w:ascii="Verdana" w:eastAsia="Calibri" w:hAnsi="Verdana" w:cs="Times New Roman"/>
                <w:sz w:val="20"/>
                <w:szCs w:val="20"/>
                <w:lang w:val="en-US"/>
              </w:rPr>
            </w:pPr>
          </w:p>
          <w:p w14:paraId="61541CAC" w14:textId="5F3AA27C" w:rsidR="00BE3D1F" w:rsidRPr="00D05F7D" w:rsidRDefault="00BE3D1F" w:rsidP="00BE6376">
            <w:pPr>
              <w:spacing w:before="240"/>
              <w:contextualSpacing/>
              <w:jc w:val="both"/>
              <w:rPr>
                <w:rFonts w:ascii="Verdana" w:hAnsi="Verdana"/>
                <w:sz w:val="20"/>
                <w:szCs w:val="20"/>
                <w:lang w:val="en-GB"/>
              </w:rPr>
            </w:pPr>
            <w:r w:rsidRPr="00BE6376">
              <w:rPr>
                <w:rFonts w:ascii="Verdana" w:eastAsia="Calibri" w:hAnsi="Verdana" w:cs="Times New Roman"/>
                <w:sz w:val="20"/>
                <w:szCs w:val="20"/>
                <w:lang w:val="en-US"/>
              </w:rPr>
              <w:t>The only data available refers to the national elections of 2012.</w:t>
            </w:r>
            <w:r w:rsidRPr="00BE6376">
              <w:rPr>
                <w:rStyle w:val="FootnoteReference"/>
                <w:rFonts w:ascii="Verdana" w:eastAsia="Calibri" w:hAnsi="Verdana" w:cs="Times New Roman"/>
                <w:sz w:val="20"/>
                <w:szCs w:val="20"/>
                <w:lang w:val="en-US"/>
              </w:rPr>
              <w:footnoteReference w:id="44"/>
            </w:r>
            <w:r w:rsidRPr="00BE6376">
              <w:rPr>
                <w:rFonts w:ascii="Verdana" w:eastAsia="Calibri" w:hAnsi="Verdana" w:cs="Times New Roman"/>
                <w:sz w:val="20"/>
                <w:szCs w:val="20"/>
                <w:lang w:val="en-US"/>
              </w:rPr>
              <w:t xml:space="preserve"> The evaluation report of these election shows that only 2% of polling stations was accessible for persons with disabilities. The criteria that are used to determine the accessibility of polling stations mainly concern accessibility for people with physical and visual impairments (e.g. specific parking spaces, clear signs, wheelchair accessibility, low voting booths).</w:t>
            </w:r>
            <w:r w:rsidRPr="00BE6376">
              <w:rPr>
                <w:rStyle w:val="FootnoteReference"/>
                <w:rFonts w:ascii="Verdana" w:eastAsia="Calibri" w:hAnsi="Verdana" w:cs="Times New Roman"/>
                <w:sz w:val="20"/>
                <w:szCs w:val="20"/>
                <w:lang w:val="en-US"/>
              </w:rPr>
              <w:footnoteReference w:id="45"/>
            </w:r>
            <w:r w:rsidRPr="00BE6376">
              <w:rPr>
                <w:rFonts w:ascii="Verdana" w:eastAsia="Calibri" w:hAnsi="Verdana" w:cs="Times New Roman"/>
                <w:sz w:val="20"/>
                <w:szCs w:val="20"/>
                <w:lang w:val="en-US"/>
              </w:rPr>
              <w:t xml:space="preserve"> These criteria originate from a checklist developed for the parliamentary elections on </w:t>
            </w:r>
            <w:r>
              <w:rPr>
                <w:rFonts w:ascii="Verdana" w:eastAsia="Calibri" w:hAnsi="Verdana" w:cs="Times New Roman"/>
                <w:sz w:val="20"/>
                <w:szCs w:val="20"/>
                <w:lang w:val="en-US"/>
              </w:rPr>
              <w:t xml:space="preserve">the </w:t>
            </w:r>
            <w:r w:rsidRPr="00BE6376">
              <w:rPr>
                <w:rFonts w:ascii="Verdana" w:eastAsia="Calibri" w:hAnsi="Verdana" w:cs="Times New Roman"/>
                <w:sz w:val="20"/>
                <w:szCs w:val="20"/>
                <w:lang w:val="en-US"/>
              </w:rPr>
              <w:t>12</w:t>
            </w:r>
            <w:r w:rsidRPr="00D05F7D">
              <w:rPr>
                <w:rFonts w:ascii="Verdana" w:eastAsia="Calibri" w:hAnsi="Verdana" w:cs="Times New Roman"/>
                <w:sz w:val="20"/>
                <w:szCs w:val="20"/>
                <w:vertAlign w:val="superscript"/>
                <w:lang w:val="en-US"/>
              </w:rPr>
              <w:t>th</w:t>
            </w:r>
            <w:r>
              <w:rPr>
                <w:rFonts w:ascii="Verdana" w:eastAsia="Calibri" w:hAnsi="Verdana" w:cs="Times New Roman"/>
                <w:sz w:val="20"/>
                <w:szCs w:val="20"/>
                <w:lang w:val="en-US"/>
              </w:rPr>
              <w:t xml:space="preserve"> of</w:t>
            </w:r>
            <w:r w:rsidRPr="00BE6376">
              <w:rPr>
                <w:rFonts w:ascii="Verdana" w:eastAsia="Calibri" w:hAnsi="Verdana" w:cs="Times New Roman"/>
                <w:sz w:val="20"/>
                <w:szCs w:val="20"/>
                <w:lang w:val="en-US"/>
              </w:rPr>
              <w:t xml:space="preserve"> September 2012 and refers to the four categories of accessibility, namely communication (</w:t>
            </w:r>
            <w:r w:rsidRPr="00BE6376">
              <w:rPr>
                <w:rFonts w:ascii="Verdana" w:eastAsia="Calibri" w:hAnsi="Verdana" w:cs="Times New Roman"/>
                <w:i/>
                <w:sz w:val="20"/>
                <w:szCs w:val="20"/>
                <w:lang w:val="en-US"/>
              </w:rPr>
              <w:t>communicatie</w:t>
            </w:r>
            <w:r w:rsidRPr="00BE6376">
              <w:rPr>
                <w:rFonts w:ascii="Verdana" w:eastAsia="Calibri" w:hAnsi="Verdana" w:cs="Times New Roman"/>
                <w:sz w:val="20"/>
                <w:szCs w:val="20"/>
                <w:lang w:val="en-US"/>
              </w:rPr>
              <w:t>), accessibility (</w:t>
            </w:r>
            <w:r w:rsidRPr="00BE6376">
              <w:rPr>
                <w:rFonts w:ascii="Verdana" w:eastAsia="Calibri" w:hAnsi="Verdana" w:cs="Times New Roman"/>
                <w:i/>
                <w:sz w:val="20"/>
                <w:szCs w:val="20"/>
                <w:lang w:val="en-US"/>
              </w:rPr>
              <w:t>bereikbaarheid</w:t>
            </w:r>
            <w:r w:rsidRPr="00BE6376">
              <w:rPr>
                <w:rFonts w:ascii="Verdana" w:eastAsia="Calibri" w:hAnsi="Verdana" w:cs="Times New Roman"/>
                <w:sz w:val="20"/>
                <w:szCs w:val="20"/>
                <w:lang w:val="en-US"/>
              </w:rPr>
              <w:t>), enterability (</w:t>
            </w:r>
            <w:r w:rsidRPr="00BE6376">
              <w:rPr>
                <w:rFonts w:ascii="Verdana" w:eastAsia="Calibri" w:hAnsi="Verdana" w:cs="Times New Roman"/>
                <w:i/>
                <w:sz w:val="20"/>
                <w:szCs w:val="20"/>
                <w:lang w:val="en-US"/>
              </w:rPr>
              <w:t>betreedbaarheid</w:t>
            </w:r>
            <w:r w:rsidRPr="00BE6376">
              <w:rPr>
                <w:rFonts w:ascii="Verdana" w:eastAsia="Calibri" w:hAnsi="Verdana" w:cs="Times New Roman"/>
                <w:sz w:val="20"/>
                <w:szCs w:val="20"/>
                <w:lang w:val="en-US"/>
              </w:rPr>
              <w:t>) and usability (</w:t>
            </w:r>
            <w:r w:rsidRPr="00BE6376">
              <w:rPr>
                <w:rFonts w:ascii="Verdana" w:eastAsia="Calibri" w:hAnsi="Verdana" w:cs="Times New Roman"/>
                <w:i/>
                <w:sz w:val="20"/>
                <w:szCs w:val="20"/>
                <w:lang w:val="en-US"/>
              </w:rPr>
              <w:t>bruikbaarheid</w:t>
            </w:r>
            <w:r w:rsidRPr="00BE6376">
              <w:rPr>
                <w:rFonts w:ascii="Verdana" w:hAnsi="Verdana"/>
                <w:sz w:val="20"/>
                <w:szCs w:val="20"/>
                <w:lang w:val="en-GB"/>
              </w:rPr>
              <w:t>).</w:t>
            </w:r>
            <w:r w:rsidRPr="00BE6376">
              <w:rPr>
                <w:rStyle w:val="FootnoteReference"/>
                <w:rFonts w:ascii="Verdana" w:hAnsi="Verdana"/>
                <w:sz w:val="20"/>
                <w:szCs w:val="20"/>
                <w:lang w:val="en-GB"/>
              </w:rPr>
              <w:footnoteReference w:id="46"/>
            </w:r>
          </w:p>
        </w:tc>
      </w:tr>
      <w:tr w:rsidR="00BE3D1F" w:rsidRPr="00BE6376" w14:paraId="47BE0E61" w14:textId="77777777" w:rsidTr="00BE3D1F">
        <w:trPr>
          <w:trHeight w:val="454"/>
        </w:trPr>
        <w:tc>
          <w:tcPr>
            <w:tcW w:w="1526" w:type="pct"/>
            <w:shd w:val="clear" w:color="auto" w:fill="auto"/>
            <w:vAlign w:val="center"/>
          </w:tcPr>
          <w:p w14:paraId="51F1CB92" w14:textId="77777777" w:rsidR="00BE3D1F" w:rsidRPr="00BE6376" w:rsidRDefault="00BE3D1F" w:rsidP="00BE637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lastRenderedPageBreak/>
              <w:t>Does the website to provide instructions for voting and information on candidates run by the ministry responsible for organising elections meet accessibility standards (e.g. equivalent to Web Content Accessibility Guidelines (WCAG) 2.0 AA standard)?</w:t>
            </w:r>
          </w:p>
        </w:tc>
        <w:tc>
          <w:tcPr>
            <w:tcW w:w="3474" w:type="pct"/>
            <w:vAlign w:val="center"/>
          </w:tcPr>
          <w:p w14:paraId="704CF9CF" w14:textId="77777777" w:rsidR="00BE3D1F" w:rsidRDefault="00BE3D1F" w:rsidP="00BE637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The website of the national government providing general information and instructions on elections and voting, including national, European and local elections,</w:t>
            </w:r>
            <w:r w:rsidRPr="00BE6376">
              <w:rPr>
                <w:rStyle w:val="FootnoteReference"/>
                <w:rFonts w:ascii="Verdana" w:eastAsia="Calibri" w:hAnsi="Verdana" w:cs="Times New Roman"/>
                <w:sz w:val="20"/>
                <w:szCs w:val="20"/>
                <w:lang w:val="en-GB"/>
              </w:rPr>
              <w:footnoteReference w:id="47"/>
            </w:r>
            <w:r w:rsidRPr="00BE6376">
              <w:rPr>
                <w:rFonts w:ascii="Verdana" w:eastAsia="Calibri" w:hAnsi="Verdana" w:cs="Times New Roman"/>
                <w:sz w:val="20"/>
                <w:szCs w:val="20"/>
                <w:lang w:val="en-GB"/>
              </w:rPr>
              <w:t xml:space="preserve"> complies with the Quality Model of Website Guidelines (</w:t>
            </w:r>
            <w:r w:rsidRPr="00BE6376">
              <w:rPr>
                <w:rFonts w:ascii="Verdana" w:eastAsia="Calibri" w:hAnsi="Verdana" w:cs="Times New Roman"/>
                <w:i/>
                <w:sz w:val="20"/>
                <w:szCs w:val="20"/>
                <w:lang w:val="en-GB"/>
              </w:rPr>
              <w:t>Kwaliteitsmodel Webrichtlijnen</w:t>
            </w:r>
            <w:r w:rsidRPr="00BE6376">
              <w:rPr>
                <w:rFonts w:ascii="Verdana" w:eastAsia="Calibri" w:hAnsi="Verdana" w:cs="Times New Roman"/>
                <w:sz w:val="20"/>
                <w:szCs w:val="20"/>
                <w:lang w:val="en-GB"/>
              </w:rPr>
              <w:t>), at least equivalent to the WCAG 1.0.</w:t>
            </w:r>
            <w:r w:rsidRPr="00BE6376">
              <w:rPr>
                <w:rStyle w:val="FootnoteReference"/>
                <w:rFonts w:ascii="Verdana" w:eastAsia="Calibri" w:hAnsi="Verdana" w:cs="Times New Roman"/>
                <w:sz w:val="20"/>
                <w:szCs w:val="20"/>
                <w:lang w:val="en-GB"/>
              </w:rPr>
              <w:footnoteReference w:id="48"/>
            </w:r>
          </w:p>
          <w:p w14:paraId="3C4349A9" w14:textId="77777777" w:rsidR="00BE3D1F" w:rsidRPr="00BE6376" w:rsidRDefault="00BE3D1F" w:rsidP="00BE6376">
            <w:pPr>
              <w:spacing w:before="240"/>
              <w:contextualSpacing/>
              <w:jc w:val="both"/>
              <w:rPr>
                <w:rFonts w:ascii="Verdana" w:eastAsia="Calibri" w:hAnsi="Verdana" w:cs="Times New Roman"/>
                <w:sz w:val="20"/>
                <w:szCs w:val="20"/>
                <w:lang w:val="en-GB"/>
              </w:rPr>
            </w:pPr>
          </w:p>
          <w:p w14:paraId="54186A97" w14:textId="066C544B" w:rsidR="00BE3D1F" w:rsidRPr="00BE6376" w:rsidRDefault="00BE3D1F" w:rsidP="00BE637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The Electoral Council also provides information and instructions on elections, including European and local elections, on its website.</w:t>
            </w:r>
            <w:r w:rsidRPr="00BE6376">
              <w:rPr>
                <w:rStyle w:val="FootnoteReference"/>
                <w:rFonts w:ascii="Verdana" w:eastAsia="Calibri" w:hAnsi="Verdana" w:cs="Times New Roman"/>
                <w:sz w:val="20"/>
                <w:szCs w:val="20"/>
                <w:lang w:val="en-GB"/>
              </w:rPr>
              <w:footnoteReference w:id="49"/>
            </w:r>
            <w:r w:rsidRPr="00BE6376">
              <w:rPr>
                <w:rFonts w:ascii="Verdana" w:eastAsia="Calibri" w:hAnsi="Verdana" w:cs="Times New Roman"/>
                <w:sz w:val="20"/>
                <w:szCs w:val="20"/>
                <w:lang w:val="en-GB"/>
              </w:rPr>
              <w:t xml:space="preserve"> The website does not display an accessibility certificate, though some accessibility features are provided, e.g. a font size adjustment feature.</w:t>
            </w:r>
          </w:p>
        </w:tc>
      </w:tr>
      <w:tr w:rsidR="00BE3D1F" w:rsidRPr="00BE6376" w14:paraId="777658FD" w14:textId="77777777" w:rsidTr="00BE3D1F">
        <w:trPr>
          <w:trHeight w:val="454"/>
        </w:trPr>
        <w:tc>
          <w:tcPr>
            <w:tcW w:w="1526" w:type="pct"/>
            <w:shd w:val="clear" w:color="auto" w:fill="auto"/>
            <w:vAlign w:val="center"/>
          </w:tcPr>
          <w:p w14:paraId="1946FCD5" w14:textId="77777777" w:rsidR="00BE3D1F" w:rsidRPr="00BE6376" w:rsidRDefault="00BE3D1F" w:rsidP="00BE637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What proportion of main public and/or private television broadcasts providing instructions for voting and information on candidates has national language subtitles?</w:t>
            </w:r>
          </w:p>
        </w:tc>
        <w:tc>
          <w:tcPr>
            <w:tcW w:w="3474" w:type="pct"/>
            <w:vAlign w:val="center"/>
          </w:tcPr>
          <w:p w14:paraId="6AF43FEF" w14:textId="77777777" w:rsidR="00BE3D1F" w:rsidRDefault="00BE3D1F" w:rsidP="00BE6376">
            <w:pPr>
              <w:spacing w:before="240"/>
              <w:contextualSpacing/>
              <w:jc w:val="both"/>
              <w:rPr>
                <w:rFonts w:ascii="Verdana" w:eastAsia="Calibri" w:hAnsi="Verdana" w:cs="Times New Roman"/>
                <w:sz w:val="20"/>
                <w:szCs w:val="20"/>
                <w:lang w:val="en-US"/>
              </w:rPr>
            </w:pPr>
            <w:r w:rsidRPr="00BE6376">
              <w:rPr>
                <w:rFonts w:ascii="Verdana" w:eastAsia="Calibri" w:hAnsi="Verdana" w:cs="Times New Roman"/>
                <w:sz w:val="20"/>
                <w:szCs w:val="20"/>
                <w:lang w:val="en-US"/>
              </w:rPr>
              <w:t>According to the Electoral Council, there are hardly any television broadcasts providing instruction for voting, apart from party political broadcasts. Parties can decide for themselves whether they wish to provide subtitles for their election broadcasts.</w:t>
            </w:r>
            <w:r w:rsidRPr="00BE6376">
              <w:rPr>
                <w:rStyle w:val="FootnoteReference"/>
                <w:rFonts w:ascii="Verdana" w:eastAsia="Calibri" w:hAnsi="Verdana" w:cs="Times New Roman"/>
                <w:sz w:val="20"/>
                <w:szCs w:val="20"/>
                <w:lang w:val="en-US"/>
              </w:rPr>
              <w:footnoteReference w:id="50"/>
            </w:r>
            <w:r w:rsidRPr="00BE6376">
              <w:rPr>
                <w:rFonts w:ascii="Verdana" w:eastAsia="Calibri" w:hAnsi="Verdana" w:cs="Times New Roman"/>
                <w:sz w:val="20"/>
                <w:szCs w:val="20"/>
                <w:lang w:val="en-US"/>
              </w:rPr>
              <w:t xml:space="preserve"> There is however no information on which party political broadcasts for recent elections had subtitles. The three political parties that provided information for this report did not use national language subtitles in their television broadcasts.</w:t>
            </w:r>
            <w:r w:rsidRPr="00BE6376">
              <w:rPr>
                <w:rStyle w:val="FootnoteReference"/>
                <w:rFonts w:ascii="Verdana" w:eastAsia="Calibri" w:hAnsi="Verdana" w:cs="Times New Roman"/>
                <w:sz w:val="20"/>
                <w:szCs w:val="20"/>
                <w:lang w:val="en-US"/>
              </w:rPr>
              <w:footnoteReference w:id="51"/>
            </w:r>
          </w:p>
          <w:p w14:paraId="7C6DA9FE" w14:textId="77777777" w:rsidR="00BE3D1F" w:rsidRPr="00BE6376" w:rsidRDefault="00BE3D1F" w:rsidP="00BE6376">
            <w:pPr>
              <w:spacing w:before="240"/>
              <w:contextualSpacing/>
              <w:jc w:val="both"/>
              <w:rPr>
                <w:rFonts w:ascii="Verdana" w:eastAsia="Calibri" w:hAnsi="Verdana" w:cs="Times New Roman"/>
                <w:sz w:val="20"/>
                <w:szCs w:val="20"/>
                <w:lang w:val="en-US"/>
              </w:rPr>
            </w:pPr>
          </w:p>
          <w:p w14:paraId="161F5EB3" w14:textId="77777777" w:rsidR="00BE3D1F" w:rsidRDefault="00BE3D1F" w:rsidP="00BE6376">
            <w:pPr>
              <w:spacing w:before="240"/>
              <w:contextualSpacing/>
              <w:jc w:val="both"/>
              <w:rPr>
                <w:rFonts w:ascii="Verdana" w:eastAsia="Calibri" w:hAnsi="Verdana" w:cs="Times New Roman"/>
                <w:sz w:val="20"/>
                <w:szCs w:val="20"/>
                <w:lang w:val="en-US"/>
              </w:rPr>
            </w:pPr>
            <w:r w:rsidRPr="00BE6376">
              <w:rPr>
                <w:rFonts w:ascii="Verdana" w:eastAsia="Calibri" w:hAnsi="Verdana" w:cs="Times New Roman"/>
                <w:sz w:val="20"/>
                <w:szCs w:val="20"/>
                <w:lang w:val="en-US"/>
              </w:rPr>
              <w:t>Pursuant to the Media Decision 2008, public television stations have the obligation to provide subtitles to 95% of their broadcasts.</w:t>
            </w:r>
            <w:r w:rsidRPr="00BE6376">
              <w:rPr>
                <w:rStyle w:val="FootnoteReference"/>
                <w:rFonts w:ascii="Verdana" w:eastAsia="Calibri" w:hAnsi="Verdana" w:cs="Times New Roman"/>
                <w:sz w:val="20"/>
                <w:szCs w:val="20"/>
                <w:lang w:val="en-US"/>
              </w:rPr>
              <w:footnoteReference w:id="52"/>
            </w:r>
            <w:r w:rsidRPr="00BE6376">
              <w:rPr>
                <w:rFonts w:ascii="Verdana" w:eastAsia="Calibri" w:hAnsi="Verdana" w:cs="Times New Roman"/>
                <w:sz w:val="20"/>
                <w:szCs w:val="20"/>
                <w:lang w:val="en-US"/>
              </w:rPr>
              <w:t xml:space="preserve"> Private television stations have the obligation to provide subtitles to 50% of their broadcasts.</w:t>
            </w:r>
            <w:r w:rsidRPr="00BE6376">
              <w:rPr>
                <w:rStyle w:val="FootnoteReference"/>
                <w:rFonts w:ascii="Verdana" w:eastAsia="Calibri" w:hAnsi="Verdana" w:cs="Times New Roman"/>
                <w:sz w:val="20"/>
                <w:szCs w:val="20"/>
                <w:lang w:val="en-US"/>
              </w:rPr>
              <w:footnoteReference w:id="53"/>
            </w:r>
          </w:p>
          <w:p w14:paraId="67C7033B" w14:textId="6C3CD339" w:rsidR="00BE3D1F" w:rsidRDefault="00BE3D1F" w:rsidP="00BE6376">
            <w:pPr>
              <w:spacing w:before="240"/>
              <w:contextualSpacing/>
              <w:jc w:val="both"/>
              <w:rPr>
                <w:rFonts w:ascii="Verdana" w:eastAsia="Calibri" w:hAnsi="Verdana" w:cs="Times New Roman"/>
                <w:sz w:val="20"/>
                <w:szCs w:val="20"/>
                <w:lang w:val="en-US"/>
              </w:rPr>
            </w:pPr>
          </w:p>
          <w:p w14:paraId="03F951AE" w14:textId="29ED75FF" w:rsidR="00BE3D1F" w:rsidRDefault="00BE3D1F" w:rsidP="00BE6376">
            <w:pPr>
              <w:spacing w:before="240"/>
              <w:contextualSpacing/>
              <w:jc w:val="both"/>
              <w:rPr>
                <w:rFonts w:ascii="Verdana" w:eastAsia="Calibri" w:hAnsi="Verdana" w:cs="Times New Roman"/>
                <w:sz w:val="20"/>
                <w:szCs w:val="20"/>
                <w:lang w:val="en-US"/>
              </w:rPr>
            </w:pPr>
            <w:r w:rsidRPr="00BE6376">
              <w:rPr>
                <w:rFonts w:ascii="Verdana" w:eastAsia="Calibri" w:hAnsi="Verdana" w:cs="Times New Roman"/>
                <w:sz w:val="20"/>
                <w:szCs w:val="20"/>
                <w:lang w:val="en-US"/>
              </w:rPr>
              <w:t>According to the Dutch Media Authority (</w:t>
            </w:r>
            <w:r w:rsidRPr="00BE6376">
              <w:rPr>
                <w:rFonts w:ascii="Verdana" w:eastAsia="Calibri" w:hAnsi="Verdana" w:cs="Times New Roman"/>
                <w:i/>
                <w:sz w:val="20"/>
                <w:szCs w:val="20"/>
                <w:lang w:val="en-US"/>
              </w:rPr>
              <w:t>Commissariaat voor de Media</w:t>
            </w:r>
            <w:r w:rsidRPr="00BE6376">
              <w:rPr>
                <w:rFonts w:ascii="Verdana" w:eastAsia="Calibri" w:hAnsi="Verdana" w:cs="Times New Roman"/>
                <w:sz w:val="20"/>
                <w:szCs w:val="20"/>
                <w:lang w:val="en-US"/>
              </w:rPr>
              <w:t>), the public television station</w:t>
            </w:r>
            <w:r>
              <w:rPr>
                <w:rFonts w:ascii="Verdana" w:eastAsia="Calibri" w:hAnsi="Verdana" w:cs="Times New Roman"/>
                <w:sz w:val="20"/>
                <w:szCs w:val="20"/>
                <w:lang w:val="en-US"/>
              </w:rPr>
              <w:t>s</w:t>
            </w:r>
            <w:r w:rsidRPr="00BE6376">
              <w:rPr>
                <w:rFonts w:ascii="Verdana" w:eastAsia="Calibri" w:hAnsi="Verdana" w:cs="Times New Roman"/>
                <w:sz w:val="20"/>
                <w:szCs w:val="20"/>
                <w:lang w:val="en-US"/>
              </w:rPr>
              <w:t xml:space="preserve"> generally comply with the requirements. The private television stations differ in their compliance. Those who provide general broadcasts (Net5 and SBS6) do comply with the requirements.This compliance would include broadcasts providing instructions for voting, but not advertisements or party-political broadcasts. There is however no information available on which types of broadcasts are subtitled. However, considering the high percentage of subtitled programmes, the probability that news and </w:t>
            </w:r>
            <w:r w:rsidRPr="00BE6376">
              <w:rPr>
                <w:rFonts w:ascii="Verdana" w:eastAsia="Calibri" w:hAnsi="Verdana" w:cs="Times New Roman"/>
                <w:sz w:val="20"/>
                <w:szCs w:val="20"/>
                <w:lang w:val="en-US"/>
              </w:rPr>
              <w:lastRenderedPageBreak/>
              <w:t>current affairs programmes, including election-related programmes, are subtitled, is very high, especially in the case of public providers.</w:t>
            </w:r>
            <w:r>
              <w:rPr>
                <w:rStyle w:val="FootnoteReference"/>
                <w:rFonts w:ascii="Verdana" w:eastAsia="Calibri" w:hAnsi="Verdana" w:cs="Times New Roman"/>
                <w:sz w:val="20"/>
                <w:szCs w:val="20"/>
                <w:lang w:val="en-US"/>
              </w:rPr>
              <w:t xml:space="preserve"> </w:t>
            </w:r>
            <w:r>
              <w:rPr>
                <w:rStyle w:val="FootnoteReference"/>
                <w:rFonts w:ascii="Verdana" w:eastAsia="Calibri" w:hAnsi="Verdana" w:cs="Times New Roman"/>
                <w:sz w:val="20"/>
                <w:szCs w:val="20"/>
                <w:lang w:val="en-US"/>
              </w:rPr>
              <w:footnoteReference w:id="54"/>
            </w:r>
          </w:p>
          <w:p w14:paraId="5FD279F1" w14:textId="77777777" w:rsidR="00BE3D1F" w:rsidRPr="00BE6376" w:rsidRDefault="00BE3D1F" w:rsidP="00BE6376">
            <w:pPr>
              <w:spacing w:before="240"/>
              <w:contextualSpacing/>
              <w:jc w:val="both"/>
              <w:rPr>
                <w:rFonts w:ascii="Verdana" w:eastAsia="Calibri" w:hAnsi="Verdana" w:cs="Times New Roman"/>
                <w:sz w:val="20"/>
                <w:szCs w:val="20"/>
                <w:lang w:val="en-US"/>
              </w:rPr>
            </w:pPr>
          </w:p>
          <w:p w14:paraId="5A8D3D52" w14:textId="04EA7387" w:rsidR="00BE3D1F" w:rsidRPr="00BB53E2" w:rsidRDefault="00BE3D1F" w:rsidP="00BE6376">
            <w:pPr>
              <w:spacing w:before="240"/>
              <w:contextualSpacing/>
              <w:jc w:val="both"/>
              <w:rPr>
                <w:rFonts w:ascii="Verdana" w:eastAsia="Calibri" w:hAnsi="Verdana" w:cs="Times New Roman"/>
                <w:sz w:val="20"/>
                <w:szCs w:val="20"/>
                <w:lang w:val="en-US"/>
              </w:rPr>
            </w:pPr>
            <w:r>
              <w:rPr>
                <w:rFonts w:ascii="Verdana" w:eastAsia="Calibri" w:hAnsi="Verdana" w:cs="Times New Roman"/>
                <w:sz w:val="20"/>
                <w:szCs w:val="20"/>
                <w:lang w:val="en-US"/>
              </w:rPr>
              <w:t>T</w:t>
            </w:r>
            <w:r w:rsidRPr="00BE6376">
              <w:rPr>
                <w:rFonts w:ascii="Verdana" w:eastAsia="Calibri" w:hAnsi="Verdana" w:cs="Times New Roman"/>
                <w:sz w:val="20"/>
                <w:szCs w:val="20"/>
                <w:lang w:val="en-US"/>
              </w:rPr>
              <w:t xml:space="preserve">he editors of the website for persons with hearing impairments </w:t>
            </w:r>
            <w:r>
              <w:rPr>
                <w:rFonts w:ascii="Verdana" w:eastAsia="Calibri" w:hAnsi="Verdana" w:cs="Times New Roman"/>
                <w:sz w:val="20"/>
                <w:szCs w:val="20"/>
                <w:lang w:val="en-US"/>
              </w:rPr>
              <w:t>(</w:t>
            </w:r>
            <w:r w:rsidRPr="00BE6376">
              <w:rPr>
                <w:rFonts w:ascii="Verdana" w:eastAsia="Calibri" w:hAnsi="Verdana" w:cs="Times New Roman"/>
                <w:sz w:val="20"/>
                <w:szCs w:val="20"/>
                <w:lang w:val="en-US"/>
              </w:rPr>
              <w:t>Doof.nl</w:t>
            </w:r>
            <w:r>
              <w:rPr>
                <w:rFonts w:ascii="Verdana" w:eastAsia="Calibri" w:hAnsi="Verdana" w:cs="Times New Roman"/>
                <w:sz w:val="20"/>
                <w:szCs w:val="20"/>
                <w:lang w:val="en-US"/>
              </w:rPr>
              <w:t>)</w:t>
            </w:r>
            <w:r w:rsidRPr="00BE6376">
              <w:rPr>
                <w:rFonts w:ascii="Verdana" w:eastAsia="Calibri" w:hAnsi="Verdana" w:cs="Times New Roman"/>
                <w:sz w:val="20"/>
                <w:szCs w:val="20"/>
                <w:lang w:val="en-US"/>
              </w:rPr>
              <w:t xml:space="preserve"> and  the Cooperation Subtitling of all Programmes (</w:t>
            </w:r>
            <w:r w:rsidRPr="00BE6376">
              <w:rPr>
                <w:rFonts w:ascii="Verdana" w:eastAsia="Calibri" w:hAnsi="Verdana" w:cs="Times New Roman"/>
                <w:i/>
                <w:sz w:val="20"/>
                <w:szCs w:val="20"/>
                <w:lang w:val="en-US"/>
              </w:rPr>
              <w:t xml:space="preserve">Samenwerkingsverband Ondertitel Alle Programma's, </w:t>
            </w:r>
            <w:r w:rsidRPr="00BE6376">
              <w:rPr>
                <w:rFonts w:ascii="Verdana" w:eastAsia="Calibri" w:hAnsi="Verdana" w:cs="Times New Roman"/>
                <w:sz w:val="20"/>
                <w:szCs w:val="20"/>
                <w:lang w:val="en-US"/>
              </w:rPr>
              <w:t>SOAP)</w:t>
            </w:r>
            <w:r>
              <w:rPr>
                <w:rFonts w:ascii="Verdana" w:eastAsia="Calibri" w:hAnsi="Verdana" w:cs="Times New Roman"/>
                <w:sz w:val="20"/>
                <w:szCs w:val="20"/>
                <w:lang w:val="en-US"/>
              </w:rPr>
              <w:t xml:space="preserve"> were also consulted</w:t>
            </w:r>
            <w:r w:rsidRPr="00BE6376">
              <w:rPr>
                <w:rFonts w:ascii="Verdana" w:eastAsia="Calibri" w:hAnsi="Verdana" w:cs="Times New Roman"/>
                <w:sz w:val="20"/>
                <w:szCs w:val="20"/>
                <w:lang w:val="en-US"/>
              </w:rPr>
              <w:t xml:space="preserve">. </w:t>
            </w:r>
            <w:r>
              <w:rPr>
                <w:rFonts w:ascii="Verdana" w:eastAsia="Calibri" w:hAnsi="Verdana" w:cs="Times New Roman"/>
                <w:sz w:val="20"/>
                <w:szCs w:val="20"/>
                <w:lang w:val="en-US"/>
              </w:rPr>
              <w:t>No</w:t>
            </w:r>
            <w:r w:rsidRPr="00BE6376">
              <w:rPr>
                <w:rFonts w:ascii="Verdana" w:eastAsia="Calibri" w:hAnsi="Verdana" w:cs="Times New Roman"/>
                <w:sz w:val="20"/>
                <w:szCs w:val="20"/>
                <w:lang w:val="en-US"/>
              </w:rPr>
              <w:t xml:space="preserve"> additional information</w:t>
            </w:r>
            <w:r>
              <w:rPr>
                <w:rFonts w:ascii="Verdana" w:eastAsia="Calibri" w:hAnsi="Verdana" w:cs="Times New Roman"/>
                <w:sz w:val="20"/>
                <w:szCs w:val="20"/>
                <w:lang w:val="en-US"/>
              </w:rPr>
              <w:t xml:space="preserve"> was provided</w:t>
            </w:r>
            <w:r w:rsidRPr="00BE6376">
              <w:rPr>
                <w:rFonts w:ascii="Verdana" w:eastAsia="Calibri" w:hAnsi="Verdana" w:cs="Times New Roman"/>
                <w:sz w:val="20"/>
                <w:szCs w:val="20"/>
                <w:lang w:val="en-US"/>
              </w:rPr>
              <w:t>.</w:t>
            </w:r>
            <w:r w:rsidRPr="00BE6376">
              <w:rPr>
                <w:rStyle w:val="FootnoteReference"/>
                <w:rFonts w:ascii="Verdana" w:eastAsia="Calibri" w:hAnsi="Verdana" w:cs="Times New Roman"/>
                <w:sz w:val="20"/>
                <w:szCs w:val="20"/>
                <w:lang w:val="en-US"/>
              </w:rPr>
              <w:footnoteReference w:id="55"/>
            </w:r>
          </w:p>
        </w:tc>
      </w:tr>
      <w:tr w:rsidR="00BE3D1F" w:rsidRPr="00BE6376" w14:paraId="599426AB" w14:textId="77777777" w:rsidTr="00BE3D1F">
        <w:trPr>
          <w:trHeight w:val="454"/>
        </w:trPr>
        <w:tc>
          <w:tcPr>
            <w:tcW w:w="1526" w:type="pct"/>
            <w:shd w:val="clear" w:color="auto" w:fill="auto"/>
            <w:vAlign w:val="center"/>
          </w:tcPr>
          <w:p w14:paraId="5CCAD451" w14:textId="77777777" w:rsidR="00BE3D1F" w:rsidRPr="00BE6376" w:rsidRDefault="00BE3D1F" w:rsidP="00BE637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lastRenderedPageBreak/>
              <w:t>What proportion of main public and/or private television broadcasts providing instructions for voting and information on candidates has audio description?</w:t>
            </w:r>
          </w:p>
        </w:tc>
        <w:tc>
          <w:tcPr>
            <w:tcW w:w="3474" w:type="pct"/>
            <w:vAlign w:val="center"/>
          </w:tcPr>
          <w:p w14:paraId="6B4BE4C4" w14:textId="2D5BA782" w:rsidR="00BE3D1F" w:rsidRPr="00BE6376" w:rsidRDefault="00BE3D1F" w:rsidP="00BE3D1F">
            <w:pPr>
              <w:spacing w:before="240"/>
              <w:contextualSpacing/>
              <w:jc w:val="both"/>
              <w:rPr>
                <w:rFonts w:ascii="Verdana" w:eastAsia="Calibri" w:hAnsi="Verdana" w:cs="Times New Roman"/>
                <w:sz w:val="20"/>
                <w:szCs w:val="20"/>
                <w:lang w:val="en-US"/>
              </w:rPr>
            </w:pPr>
            <w:r w:rsidRPr="00BE6376">
              <w:rPr>
                <w:rFonts w:ascii="Verdana" w:eastAsia="Calibri" w:hAnsi="Verdana" w:cs="Times New Roman"/>
                <w:sz w:val="20"/>
                <w:szCs w:val="20"/>
                <w:lang w:val="en-US"/>
              </w:rPr>
              <w:t>There is very little information available on the use of audio description on Dutch television.</w:t>
            </w:r>
            <w:r w:rsidRPr="00BE6376">
              <w:rPr>
                <w:rStyle w:val="FootnoteReference"/>
                <w:rFonts w:ascii="Verdana" w:eastAsia="Calibri" w:hAnsi="Verdana" w:cs="Times New Roman"/>
                <w:sz w:val="20"/>
                <w:szCs w:val="20"/>
                <w:lang w:val="en-US"/>
              </w:rPr>
              <w:footnoteReference w:id="56"/>
            </w:r>
            <w:r>
              <w:rPr>
                <w:rFonts w:ascii="Verdana" w:eastAsia="Calibri" w:hAnsi="Verdana" w:cs="Times New Roman"/>
                <w:sz w:val="20"/>
                <w:szCs w:val="20"/>
                <w:lang w:val="en-US"/>
              </w:rPr>
              <w:t xml:space="preserve"> A</w:t>
            </w:r>
            <w:r w:rsidRPr="00BE6376">
              <w:rPr>
                <w:rFonts w:ascii="Verdana" w:eastAsia="Calibri" w:hAnsi="Verdana" w:cs="Times New Roman"/>
                <w:sz w:val="20"/>
                <w:szCs w:val="20"/>
                <w:lang w:val="en-US"/>
              </w:rPr>
              <w:t>ccording to the Electoral Council, there are hardly any television broadcasts providing instruction for voting, apart from party political broadcasts. Parties can decide for themselves whether they wish to provide audio description for their election broadcasts.</w:t>
            </w:r>
            <w:r w:rsidRPr="00BE6376">
              <w:rPr>
                <w:rStyle w:val="FootnoteReference"/>
                <w:rFonts w:ascii="Verdana" w:eastAsia="Calibri" w:hAnsi="Verdana" w:cs="Times New Roman"/>
                <w:sz w:val="20"/>
                <w:szCs w:val="20"/>
                <w:lang w:val="en-US"/>
              </w:rPr>
              <w:footnoteReference w:id="57"/>
            </w:r>
            <w:r w:rsidRPr="00BE6376">
              <w:rPr>
                <w:rFonts w:ascii="Verdana" w:eastAsia="Calibri" w:hAnsi="Verdana" w:cs="Times New Roman"/>
                <w:sz w:val="20"/>
                <w:szCs w:val="20"/>
                <w:lang w:val="en-US"/>
              </w:rPr>
              <w:t xml:space="preserve"> The three political parties that provided information for this report did not use audio description in their television broadcasts.</w:t>
            </w:r>
            <w:r w:rsidRPr="00BE6376">
              <w:rPr>
                <w:rStyle w:val="FootnoteReference"/>
                <w:rFonts w:ascii="Verdana" w:eastAsia="Calibri" w:hAnsi="Verdana" w:cs="Times New Roman"/>
                <w:sz w:val="20"/>
                <w:szCs w:val="20"/>
                <w:lang w:val="en-US"/>
              </w:rPr>
              <w:footnoteReference w:id="58"/>
            </w:r>
          </w:p>
        </w:tc>
      </w:tr>
      <w:tr w:rsidR="00BE3D1F" w:rsidRPr="00BE6376" w14:paraId="76B7360C" w14:textId="77777777" w:rsidTr="00BE3D1F">
        <w:trPr>
          <w:trHeight w:val="454"/>
        </w:trPr>
        <w:tc>
          <w:tcPr>
            <w:tcW w:w="1526" w:type="pct"/>
            <w:shd w:val="clear" w:color="auto" w:fill="auto"/>
            <w:vAlign w:val="center"/>
          </w:tcPr>
          <w:p w14:paraId="3CFD3FFD" w14:textId="77777777" w:rsidR="00BE3D1F" w:rsidRPr="00BE6376" w:rsidRDefault="00BE3D1F" w:rsidP="00BE637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What proportion of main public and/or private television broadcasts providing instructions for voting and information on candidates has sign language interpretation?</w:t>
            </w:r>
          </w:p>
        </w:tc>
        <w:tc>
          <w:tcPr>
            <w:tcW w:w="3474" w:type="pct"/>
            <w:vAlign w:val="center"/>
          </w:tcPr>
          <w:p w14:paraId="78E24E6E" w14:textId="1F99C149" w:rsidR="00BE3D1F" w:rsidRDefault="00BE3D1F" w:rsidP="00BE6376">
            <w:pPr>
              <w:spacing w:before="240"/>
              <w:contextualSpacing/>
              <w:jc w:val="both"/>
              <w:rPr>
                <w:rFonts w:ascii="Verdana" w:eastAsia="Calibri" w:hAnsi="Verdana" w:cs="Times New Roman"/>
                <w:sz w:val="20"/>
                <w:szCs w:val="20"/>
                <w:lang w:val="en-US"/>
              </w:rPr>
            </w:pPr>
            <w:r w:rsidRPr="00BE6376">
              <w:rPr>
                <w:rFonts w:ascii="Verdana" w:eastAsia="Calibri" w:hAnsi="Verdana" w:cs="Times New Roman"/>
                <w:sz w:val="20"/>
                <w:szCs w:val="20"/>
                <w:lang w:val="en-US"/>
              </w:rPr>
              <w:t>There is very little information available on the use of sign language interpretation on Dutch television.</w:t>
            </w:r>
            <w:r w:rsidRPr="00BE6376">
              <w:rPr>
                <w:rStyle w:val="FootnoteReference"/>
                <w:rFonts w:ascii="Verdana" w:eastAsia="Calibri" w:hAnsi="Verdana" w:cs="Times New Roman"/>
                <w:sz w:val="20"/>
                <w:szCs w:val="20"/>
                <w:lang w:val="en-US"/>
              </w:rPr>
              <w:footnoteReference w:id="59"/>
            </w:r>
            <w:r w:rsidRPr="00BE6376">
              <w:rPr>
                <w:rFonts w:ascii="Verdana" w:eastAsia="Calibri" w:hAnsi="Verdana" w:cs="Times New Roman"/>
                <w:sz w:val="20"/>
                <w:szCs w:val="20"/>
                <w:lang w:val="en-US"/>
              </w:rPr>
              <w:t xml:space="preserve"> According to the Dutch Media Authority (</w:t>
            </w:r>
            <w:r w:rsidRPr="00BE6376">
              <w:rPr>
                <w:rFonts w:ascii="Verdana" w:eastAsia="Calibri" w:hAnsi="Verdana" w:cs="Times New Roman"/>
                <w:i/>
                <w:sz w:val="20"/>
                <w:szCs w:val="20"/>
                <w:lang w:val="en-US"/>
              </w:rPr>
              <w:t>Commissariaat voor de Media</w:t>
            </w:r>
            <w:r w:rsidRPr="00BE6376">
              <w:rPr>
                <w:rFonts w:ascii="Verdana" w:eastAsia="Calibri" w:hAnsi="Verdana" w:cs="Times New Roman"/>
                <w:sz w:val="20"/>
                <w:szCs w:val="20"/>
                <w:lang w:val="en-US"/>
              </w:rPr>
              <w:t>), there are no rules pertaining to sign language interpretation and this instrument is only used very sporadically, especially in the context of short news bulletins.</w:t>
            </w:r>
            <w:r w:rsidRPr="00BE6376">
              <w:rPr>
                <w:rStyle w:val="FootnoteReference"/>
                <w:rFonts w:ascii="Verdana" w:eastAsia="Calibri" w:hAnsi="Verdana" w:cs="Times New Roman"/>
                <w:sz w:val="20"/>
                <w:szCs w:val="20"/>
                <w:lang w:val="en-US"/>
              </w:rPr>
              <w:footnoteReference w:id="60"/>
            </w:r>
            <w:r>
              <w:rPr>
                <w:rFonts w:ascii="Verdana" w:eastAsia="Calibri" w:hAnsi="Verdana" w:cs="Times New Roman"/>
                <w:sz w:val="20"/>
                <w:szCs w:val="20"/>
                <w:lang w:val="en-US"/>
              </w:rPr>
              <w:t xml:space="preserve"> </w:t>
            </w:r>
          </w:p>
          <w:p w14:paraId="6CB8558F" w14:textId="54B824D9" w:rsidR="00BE3D1F" w:rsidRPr="00BE6376" w:rsidRDefault="00BE3D1F" w:rsidP="00BE6376">
            <w:pPr>
              <w:spacing w:before="240"/>
              <w:contextualSpacing/>
              <w:jc w:val="both"/>
              <w:rPr>
                <w:rFonts w:ascii="Verdana" w:eastAsia="Calibri" w:hAnsi="Verdana" w:cs="Times New Roman"/>
                <w:sz w:val="20"/>
                <w:szCs w:val="20"/>
                <w:lang w:val="en-US"/>
              </w:rPr>
            </w:pPr>
            <w:r>
              <w:rPr>
                <w:rFonts w:ascii="Verdana" w:eastAsia="Calibri" w:hAnsi="Verdana" w:cs="Times New Roman"/>
                <w:sz w:val="20"/>
                <w:szCs w:val="20"/>
                <w:lang w:val="en-US"/>
              </w:rPr>
              <w:t>A</w:t>
            </w:r>
            <w:r w:rsidRPr="00BE6376">
              <w:rPr>
                <w:rFonts w:ascii="Verdana" w:eastAsia="Calibri" w:hAnsi="Verdana" w:cs="Times New Roman"/>
                <w:sz w:val="20"/>
                <w:szCs w:val="20"/>
                <w:lang w:val="en-US"/>
              </w:rPr>
              <w:t>ccording to the Electoral Council, there are hardly any television broadcasts providing instruction for voting, apart from party political broadcasts. Parties can decide for themselves whether they wish to provide sign language interpretation for their election broadcasts.</w:t>
            </w:r>
            <w:r w:rsidRPr="00BE6376">
              <w:rPr>
                <w:rStyle w:val="FootnoteReference"/>
                <w:rFonts w:ascii="Verdana" w:eastAsia="Calibri" w:hAnsi="Verdana" w:cs="Times New Roman"/>
                <w:sz w:val="20"/>
                <w:szCs w:val="20"/>
                <w:lang w:val="en-US"/>
              </w:rPr>
              <w:footnoteReference w:id="61"/>
            </w:r>
          </w:p>
        </w:tc>
      </w:tr>
      <w:tr w:rsidR="00BE3D1F" w:rsidRPr="00BE6376" w14:paraId="611226E2" w14:textId="77777777" w:rsidTr="00BE3D1F">
        <w:trPr>
          <w:trHeight w:val="454"/>
        </w:trPr>
        <w:tc>
          <w:tcPr>
            <w:tcW w:w="1526" w:type="pct"/>
            <w:shd w:val="clear" w:color="auto" w:fill="auto"/>
            <w:vAlign w:val="center"/>
          </w:tcPr>
          <w:p w14:paraId="6425EC32" w14:textId="45924C91" w:rsidR="00BE3D1F" w:rsidRPr="00BE6376" w:rsidRDefault="00BE3D1F" w:rsidP="00BE637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 xml:space="preserve">How many political parties, out of the total who participated in the most recent European Parliament and </w:t>
            </w:r>
            <w:r w:rsidRPr="00BE6376">
              <w:rPr>
                <w:rFonts w:ascii="Verdana" w:eastAsia="Calibri" w:hAnsi="Verdana" w:cs="Times New Roman"/>
                <w:sz w:val="20"/>
                <w:szCs w:val="20"/>
                <w:lang w:val="en-GB"/>
              </w:rPr>
              <w:lastRenderedPageBreak/>
              <w:t>municipal elections, made their manifesto/campaign material accessible to persons with disabilities (e.g. large print, braille, easy-to-read, audio versions etc</w:t>
            </w:r>
            <w:r>
              <w:rPr>
                <w:rFonts w:ascii="Verdana" w:eastAsia="Calibri" w:hAnsi="Verdana" w:cs="Times New Roman"/>
                <w:sz w:val="20"/>
                <w:szCs w:val="20"/>
                <w:lang w:val="en-GB"/>
              </w:rPr>
              <w:t>.</w:t>
            </w:r>
            <w:r w:rsidRPr="00BE6376">
              <w:rPr>
                <w:rFonts w:ascii="Verdana" w:eastAsia="Calibri" w:hAnsi="Verdana" w:cs="Times New Roman"/>
                <w:sz w:val="20"/>
                <w:szCs w:val="20"/>
                <w:lang w:val="en-GB"/>
              </w:rPr>
              <w:t>)?</w:t>
            </w:r>
          </w:p>
        </w:tc>
        <w:tc>
          <w:tcPr>
            <w:tcW w:w="3474" w:type="pct"/>
            <w:vAlign w:val="center"/>
          </w:tcPr>
          <w:p w14:paraId="2F0413B0" w14:textId="665B522F" w:rsidR="00BE3D1F" w:rsidRDefault="00BE3D1F" w:rsidP="00BE6376">
            <w:pPr>
              <w:spacing w:before="240"/>
              <w:contextualSpacing/>
              <w:jc w:val="both"/>
              <w:rPr>
                <w:rFonts w:ascii="Verdana" w:eastAsia="Calibri" w:hAnsi="Verdana" w:cs="Times New Roman"/>
                <w:sz w:val="20"/>
                <w:szCs w:val="20"/>
                <w:lang w:val="en-US"/>
              </w:rPr>
            </w:pPr>
            <w:r w:rsidRPr="00BE6376">
              <w:rPr>
                <w:rFonts w:ascii="Verdana" w:eastAsia="Calibri" w:hAnsi="Verdana" w:cs="Times New Roman"/>
                <w:sz w:val="20"/>
                <w:szCs w:val="20"/>
                <w:lang w:val="en-US"/>
              </w:rPr>
              <w:lastRenderedPageBreak/>
              <w:t>The Documentation Centre on Dutch Political Parties (</w:t>
            </w:r>
            <w:r w:rsidRPr="00BE6376">
              <w:rPr>
                <w:rFonts w:ascii="Verdana" w:eastAsia="Calibri" w:hAnsi="Verdana" w:cs="Times New Roman"/>
                <w:i/>
                <w:sz w:val="20"/>
                <w:szCs w:val="20"/>
                <w:lang w:val="en-US"/>
              </w:rPr>
              <w:t xml:space="preserve">Documentatiecentrum Nederlandse Politieke Partijen, </w:t>
            </w:r>
            <w:r w:rsidRPr="00BE6376">
              <w:rPr>
                <w:rFonts w:ascii="Verdana" w:eastAsia="Calibri" w:hAnsi="Verdana" w:cs="Times New Roman"/>
                <w:sz w:val="20"/>
                <w:szCs w:val="20"/>
                <w:lang w:val="en-US"/>
              </w:rPr>
              <w:t xml:space="preserve">DNPP) which collects and archives all election programmes of Dutch political parties does not have accessible versions of the campaign material in its archives. </w:t>
            </w:r>
            <w:r w:rsidRPr="00BE6376">
              <w:rPr>
                <w:rFonts w:ascii="Verdana" w:eastAsia="Calibri" w:hAnsi="Verdana" w:cs="Times New Roman"/>
                <w:sz w:val="20"/>
                <w:szCs w:val="20"/>
                <w:lang w:val="en-US"/>
              </w:rPr>
              <w:lastRenderedPageBreak/>
              <w:t>It does point out that political parties often have an automated audio function on their websites which allows people to have the information read out to them.</w:t>
            </w:r>
            <w:r w:rsidRPr="00BE6376">
              <w:rPr>
                <w:rStyle w:val="FootnoteReference"/>
                <w:rFonts w:ascii="Verdana" w:eastAsia="Calibri" w:hAnsi="Verdana" w:cs="Times New Roman"/>
                <w:sz w:val="20"/>
                <w:szCs w:val="20"/>
                <w:lang w:val="en-US"/>
              </w:rPr>
              <w:footnoteReference w:id="62"/>
            </w:r>
          </w:p>
          <w:p w14:paraId="4B9D646A" w14:textId="77777777" w:rsidR="00BE3D1F" w:rsidRPr="00BE6376" w:rsidRDefault="00BE3D1F" w:rsidP="00BE6376">
            <w:pPr>
              <w:spacing w:before="240"/>
              <w:contextualSpacing/>
              <w:jc w:val="both"/>
              <w:rPr>
                <w:rFonts w:ascii="Verdana" w:eastAsia="Calibri" w:hAnsi="Verdana" w:cs="Times New Roman"/>
                <w:sz w:val="20"/>
                <w:szCs w:val="20"/>
                <w:lang w:val="en-US"/>
              </w:rPr>
            </w:pPr>
          </w:p>
          <w:p w14:paraId="4A740C8C" w14:textId="18B728E1" w:rsidR="00BE3D1F" w:rsidRPr="00BE6376" w:rsidRDefault="00BE3D1F" w:rsidP="00BE6376">
            <w:pPr>
              <w:spacing w:before="240"/>
              <w:contextualSpacing/>
              <w:jc w:val="both"/>
              <w:rPr>
                <w:rFonts w:ascii="Verdana" w:eastAsia="Calibri" w:hAnsi="Verdana" w:cs="Times New Roman"/>
                <w:sz w:val="20"/>
                <w:szCs w:val="20"/>
                <w:lang w:val="en-US"/>
              </w:rPr>
            </w:pPr>
            <w:r>
              <w:rPr>
                <w:rFonts w:ascii="Verdana" w:eastAsia="Calibri" w:hAnsi="Verdana" w:cs="Times New Roman"/>
                <w:sz w:val="20"/>
                <w:szCs w:val="20"/>
                <w:lang w:val="en-US"/>
              </w:rPr>
              <w:t>After consultation of the main political parties</w:t>
            </w:r>
            <w:r w:rsidRPr="00BE6376">
              <w:rPr>
                <w:rFonts w:ascii="Verdana" w:eastAsia="Calibri" w:hAnsi="Verdana" w:cs="Times New Roman"/>
                <w:sz w:val="20"/>
                <w:szCs w:val="20"/>
                <w:lang w:val="en-US"/>
              </w:rPr>
              <w:t>, three parties provided information on the accessibility of the campaign material. All three parties referred to audio versions of their election programmes for national or European Parliament elections. They also provide digital versions which have been formatted to be readable with a braille reader, or they provide election programmes in simple language. However, all three parties noted that they do not provide these services for municipal elections, due to the large number of party manifestos (around 140) which are drawn up by local party divisions.</w:t>
            </w:r>
            <w:r w:rsidRPr="00BE6376">
              <w:rPr>
                <w:rStyle w:val="FootnoteReference"/>
                <w:rFonts w:ascii="Verdana" w:eastAsia="Calibri" w:hAnsi="Verdana" w:cs="Times New Roman"/>
                <w:sz w:val="20"/>
                <w:szCs w:val="20"/>
                <w:lang w:val="en-US"/>
              </w:rPr>
              <w:footnoteReference w:id="63"/>
            </w:r>
            <w:r w:rsidRPr="00BE6376">
              <w:rPr>
                <w:rFonts w:ascii="Verdana" w:eastAsia="Calibri" w:hAnsi="Verdana" w:cs="Times New Roman"/>
                <w:sz w:val="20"/>
                <w:szCs w:val="20"/>
                <w:lang w:val="en-US"/>
              </w:rPr>
              <w:t xml:space="preserve"> </w:t>
            </w:r>
          </w:p>
        </w:tc>
      </w:tr>
      <w:tr w:rsidR="00BE3D1F" w:rsidRPr="00BE6376" w14:paraId="08EFEC2B" w14:textId="77777777" w:rsidTr="00BE3D1F">
        <w:trPr>
          <w:trHeight w:val="454"/>
        </w:trPr>
        <w:tc>
          <w:tcPr>
            <w:tcW w:w="1526" w:type="pct"/>
            <w:shd w:val="clear" w:color="auto" w:fill="auto"/>
            <w:vAlign w:val="center"/>
          </w:tcPr>
          <w:p w14:paraId="6195C0BD" w14:textId="77777777" w:rsidR="00BE3D1F" w:rsidRPr="00BE6376" w:rsidRDefault="00BE3D1F" w:rsidP="00BE6376">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lastRenderedPageBreak/>
              <w:t>What proportion of public authority national and municipal buildings is accessible to persons with disabilities?</w:t>
            </w:r>
          </w:p>
        </w:tc>
        <w:tc>
          <w:tcPr>
            <w:tcW w:w="3474" w:type="pct"/>
            <w:vAlign w:val="center"/>
          </w:tcPr>
          <w:p w14:paraId="0557E080" w14:textId="77777777" w:rsidR="00BE3D1F" w:rsidRPr="00BE6376" w:rsidRDefault="00BE3D1F" w:rsidP="00BE6376">
            <w:pPr>
              <w:spacing w:before="240"/>
              <w:contextualSpacing/>
              <w:jc w:val="both"/>
              <w:rPr>
                <w:rFonts w:ascii="Verdana" w:eastAsia="Calibri" w:hAnsi="Verdana" w:cs="Times New Roman"/>
                <w:sz w:val="20"/>
                <w:szCs w:val="20"/>
                <w:lang w:val="en-US"/>
              </w:rPr>
            </w:pPr>
            <w:r w:rsidRPr="00BE6376">
              <w:rPr>
                <w:rFonts w:ascii="Verdana" w:eastAsia="Calibri" w:hAnsi="Verdana" w:cs="Times New Roman"/>
                <w:sz w:val="20"/>
                <w:szCs w:val="20"/>
                <w:lang w:val="en-US"/>
              </w:rPr>
              <w:t>There is no data available on the accessibility of the total of public authority buildings. According to the Government Building Agency which manages and develops the majority of (national) government buildings, all of their buildings are accessible to persons with disability. It is however not clear which proportion of the total of national and municipal buildings this applies to.</w:t>
            </w:r>
            <w:r w:rsidRPr="00BE6376">
              <w:rPr>
                <w:rStyle w:val="FootnoteReference"/>
                <w:rFonts w:ascii="Verdana" w:eastAsia="Calibri" w:hAnsi="Verdana" w:cs="Times New Roman"/>
                <w:sz w:val="20"/>
                <w:szCs w:val="20"/>
                <w:lang w:val="en-US"/>
              </w:rPr>
              <w:footnoteReference w:id="64"/>
            </w:r>
          </w:p>
          <w:p w14:paraId="638BE57E" w14:textId="5A4692D4" w:rsidR="00BE3D1F" w:rsidRPr="00BE6376" w:rsidRDefault="00BE3D1F" w:rsidP="00BE6376">
            <w:pPr>
              <w:spacing w:before="240"/>
              <w:contextualSpacing/>
              <w:jc w:val="both"/>
              <w:rPr>
                <w:rFonts w:ascii="Verdana" w:eastAsia="Calibri" w:hAnsi="Verdana" w:cs="Times New Roman"/>
                <w:sz w:val="20"/>
                <w:szCs w:val="20"/>
                <w:lang w:val="en-US"/>
              </w:rPr>
            </w:pPr>
            <w:r>
              <w:rPr>
                <w:rFonts w:ascii="Verdana" w:eastAsia="Calibri" w:hAnsi="Verdana" w:cs="Times New Roman"/>
                <w:sz w:val="20"/>
                <w:szCs w:val="20"/>
                <w:lang w:val="en-US"/>
              </w:rPr>
              <w:t>Additionally,</w:t>
            </w:r>
            <w:r w:rsidRPr="00BE6376">
              <w:rPr>
                <w:rFonts w:ascii="Verdana" w:eastAsia="Calibri" w:hAnsi="Verdana" w:cs="Times New Roman"/>
                <w:sz w:val="20"/>
                <w:szCs w:val="20"/>
                <w:lang w:val="en-US"/>
              </w:rPr>
              <w:t xml:space="preserve"> the Federation of Dutch Municipalities</w:t>
            </w:r>
            <w:r w:rsidRPr="00BE6376">
              <w:rPr>
                <w:rStyle w:val="FootnoteReference"/>
                <w:rFonts w:ascii="Verdana" w:eastAsia="Calibri" w:hAnsi="Verdana" w:cs="Times New Roman"/>
                <w:sz w:val="20"/>
                <w:szCs w:val="20"/>
                <w:lang w:val="nl-NL"/>
              </w:rPr>
              <w:footnoteReference w:id="65"/>
            </w:r>
            <w:r w:rsidRPr="00BE6376">
              <w:rPr>
                <w:rFonts w:ascii="Verdana" w:eastAsia="Calibri" w:hAnsi="Verdana" w:cs="Times New Roman"/>
                <w:sz w:val="20"/>
                <w:szCs w:val="20"/>
                <w:lang w:val="en-US"/>
              </w:rPr>
              <w:t xml:space="preserve"> </w:t>
            </w:r>
            <w:r>
              <w:rPr>
                <w:rFonts w:ascii="Verdana" w:eastAsia="Calibri" w:hAnsi="Verdana" w:cs="Times New Roman"/>
                <w:sz w:val="20"/>
                <w:szCs w:val="20"/>
                <w:lang w:val="en-US"/>
              </w:rPr>
              <w:t>and t</w:t>
            </w:r>
            <w:r w:rsidRPr="00BE6376">
              <w:rPr>
                <w:rFonts w:ascii="Verdana" w:eastAsia="Calibri" w:hAnsi="Verdana" w:cs="Times New Roman"/>
                <w:sz w:val="20"/>
                <w:szCs w:val="20"/>
                <w:lang w:val="en-US"/>
              </w:rPr>
              <w:t xml:space="preserve">he Council for the Chronically ill and Disabled </w:t>
            </w:r>
            <w:r>
              <w:rPr>
                <w:rFonts w:ascii="Verdana" w:eastAsia="Calibri" w:hAnsi="Verdana" w:cs="Times New Roman"/>
                <w:sz w:val="20"/>
                <w:szCs w:val="20"/>
                <w:lang w:val="en-US"/>
              </w:rPr>
              <w:t xml:space="preserve">were consulted, as well as desk research was carried out. No </w:t>
            </w:r>
            <w:r w:rsidRPr="00BE6376">
              <w:rPr>
                <w:rFonts w:ascii="Verdana" w:eastAsia="Calibri" w:hAnsi="Verdana" w:cs="Times New Roman"/>
                <w:sz w:val="20"/>
                <w:szCs w:val="20"/>
                <w:lang w:val="en-US"/>
              </w:rPr>
              <w:t>specific statistics</w:t>
            </w:r>
            <w:r>
              <w:rPr>
                <w:rFonts w:ascii="Verdana" w:eastAsia="Calibri" w:hAnsi="Verdana" w:cs="Times New Roman"/>
                <w:sz w:val="20"/>
                <w:szCs w:val="20"/>
                <w:lang w:val="en-US"/>
              </w:rPr>
              <w:t xml:space="preserve"> are collected</w:t>
            </w:r>
            <w:r w:rsidRPr="00BE6376">
              <w:rPr>
                <w:rFonts w:ascii="Verdana" w:eastAsia="Calibri" w:hAnsi="Verdana" w:cs="Times New Roman"/>
                <w:sz w:val="20"/>
                <w:szCs w:val="20"/>
                <w:lang w:val="en-US"/>
              </w:rPr>
              <w:t xml:space="preserve"> on this issue.</w:t>
            </w:r>
            <w:r w:rsidRPr="00BE6376">
              <w:rPr>
                <w:rStyle w:val="FootnoteReference"/>
                <w:rFonts w:ascii="Verdana" w:eastAsia="Calibri" w:hAnsi="Verdana" w:cs="Times New Roman"/>
                <w:sz w:val="20"/>
                <w:szCs w:val="20"/>
                <w:lang w:val="en-US"/>
              </w:rPr>
              <w:footnoteReference w:id="66"/>
            </w:r>
          </w:p>
        </w:tc>
      </w:tr>
      <w:tr w:rsidR="00BE3D1F" w:rsidRPr="00BE6376" w14:paraId="40D43531" w14:textId="77777777" w:rsidTr="00BE3D1F">
        <w:trPr>
          <w:trHeight w:val="454"/>
        </w:trPr>
        <w:tc>
          <w:tcPr>
            <w:tcW w:w="1526" w:type="pct"/>
            <w:shd w:val="clear" w:color="auto" w:fill="auto"/>
            <w:vAlign w:val="center"/>
          </w:tcPr>
          <w:p w14:paraId="0061C1CE" w14:textId="3C614E61" w:rsidR="00BE3D1F" w:rsidRPr="00BE6376" w:rsidRDefault="00BE3D1F" w:rsidP="00BE3D1F">
            <w:pPr>
              <w:spacing w:before="240"/>
              <w:contextualSpacing/>
              <w:jc w:val="both"/>
              <w:rPr>
                <w:rFonts w:ascii="Verdana" w:eastAsia="Calibri" w:hAnsi="Verdana" w:cs="Times New Roman"/>
                <w:sz w:val="20"/>
                <w:szCs w:val="20"/>
                <w:lang w:val="en-GB"/>
              </w:rPr>
            </w:pPr>
            <w:r w:rsidRPr="00BE6376">
              <w:rPr>
                <w:rFonts w:ascii="Verdana" w:eastAsia="Calibri" w:hAnsi="Verdana" w:cs="Times New Roman"/>
                <w:sz w:val="20"/>
                <w:szCs w:val="20"/>
                <w:lang w:val="en-GB"/>
              </w:rPr>
              <w:t>How many complaints related to infringements of the right to political participation of persons with disabilities were recorded in 2012? What proportion of these complaints was successful?</w:t>
            </w:r>
          </w:p>
        </w:tc>
        <w:tc>
          <w:tcPr>
            <w:tcW w:w="3474" w:type="pct"/>
            <w:vAlign w:val="center"/>
          </w:tcPr>
          <w:p w14:paraId="210C9543" w14:textId="77777777" w:rsidR="00BE3D1F" w:rsidRDefault="00BE3D1F" w:rsidP="00BE6376">
            <w:pPr>
              <w:spacing w:before="240"/>
              <w:contextualSpacing/>
              <w:jc w:val="both"/>
              <w:rPr>
                <w:rFonts w:ascii="Verdana" w:eastAsia="Calibri" w:hAnsi="Verdana" w:cs="Times New Roman"/>
                <w:sz w:val="20"/>
                <w:szCs w:val="20"/>
                <w:lang w:val="en-US"/>
              </w:rPr>
            </w:pPr>
            <w:r w:rsidRPr="00BE6376">
              <w:rPr>
                <w:rFonts w:ascii="Verdana" w:eastAsia="Calibri" w:hAnsi="Verdana" w:cs="Times New Roman"/>
                <w:sz w:val="20"/>
                <w:szCs w:val="20"/>
                <w:lang w:val="en-US"/>
              </w:rPr>
              <w:t xml:space="preserve">No data </w:t>
            </w:r>
            <w:r>
              <w:rPr>
                <w:rFonts w:ascii="Verdana" w:eastAsia="Calibri" w:hAnsi="Verdana" w:cs="Times New Roman"/>
                <w:sz w:val="20"/>
                <w:szCs w:val="20"/>
                <w:lang w:val="en-US"/>
              </w:rPr>
              <w:t xml:space="preserve">is </w:t>
            </w:r>
            <w:r w:rsidRPr="00BE6376">
              <w:rPr>
                <w:rFonts w:ascii="Verdana" w:eastAsia="Calibri" w:hAnsi="Verdana" w:cs="Times New Roman"/>
                <w:sz w:val="20"/>
                <w:szCs w:val="20"/>
                <w:lang w:val="en-US"/>
              </w:rPr>
              <w:t xml:space="preserve">available. </w:t>
            </w:r>
          </w:p>
          <w:p w14:paraId="66C57988" w14:textId="607BB1C5" w:rsidR="00BE3D1F" w:rsidRPr="00BE6376" w:rsidRDefault="00BE3D1F" w:rsidP="00BE6376">
            <w:pPr>
              <w:spacing w:before="240"/>
              <w:contextualSpacing/>
              <w:jc w:val="both"/>
              <w:rPr>
                <w:rFonts w:ascii="Verdana" w:eastAsia="Calibri" w:hAnsi="Verdana" w:cs="Times New Roman"/>
                <w:sz w:val="20"/>
                <w:szCs w:val="20"/>
                <w:lang w:val="en-US"/>
              </w:rPr>
            </w:pPr>
            <w:r>
              <w:rPr>
                <w:rFonts w:ascii="Verdana" w:eastAsia="Calibri" w:hAnsi="Verdana" w:cs="Times New Roman"/>
                <w:sz w:val="20"/>
                <w:szCs w:val="20"/>
                <w:lang w:val="en-US"/>
              </w:rPr>
              <w:t xml:space="preserve">The </w:t>
            </w:r>
            <w:r w:rsidRPr="00BE6376">
              <w:rPr>
                <w:rFonts w:ascii="Verdana" w:eastAsia="Calibri" w:hAnsi="Verdana" w:cs="Times New Roman"/>
                <w:sz w:val="20"/>
                <w:szCs w:val="20"/>
                <w:lang w:val="en-US"/>
              </w:rPr>
              <w:t>Council for the Chronically ill and Disabled (</w:t>
            </w:r>
            <w:r w:rsidRPr="00BE6376">
              <w:rPr>
                <w:rFonts w:ascii="Verdana" w:eastAsia="Calibri" w:hAnsi="Verdana" w:cs="Times New Roman"/>
                <w:i/>
                <w:sz w:val="20"/>
                <w:szCs w:val="20"/>
                <w:lang w:val="en-US"/>
              </w:rPr>
              <w:t>CG-Raad</w:t>
            </w:r>
            <w:r w:rsidRPr="00BE6376">
              <w:rPr>
                <w:rFonts w:ascii="Verdana" w:eastAsia="Calibri" w:hAnsi="Verdana" w:cs="Times New Roman"/>
                <w:sz w:val="20"/>
                <w:szCs w:val="20"/>
                <w:lang w:val="en-US"/>
              </w:rPr>
              <w:t>)</w:t>
            </w:r>
            <w:r>
              <w:rPr>
                <w:rFonts w:ascii="Verdana" w:eastAsia="Calibri" w:hAnsi="Verdana" w:cs="Times New Roman"/>
                <w:sz w:val="20"/>
                <w:szCs w:val="20"/>
                <w:lang w:val="en-US"/>
              </w:rPr>
              <w:t xml:space="preserve"> was consulted as well as desk research was carried out</w:t>
            </w:r>
            <w:r w:rsidRPr="00BE6376">
              <w:rPr>
                <w:rFonts w:ascii="Verdana" w:eastAsia="Calibri" w:hAnsi="Verdana" w:cs="Times New Roman"/>
                <w:sz w:val="20"/>
                <w:szCs w:val="20"/>
                <w:lang w:val="en-US"/>
              </w:rPr>
              <w:t>. The Council reported that it incidentally receives complaints regarding elections, e.g. the accessibility of polling stations, but it does not monitor this issue on a structural basis and cannot provide statistics.</w:t>
            </w:r>
            <w:r w:rsidRPr="00BE6376">
              <w:rPr>
                <w:rStyle w:val="FootnoteReference"/>
                <w:rFonts w:ascii="Verdana" w:eastAsia="Calibri" w:hAnsi="Verdana" w:cs="Times New Roman"/>
                <w:sz w:val="20"/>
                <w:szCs w:val="20"/>
                <w:lang w:val="en-US"/>
              </w:rPr>
              <w:footnoteReference w:id="67"/>
            </w:r>
          </w:p>
        </w:tc>
      </w:tr>
    </w:tbl>
    <w:p w14:paraId="53321F14" w14:textId="77777777" w:rsidR="00D2526D" w:rsidRDefault="00D2526D" w:rsidP="00BE6376">
      <w:pPr>
        <w:keepNext/>
        <w:spacing w:before="480" w:after="240" w:line="240" w:lineRule="auto"/>
      </w:pPr>
    </w:p>
    <w:sectPr w:rsidR="00D2526D" w:rsidSect="00912C69">
      <w:headerReference w:type="default" r:id="rId13"/>
      <w:footerReference w:type="defaul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74783" w14:textId="77777777" w:rsidR="00F1776D" w:rsidRDefault="00F1776D" w:rsidP="00912C69">
      <w:pPr>
        <w:spacing w:after="0" w:line="240" w:lineRule="auto"/>
      </w:pPr>
      <w:r>
        <w:separator/>
      </w:r>
    </w:p>
  </w:endnote>
  <w:endnote w:type="continuationSeparator" w:id="0">
    <w:p w14:paraId="6D4A2F9F" w14:textId="77777777" w:rsidR="00F1776D" w:rsidRDefault="00F1776D" w:rsidP="00912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21F1B" w14:textId="77777777" w:rsidR="00932170" w:rsidRDefault="00932170">
    <w:pPr>
      <w:pStyle w:val="Footer"/>
      <w:ind w:left="1080"/>
      <w:jc w:val="right"/>
    </w:pPr>
    <w:r>
      <w:fldChar w:fldCharType="begin"/>
    </w:r>
    <w:r>
      <w:instrText xml:space="preserve"> PAGE   \* MERGEFORMAT </w:instrText>
    </w:r>
    <w:r>
      <w:fldChar w:fldCharType="separate"/>
    </w:r>
    <w:r w:rsidR="00360F50">
      <w:rPr>
        <w:noProof/>
      </w:rPr>
      <w:t>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321F1C" w14:textId="77777777" w:rsidR="00932170" w:rsidRDefault="0093217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4974" w14:textId="77777777" w:rsidR="00F1776D" w:rsidRDefault="00F1776D" w:rsidP="00912C69">
      <w:pPr>
        <w:spacing w:after="0" w:line="240" w:lineRule="auto"/>
      </w:pPr>
      <w:r>
        <w:separator/>
      </w:r>
    </w:p>
  </w:footnote>
  <w:footnote w:type="continuationSeparator" w:id="0">
    <w:p w14:paraId="005EE54A" w14:textId="77777777" w:rsidR="00F1776D" w:rsidRDefault="00F1776D" w:rsidP="00912C69">
      <w:pPr>
        <w:spacing w:after="0" w:line="240" w:lineRule="auto"/>
      </w:pPr>
      <w:r>
        <w:continuationSeparator/>
      </w:r>
    </w:p>
  </w:footnote>
  <w:footnote w:id="1">
    <w:p w14:paraId="5A4322C3" w14:textId="7673C141" w:rsidR="00BE3D1F" w:rsidRPr="008F51E9" w:rsidRDefault="00BE3D1F">
      <w:pPr>
        <w:pStyle w:val="FootnoteText"/>
      </w:pPr>
      <w:r>
        <w:rPr>
          <w:rStyle w:val="FootnoteReference"/>
        </w:rPr>
        <w:footnoteRef/>
      </w:r>
      <w:r>
        <w:t xml:space="preserve"> </w:t>
      </w:r>
      <w:hyperlink r:id="rId1" w:history="1">
        <w:r w:rsidRPr="008F51E9">
          <w:rPr>
            <w:rStyle w:val="Hyperlink"/>
            <w:rFonts w:cstheme="minorHAnsi"/>
          </w:rPr>
          <w:t>http://www.un.org/disabilities/countries.asp?navid=12&amp;pid=166</w:t>
        </w:r>
      </w:hyperlink>
      <w:r w:rsidRPr="008F51E9">
        <w:rPr>
          <w:rStyle w:val="Hyperlink"/>
          <w:rFonts w:cstheme="minorHAnsi"/>
        </w:rPr>
        <w:t>;</w:t>
      </w:r>
      <w:r w:rsidRPr="008F51E9">
        <w:rPr>
          <w:rStyle w:val="Hyperlink"/>
          <w:rFonts w:cstheme="minorHAnsi"/>
          <w:u w:val="none"/>
        </w:rPr>
        <w:t xml:space="preserve">  </w:t>
      </w:r>
      <w:hyperlink r:id="rId2" w:history="1">
        <w:r w:rsidRPr="008F51E9">
          <w:rPr>
            <w:rStyle w:val="Hyperlink"/>
            <w:rFonts w:cstheme="minorHAnsi"/>
          </w:rPr>
          <w:t>http://treaties.un.org/Pages/ViewDetails.aspx?src=TREATY&amp;mtdsg_no=IV-15&amp;chapter=4&amp;lang=en</w:t>
        </w:r>
      </w:hyperlink>
    </w:p>
  </w:footnote>
  <w:footnote w:id="2">
    <w:p w14:paraId="61D83DD5" w14:textId="77777777" w:rsidR="00BE3D1F" w:rsidRPr="00D05F7D" w:rsidRDefault="00BE3D1F" w:rsidP="008F51E9">
      <w:pPr>
        <w:pStyle w:val="FootnoteText"/>
        <w:rPr>
          <w:rFonts w:cs="Times New Roman"/>
          <w:lang w:val="nl-BE"/>
        </w:rPr>
      </w:pPr>
      <w:r w:rsidRPr="00D05F7D">
        <w:rPr>
          <w:rStyle w:val="FootnoteReference"/>
          <w:rFonts w:cs="Times New Roman"/>
        </w:rPr>
        <w:footnoteRef/>
      </w:r>
      <w:r w:rsidRPr="00D05F7D">
        <w:rPr>
          <w:rFonts w:cs="Times New Roman"/>
          <w:lang w:val="nl-BE"/>
        </w:rPr>
        <w:t xml:space="preserve"> Netherlands, State Secretary of of Health, Welfare and Sport (</w:t>
      </w:r>
      <w:r w:rsidRPr="00D05F7D">
        <w:rPr>
          <w:rFonts w:cs="Times New Roman"/>
          <w:i/>
          <w:lang w:val="nl-BE"/>
        </w:rPr>
        <w:t>Staatssecretaris van Volksgezondheid, Welzijn en Sport</w:t>
      </w:r>
      <w:r w:rsidRPr="00D05F7D">
        <w:rPr>
          <w:rFonts w:cs="Times New Roman"/>
          <w:lang w:val="nl-BE"/>
        </w:rPr>
        <w:t xml:space="preserve">) (2013), </w:t>
      </w:r>
      <w:r w:rsidRPr="00D05F7D">
        <w:rPr>
          <w:rFonts w:cs="Times New Roman"/>
          <w:i/>
          <w:lang w:val="nl-BE"/>
        </w:rPr>
        <w:t>Ambtelijk concept: Rijkswet van ... tot goedkeuring van het op 13 december 2006 te New York tot stand gekomen Verdrag inzake de rechten van personen met een handicap (Trb. 2007, 169)</w:t>
      </w:r>
      <w:r w:rsidRPr="00D05F7D">
        <w:rPr>
          <w:rFonts w:cs="Times New Roman"/>
          <w:lang w:val="nl-BE"/>
        </w:rPr>
        <w:t>), available at: http://internetconsultatie.nl/vnverdraghandicap/document/764.</w:t>
      </w:r>
    </w:p>
  </w:footnote>
  <w:footnote w:id="3">
    <w:p w14:paraId="3FC8FB1B" w14:textId="77777777" w:rsidR="00BE3D1F" w:rsidRPr="00F713A1" w:rsidRDefault="00BE3D1F" w:rsidP="008F51E9">
      <w:pPr>
        <w:pStyle w:val="FootnoteText"/>
        <w:rPr>
          <w:rFonts w:ascii="Times New Roman" w:hAnsi="Times New Roman" w:cs="Times New Roman"/>
          <w:sz w:val="18"/>
          <w:szCs w:val="18"/>
          <w:lang w:val="nl-BE"/>
        </w:rPr>
      </w:pPr>
      <w:r w:rsidRPr="00D05F7D">
        <w:rPr>
          <w:rStyle w:val="FootnoteReference"/>
          <w:rFonts w:cs="Times New Roman"/>
        </w:rPr>
        <w:footnoteRef/>
      </w:r>
      <w:r w:rsidRPr="00D05F7D">
        <w:rPr>
          <w:rFonts w:cs="Times New Roman"/>
          <w:lang w:val="nl-BE"/>
        </w:rPr>
        <w:t xml:space="preserve"> Netherlands, State Secretary of of Health, Welfare and Sport (</w:t>
      </w:r>
      <w:r w:rsidRPr="00D05F7D">
        <w:rPr>
          <w:rFonts w:cs="Times New Roman"/>
          <w:i/>
          <w:lang w:val="nl-BE"/>
        </w:rPr>
        <w:t>Staatssecretaris van Volksgezondheid, Welzijn en Sport</w:t>
      </w:r>
      <w:r w:rsidRPr="00D05F7D">
        <w:rPr>
          <w:rFonts w:cs="Times New Roman"/>
          <w:lang w:val="nl-BE"/>
        </w:rPr>
        <w:t xml:space="preserve">) (2013), </w:t>
      </w:r>
      <w:r w:rsidRPr="00D05F7D">
        <w:rPr>
          <w:rFonts w:cs="Times New Roman"/>
          <w:i/>
          <w:lang w:val="nl-BE"/>
        </w:rPr>
        <w:t>Ambtelijk concept: Rijkswet van ... tot uitvoering van het op 13 december 2006 te New York tot stand gekomen Verdrag inzake de rechten van personen met een handicap (Trb. 2007, 169)</w:t>
      </w:r>
      <w:r w:rsidRPr="00D05F7D">
        <w:rPr>
          <w:rFonts w:cs="Times New Roman"/>
          <w:lang w:val="nl-BE"/>
        </w:rPr>
        <w:t>), available at : http://internetconsultatie.nl/vnverdraghandicap/document/766.</w:t>
      </w:r>
    </w:p>
  </w:footnote>
  <w:footnote w:id="4">
    <w:p w14:paraId="6808A195" w14:textId="77777777" w:rsidR="00BE3D1F" w:rsidRPr="00BB53E2" w:rsidRDefault="00BE3D1F" w:rsidP="003737BF">
      <w:pPr>
        <w:pStyle w:val="FootnoteText"/>
        <w:rPr>
          <w:lang w:val="nl-BE"/>
        </w:rPr>
      </w:pPr>
      <w:r>
        <w:rPr>
          <w:rStyle w:val="FootnoteReference"/>
        </w:rPr>
        <w:footnoteRef/>
      </w:r>
      <w:r w:rsidRPr="00BB53E2">
        <w:rPr>
          <w:lang w:val="nl-BE"/>
        </w:rPr>
        <w:t xml:space="preserve"> </w:t>
      </w:r>
      <w:hyperlink r:id="rId3" w:history="1">
        <w:r w:rsidRPr="00BB53E2">
          <w:rPr>
            <w:rStyle w:val="Hyperlink"/>
            <w:rFonts w:cstheme="minorHAnsi"/>
            <w:lang w:val="nl-BE"/>
          </w:rPr>
          <w:t>http://www.un.org/disabilities/countries.asp?navid=12&amp;pid=166</w:t>
        </w:r>
      </w:hyperlink>
      <w:r w:rsidRPr="00BB53E2">
        <w:rPr>
          <w:rStyle w:val="Hyperlink"/>
          <w:rFonts w:cstheme="minorHAnsi"/>
          <w:lang w:val="nl-BE"/>
        </w:rPr>
        <w:t>;</w:t>
      </w:r>
      <w:r w:rsidRPr="00BB53E2">
        <w:rPr>
          <w:rStyle w:val="Hyperlink"/>
          <w:rFonts w:cstheme="minorHAnsi"/>
          <w:u w:val="none"/>
          <w:lang w:val="nl-BE"/>
        </w:rPr>
        <w:t xml:space="preserve">  </w:t>
      </w:r>
      <w:hyperlink r:id="rId4" w:history="1">
        <w:r w:rsidRPr="00BB53E2">
          <w:rPr>
            <w:rStyle w:val="Hyperlink"/>
            <w:rFonts w:cstheme="minorHAnsi"/>
            <w:lang w:val="nl-BE"/>
          </w:rPr>
          <w:t>http://treaties.un.org/Pages/ViewDetails.aspx?src=TREATY&amp;mtdsg_no=IV-15&amp;chapter=4&amp;lang=en</w:t>
        </w:r>
      </w:hyperlink>
    </w:p>
  </w:footnote>
  <w:footnote w:id="5">
    <w:p w14:paraId="70348043" w14:textId="77777777" w:rsidR="00BE3D1F" w:rsidRPr="00BB53E2" w:rsidRDefault="00BE3D1F" w:rsidP="003737BF">
      <w:pPr>
        <w:pStyle w:val="FootnoteText"/>
        <w:rPr>
          <w:lang w:val="nl-BE"/>
        </w:rPr>
      </w:pPr>
      <w:r>
        <w:rPr>
          <w:rStyle w:val="FootnoteReference"/>
        </w:rPr>
        <w:footnoteRef/>
      </w:r>
      <w:r w:rsidRPr="00BB53E2">
        <w:rPr>
          <w:lang w:val="nl-BE"/>
        </w:rPr>
        <w:t xml:space="preserve"> </w:t>
      </w:r>
      <w:hyperlink r:id="rId5" w:history="1">
        <w:r w:rsidRPr="00BB53E2">
          <w:rPr>
            <w:rStyle w:val="Hyperlink"/>
            <w:rFonts w:cstheme="minorHAnsi"/>
            <w:lang w:val="nl-BE"/>
          </w:rPr>
          <w:t>http://www.un.org/disabilities/countries.asp?navid=12&amp;pid=166</w:t>
        </w:r>
      </w:hyperlink>
      <w:r w:rsidRPr="00BB53E2">
        <w:rPr>
          <w:rStyle w:val="Hyperlink"/>
          <w:rFonts w:cstheme="minorHAnsi"/>
          <w:lang w:val="nl-BE"/>
        </w:rPr>
        <w:t>;</w:t>
      </w:r>
      <w:r w:rsidRPr="00BB53E2">
        <w:rPr>
          <w:rStyle w:val="Hyperlink"/>
          <w:rFonts w:cstheme="minorHAnsi"/>
          <w:u w:val="none"/>
          <w:lang w:val="nl-BE"/>
        </w:rPr>
        <w:t xml:space="preserve">  </w:t>
      </w:r>
      <w:hyperlink r:id="rId6" w:history="1">
        <w:r w:rsidRPr="00BB53E2">
          <w:rPr>
            <w:rStyle w:val="Hyperlink"/>
            <w:rFonts w:cstheme="minorHAnsi"/>
            <w:lang w:val="nl-BE"/>
          </w:rPr>
          <w:t>http://treaties.un.org/Pages/ViewDetails.aspx?src=TREATY&amp;mtdsg_no=IV-15&amp;chapter=4&amp;lang=en</w:t>
        </w:r>
      </w:hyperlink>
    </w:p>
  </w:footnote>
  <w:footnote w:id="6">
    <w:p w14:paraId="199E321F" w14:textId="77777777" w:rsidR="00BE3D1F" w:rsidRPr="00BE6376" w:rsidRDefault="00BE3D1F" w:rsidP="00BE6376">
      <w:pPr>
        <w:pStyle w:val="FootnoteText"/>
        <w:jc w:val="both"/>
      </w:pPr>
      <w:r w:rsidRPr="00BE6376">
        <w:rPr>
          <w:rStyle w:val="FootnoteReference"/>
        </w:rPr>
        <w:footnoteRef/>
      </w:r>
      <w:r w:rsidRPr="00BE6376">
        <w:t xml:space="preserve"> The Netherlands, Electoral Code 1989 (</w:t>
      </w:r>
      <w:r w:rsidRPr="00BE6376">
        <w:rPr>
          <w:i/>
        </w:rPr>
        <w:t>Kieswet 1989</w:t>
      </w:r>
      <w:r w:rsidRPr="00BE6376">
        <w:t xml:space="preserve">), available at: </w:t>
      </w:r>
      <w:hyperlink r:id="rId7" w:history="1">
        <w:r w:rsidRPr="00BE6376">
          <w:rPr>
            <w:rStyle w:val="Hyperlink"/>
          </w:rPr>
          <w:t>http://wetten.overheid.nl/cgi-bin/deeplink/law1/title=Kieswet</w:t>
        </w:r>
      </w:hyperlink>
      <w:r w:rsidRPr="00BE6376">
        <w:t>.</w:t>
      </w:r>
    </w:p>
  </w:footnote>
  <w:footnote w:id="7">
    <w:p w14:paraId="64F57C24" w14:textId="77777777" w:rsidR="00BE3D1F" w:rsidRPr="00BE6376" w:rsidRDefault="00BE3D1F" w:rsidP="00BE6376">
      <w:pPr>
        <w:pStyle w:val="FootnoteText"/>
        <w:jc w:val="both"/>
      </w:pPr>
      <w:r w:rsidRPr="00BE6376">
        <w:rPr>
          <w:rStyle w:val="FootnoteReference"/>
        </w:rPr>
        <w:footnoteRef/>
      </w:r>
      <w:r w:rsidRPr="00BE6376">
        <w:t xml:space="preserve"> The Netherlands, Electoral Code 1989 (</w:t>
      </w:r>
      <w:r w:rsidRPr="00BE6376">
        <w:rPr>
          <w:i/>
        </w:rPr>
        <w:t>Kieswet 1989</w:t>
      </w:r>
      <w:r w:rsidRPr="00BE6376">
        <w:t xml:space="preserve">), available at: </w:t>
      </w:r>
      <w:hyperlink r:id="rId8" w:history="1">
        <w:r w:rsidRPr="00BE6376">
          <w:rPr>
            <w:rStyle w:val="Hyperlink"/>
          </w:rPr>
          <w:t>http://wetten.overheid.nl/cgi-bin/deeplink/law1/title=Kieswet</w:t>
        </w:r>
      </w:hyperlink>
      <w:r w:rsidRPr="00BE6376">
        <w:t>.</w:t>
      </w:r>
    </w:p>
  </w:footnote>
  <w:footnote w:id="8">
    <w:p w14:paraId="38A869B7" w14:textId="1E690AEF" w:rsidR="00BE3D1F" w:rsidRPr="00BE6376" w:rsidRDefault="00BE3D1F" w:rsidP="00BE6376">
      <w:pPr>
        <w:pStyle w:val="FootnoteText"/>
        <w:jc w:val="both"/>
      </w:pPr>
      <w:r w:rsidRPr="00BE6376">
        <w:rPr>
          <w:rStyle w:val="FootnoteReference"/>
        </w:rPr>
        <w:footnoteRef/>
      </w:r>
      <w:r w:rsidRPr="00BE6376">
        <w:t>The Netherlands, Act on Municipal Personal Records 1994 (</w:t>
      </w:r>
      <w:r w:rsidRPr="00BE6376">
        <w:rPr>
          <w:i/>
        </w:rPr>
        <w:t>Wet gemeentelijke basisadministratie persoonsgegevens 1994</w:t>
      </w:r>
      <w:r w:rsidRPr="00BE6376">
        <w:t>), available at: http://wetten.overheid.nl/BWBR0006723/geldigheidsdatum_21-06-2013.</w:t>
      </w:r>
    </w:p>
  </w:footnote>
  <w:footnote w:id="9">
    <w:p w14:paraId="3D40C3F8" w14:textId="77777777" w:rsidR="00BE3D1F" w:rsidRPr="00BE6376" w:rsidRDefault="00BE3D1F" w:rsidP="00BE6376">
      <w:pPr>
        <w:pStyle w:val="FootnoteText"/>
        <w:jc w:val="both"/>
      </w:pPr>
      <w:r w:rsidRPr="00BE6376">
        <w:rPr>
          <w:rStyle w:val="FootnoteReference"/>
        </w:rPr>
        <w:footnoteRef/>
      </w:r>
      <w:r w:rsidRPr="00BE6376">
        <w:t xml:space="preserve"> Netherlands, Council of State (2003).</w:t>
      </w:r>
    </w:p>
  </w:footnote>
  <w:footnote w:id="10">
    <w:p w14:paraId="2FEC55E4" w14:textId="3ED53BBB" w:rsidR="00BE3D1F" w:rsidRPr="00BE6376" w:rsidRDefault="00BE3D1F" w:rsidP="00BE6376">
      <w:pPr>
        <w:pStyle w:val="FootnoteText"/>
        <w:jc w:val="both"/>
      </w:pPr>
      <w:r w:rsidRPr="00BE6376">
        <w:rPr>
          <w:rStyle w:val="FootnoteReference"/>
        </w:rPr>
        <w:footnoteRef/>
      </w:r>
      <w:r w:rsidRPr="00BE6376">
        <w:t>The Netherlands, National Government (</w:t>
      </w:r>
      <w:r w:rsidRPr="00BE6376">
        <w:rPr>
          <w:i/>
        </w:rPr>
        <w:t>Rijksoverheid</w:t>
      </w:r>
      <w:r w:rsidRPr="00BE6376">
        <w:t>) (2008), Changes to the Constitution (</w:t>
      </w:r>
      <w:r w:rsidRPr="00BE6376">
        <w:rPr>
          <w:i/>
        </w:rPr>
        <w:t>Wijzigingen Grondwet</w:t>
      </w:r>
      <w:r w:rsidRPr="00BE6376">
        <w:t>), website, available at: www.rijksoverheid.nl/nieuws/2008/06/25/wijzigingen-grondwet.html.</w:t>
      </w:r>
    </w:p>
  </w:footnote>
  <w:footnote w:id="11">
    <w:p w14:paraId="18A7DF73" w14:textId="77777777" w:rsidR="00BE3D1F" w:rsidRPr="00BE6376" w:rsidRDefault="00BE3D1F" w:rsidP="00BE6376">
      <w:pPr>
        <w:pStyle w:val="FootnoteText"/>
        <w:jc w:val="both"/>
      </w:pPr>
      <w:r w:rsidRPr="00BE6376">
        <w:rPr>
          <w:rStyle w:val="FootnoteReference"/>
        </w:rPr>
        <w:footnoteRef/>
      </w:r>
      <w:r w:rsidRPr="00BE6376">
        <w:t xml:space="preserve"> The Netherlands, Electoral Code 1989 (</w:t>
      </w:r>
      <w:r w:rsidRPr="00BE6376">
        <w:rPr>
          <w:i/>
        </w:rPr>
        <w:t>Kieswet 1989</w:t>
      </w:r>
      <w:r w:rsidRPr="00BE6376">
        <w:t>), available at: http://wetten.overheid.nl/cgi-bin/deeplink/law1/title=Kieswet.</w:t>
      </w:r>
    </w:p>
  </w:footnote>
  <w:footnote w:id="12">
    <w:p w14:paraId="7B340D86" w14:textId="77777777" w:rsidR="00BE3D1F" w:rsidRPr="00BE6376" w:rsidRDefault="00BE3D1F" w:rsidP="00BE6376">
      <w:pPr>
        <w:pStyle w:val="FootnoteText"/>
        <w:jc w:val="both"/>
      </w:pPr>
      <w:r w:rsidRPr="00BE6376">
        <w:rPr>
          <w:rStyle w:val="FootnoteReference"/>
        </w:rPr>
        <w:footnoteRef/>
      </w:r>
      <w:r w:rsidRPr="00BE6376">
        <w:t xml:space="preserve"> The Netherlands, Electoral Code 1989 (</w:t>
      </w:r>
      <w:r w:rsidRPr="00BE6376">
        <w:rPr>
          <w:i/>
        </w:rPr>
        <w:t>Kieswet 1989</w:t>
      </w:r>
      <w:r w:rsidRPr="00BE6376">
        <w:t>), article L1, available at: http://wetten.overheid.nl/cgi-bin/deeplink/law1/title=Kieswet</w:t>
      </w:r>
    </w:p>
  </w:footnote>
  <w:footnote w:id="13">
    <w:p w14:paraId="16F7CA37" w14:textId="408A62A0" w:rsidR="00BE3D1F" w:rsidRPr="00BE6376" w:rsidRDefault="00BE3D1F" w:rsidP="00BE6376">
      <w:pPr>
        <w:pStyle w:val="FootnoteText"/>
        <w:jc w:val="both"/>
      </w:pPr>
      <w:r w:rsidRPr="00BE6376">
        <w:rPr>
          <w:rStyle w:val="FootnoteReference"/>
        </w:rPr>
        <w:footnoteRef/>
      </w:r>
      <w:r w:rsidRPr="00BE6376">
        <w:t xml:space="preserve"> The Netherlands, Electoral Code 1989 (</w:t>
      </w:r>
      <w:r w:rsidRPr="00BE6376">
        <w:rPr>
          <w:i/>
        </w:rPr>
        <w:t>Kieswet 1989</w:t>
      </w:r>
      <w:r w:rsidRPr="00BE6376">
        <w:t>), article L7, available at: http://wetten.overheid.nl/cgi-bin/deeplink/law1/title=Kieswet.</w:t>
      </w:r>
    </w:p>
  </w:footnote>
  <w:footnote w:id="14">
    <w:p w14:paraId="3B154F43" w14:textId="77777777" w:rsidR="00BE3D1F" w:rsidRPr="00BE6376" w:rsidRDefault="00BE3D1F" w:rsidP="00BE6376">
      <w:pPr>
        <w:pStyle w:val="FootnoteText"/>
        <w:jc w:val="both"/>
      </w:pPr>
      <w:r w:rsidRPr="00BE6376">
        <w:rPr>
          <w:rStyle w:val="FootnoteReference"/>
        </w:rPr>
        <w:footnoteRef/>
      </w:r>
      <w:r w:rsidRPr="00BE6376">
        <w:t xml:space="preserve"> The Netherlands, Electoral Code 1989 (</w:t>
      </w:r>
      <w:r w:rsidRPr="00BE6376">
        <w:rPr>
          <w:i/>
        </w:rPr>
        <w:t>Kieswet 1989</w:t>
      </w:r>
      <w:r w:rsidRPr="00BE6376">
        <w:t>), article L15, available at: http://wetten.overheid.nl/cgi-bin/deeplink/law1/title=Kieswet.</w:t>
      </w:r>
    </w:p>
  </w:footnote>
  <w:footnote w:id="15">
    <w:p w14:paraId="3B8E886B" w14:textId="42C6C67D" w:rsidR="00BE3D1F" w:rsidRPr="00BE6376" w:rsidRDefault="00BE3D1F" w:rsidP="00BE6376">
      <w:pPr>
        <w:pStyle w:val="FootnoteText"/>
        <w:jc w:val="both"/>
      </w:pPr>
      <w:r w:rsidRPr="00BE6376">
        <w:rPr>
          <w:rStyle w:val="FootnoteReference"/>
        </w:rPr>
        <w:footnoteRef/>
      </w:r>
      <w:r w:rsidRPr="00BE6376">
        <w:t>The Netherlands, Ministry of the Interior and Kingdom Relations (</w:t>
      </w:r>
      <w:r w:rsidRPr="00BE6376">
        <w:rPr>
          <w:i/>
        </w:rPr>
        <w:t>Ministerie van Binnenlandse Zaken en Koninkrijkrelaties</w:t>
      </w:r>
      <w:r w:rsidRPr="00BE6376">
        <w:t>) (2006), Decision on the Quality of Kingdom Websites (</w:t>
      </w:r>
      <w:r w:rsidRPr="00BE6376">
        <w:rPr>
          <w:i/>
        </w:rPr>
        <w:t>Besluit Kwaliteit Rijksoverheidswebsites</w:t>
      </w:r>
      <w:r w:rsidRPr="00BE6376">
        <w:t>), 7 July 2006, no. 2006-0000231475, available at: https://zoek.officielebekendmakingen.nl/stcrt-2006-136-p23-SC75949.html.</w:t>
      </w:r>
    </w:p>
  </w:footnote>
  <w:footnote w:id="16">
    <w:p w14:paraId="66144ADC" w14:textId="77777777" w:rsidR="00BE3D1F" w:rsidRPr="00BE6376" w:rsidRDefault="00BE3D1F" w:rsidP="00BE6376">
      <w:pPr>
        <w:pStyle w:val="FootnoteText"/>
        <w:jc w:val="both"/>
      </w:pPr>
      <w:r w:rsidRPr="00BE6376">
        <w:rPr>
          <w:rStyle w:val="FootnoteReference"/>
        </w:rPr>
        <w:footnoteRef/>
      </w:r>
      <w:r w:rsidRPr="00BE6376">
        <w:t xml:space="preserve"> The Netherlands, Ministry of the Interior and Kingdom Relations (</w:t>
      </w:r>
      <w:r w:rsidRPr="00BE6376">
        <w:rPr>
          <w:i/>
        </w:rPr>
        <w:t>Ministerie van Binnenlandse Zaken en Koninkrijkrelaties</w:t>
      </w:r>
      <w:r w:rsidRPr="00BE6376">
        <w:t>) (2011), Provision of a government-wide implementation agenda for service provision (</w:t>
      </w:r>
      <w:r w:rsidRPr="00BE6376">
        <w:rPr>
          <w:i/>
        </w:rPr>
        <w:t>aanbieding overheidsbrede implementatieagenda voor dienstverlening</w:t>
      </w:r>
      <w:r w:rsidRPr="00BE6376">
        <w:t>), letter to parliament, reference no. 2011-2000168436, available at: www.rijksoverheid.nl/documenten-en-publicaties/kamerstukken/2011/05/30/aanbiedingsbrief-overheidsbrede-implementatieagenda-voor-dienstverlening-en-e-overheid-i-nup.html.</w:t>
      </w:r>
    </w:p>
  </w:footnote>
  <w:footnote w:id="17">
    <w:p w14:paraId="3388B988" w14:textId="77777777" w:rsidR="00BE3D1F" w:rsidRPr="00BE6376" w:rsidRDefault="00BE3D1F" w:rsidP="00BE6376">
      <w:pPr>
        <w:pStyle w:val="FootnoteText"/>
        <w:jc w:val="both"/>
      </w:pPr>
      <w:r w:rsidRPr="00BE6376">
        <w:rPr>
          <w:rStyle w:val="FootnoteReference"/>
        </w:rPr>
        <w:footnoteRef/>
      </w:r>
      <w:r w:rsidRPr="00BE6376">
        <w:t xml:space="preserve"> The Netherlands, Ministry of the Interior and Kingdom Relations (</w:t>
      </w:r>
      <w:r w:rsidRPr="00BE6376">
        <w:rPr>
          <w:i/>
        </w:rPr>
        <w:t>Ministerie van Binnenlandse Zaken en Koninkrijkrelaties</w:t>
      </w:r>
      <w:r w:rsidRPr="00BE6376">
        <w:t>) (2011), Provision of a government-wide implementation agenda for service provision (</w:t>
      </w:r>
      <w:r w:rsidRPr="00BE6376">
        <w:rPr>
          <w:i/>
        </w:rPr>
        <w:t>aanbieding overheidsbrede implementatieagenda voor dienstverlening</w:t>
      </w:r>
      <w:r w:rsidRPr="00BE6376">
        <w:t>), letter to parliament, reference no. 2011-2000168436, available at: www.rijksoverheid.nl/documenten-en-publicaties/kamerstukken/2011/05/30/aanbiedingsbrief-overheidsbrede-implementatieagenda-voor-dienstverlening-en-e-overheid-i-nup.html.</w:t>
      </w:r>
    </w:p>
  </w:footnote>
  <w:footnote w:id="18">
    <w:p w14:paraId="1F42678E" w14:textId="77777777" w:rsidR="00BE3D1F" w:rsidRPr="00BE6376" w:rsidRDefault="00BE3D1F" w:rsidP="00BE6376">
      <w:pPr>
        <w:pStyle w:val="FootnoteText"/>
        <w:jc w:val="both"/>
      </w:pPr>
      <w:r w:rsidRPr="00BE6376">
        <w:rPr>
          <w:rStyle w:val="FootnoteReference"/>
        </w:rPr>
        <w:footnoteRef/>
      </w:r>
      <w:r w:rsidRPr="00BE6376">
        <w:t xml:space="preserve"> The Netherlands, Media Decision 2008 (</w:t>
      </w:r>
      <w:r w:rsidRPr="00BE6376">
        <w:rPr>
          <w:i/>
        </w:rPr>
        <w:t>Mediabesluit 2008</w:t>
      </w:r>
      <w:r w:rsidRPr="00BE6376">
        <w:t>), available at http://wetten.overheid.nl/BWBR0025036/geldigheidsdatum_04-01-2010.</w:t>
      </w:r>
    </w:p>
  </w:footnote>
  <w:footnote w:id="19">
    <w:p w14:paraId="3EACC40D" w14:textId="77777777" w:rsidR="00BE3D1F" w:rsidRPr="00BE6376" w:rsidRDefault="00BE3D1F" w:rsidP="00BE6376">
      <w:pPr>
        <w:pStyle w:val="FootnoteText"/>
        <w:jc w:val="both"/>
        <w:rPr>
          <w:rFonts w:cs="Times New Roman"/>
          <w:lang w:val="en-US"/>
        </w:rPr>
      </w:pPr>
      <w:r w:rsidRPr="00BE6376">
        <w:rPr>
          <w:rStyle w:val="FootnoteReference"/>
          <w:rFonts w:cs="Times New Roman"/>
        </w:rPr>
        <w:footnoteRef/>
      </w:r>
      <w:r w:rsidRPr="00BE6376">
        <w:rPr>
          <w:rFonts w:cs="Times New Roman"/>
          <w:lang w:val="en-US"/>
        </w:rPr>
        <w:t xml:space="preserve"> Netherlands, State Secretary of of Health, Welfare and Sport (</w:t>
      </w:r>
      <w:r w:rsidRPr="00BE6376">
        <w:rPr>
          <w:rFonts w:cs="Times New Roman"/>
          <w:i/>
          <w:lang w:val="en-US"/>
        </w:rPr>
        <w:t>Staatssecretaris van Volksgezondheid, Welzijn en Sport</w:t>
      </w:r>
      <w:r w:rsidRPr="00BE6376">
        <w:rPr>
          <w:rFonts w:cs="Times New Roman"/>
          <w:lang w:val="en-US"/>
        </w:rPr>
        <w:t xml:space="preserve">) (2013), </w:t>
      </w:r>
      <w:r w:rsidRPr="00BE6376">
        <w:rPr>
          <w:rFonts w:cs="Times New Roman"/>
          <w:i/>
          <w:lang w:val="en-US"/>
        </w:rPr>
        <w:t>Ambtelijk concept: Rijkswet van ... tot uitvoering van het op 13 december 2006 te New York tot stand gekomen Verdrag inzake de rechten van personen met een handicap (Trb. 2007, 169</w:t>
      </w:r>
      <w:r w:rsidRPr="00BE6376">
        <w:rPr>
          <w:rFonts w:cs="Times New Roman"/>
          <w:lang w:val="en-US"/>
        </w:rPr>
        <w:t>), available at: http://internetconsultatie.nl/vnverdraghandicap/document/766.</w:t>
      </w:r>
    </w:p>
  </w:footnote>
  <w:footnote w:id="20">
    <w:p w14:paraId="4BB4C385" w14:textId="77777777" w:rsidR="00BE3D1F" w:rsidRPr="00BE6376" w:rsidRDefault="00BE3D1F" w:rsidP="00BE6376">
      <w:pPr>
        <w:pStyle w:val="FootnoteText"/>
        <w:jc w:val="both"/>
      </w:pPr>
      <w:r w:rsidRPr="00BE6376">
        <w:rPr>
          <w:rStyle w:val="FootnoteReference"/>
        </w:rPr>
        <w:footnoteRef/>
      </w:r>
      <w:r w:rsidRPr="00BE6376">
        <w:t xml:space="preserve"> Netherlands, Elections Act, Article J4(2).</w:t>
      </w:r>
    </w:p>
  </w:footnote>
  <w:footnote w:id="21">
    <w:p w14:paraId="70BDA60C" w14:textId="77777777" w:rsidR="00BE3D1F" w:rsidRPr="00BE6376" w:rsidRDefault="00BE3D1F" w:rsidP="00BE6376">
      <w:pPr>
        <w:pStyle w:val="FootnoteText"/>
        <w:jc w:val="both"/>
      </w:pPr>
      <w:r w:rsidRPr="00BE6376">
        <w:rPr>
          <w:rStyle w:val="FootnoteReference"/>
        </w:rPr>
        <w:footnoteRef/>
      </w:r>
      <w:r w:rsidRPr="00BE6376">
        <w:t xml:space="preserve"> </w:t>
      </w:r>
      <w:hyperlink r:id="rId9" w:history="1">
        <w:r w:rsidRPr="00BE6376">
          <w:rPr>
            <w:rStyle w:val="Hyperlink"/>
          </w:rPr>
          <w:t>www.cg-raad.nl/wij_werken_aan/toegankelijkheid/stemmen/index.php</w:t>
        </w:r>
      </w:hyperlink>
      <w:r w:rsidRPr="00BE6376">
        <w:t xml:space="preserve"> </w:t>
      </w:r>
    </w:p>
  </w:footnote>
  <w:footnote w:id="22">
    <w:p w14:paraId="3698074E" w14:textId="156144A9" w:rsidR="00BE3D1F" w:rsidRPr="00BE6376" w:rsidRDefault="00BE3D1F" w:rsidP="00BE6376">
      <w:pPr>
        <w:pStyle w:val="FootnoteText"/>
        <w:jc w:val="both"/>
      </w:pPr>
      <w:r w:rsidRPr="00BE6376">
        <w:rPr>
          <w:rStyle w:val="FootnoteReference"/>
        </w:rPr>
        <w:footnoteRef/>
      </w:r>
      <w:r w:rsidRPr="00BE6376">
        <w:t xml:space="preserve"> Netherlands, Elections Act, Article J28 .</w:t>
      </w:r>
    </w:p>
  </w:footnote>
  <w:footnote w:id="23">
    <w:p w14:paraId="015D1960" w14:textId="77777777" w:rsidR="00BE3D1F" w:rsidRPr="00BE6376" w:rsidRDefault="00BE3D1F" w:rsidP="00BE6376">
      <w:pPr>
        <w:pStyle w:val="FootnoteText"/>
        <w:jc w:val="both"/>
      </w:pPr>
      <w:r w:rsidRPr="00BE6376">
        <w:rPr>
          <w:rStyle w:val="FootnoteReference"/>
        </w:rPr>
        <w:footnoteRef/>
      </w:r>
      <w:r w:rsidRPr="00BE6376">
        <w:t xml:space="preserve"> See the website of the Dutch Electoral Council:  </w:t>
      </w:r>
      <w:hyperlink r:id="rId10" w:history="1">
        <w:r w:rsidRPr="00BE6376">
          <w:rPr>
            <w:rStyle w:val="Hyperlink"/>
          </w:rPr>
          <w:t>www.kiesraad.nl/nl/Onderwerpen/Thema-Stemmen/Hulp_bij_stemmen.html</w:t>
        </w:r>
      </w:hyperlink>
      <w:r w:rsidRPr="00BE6376">
        <w:t xml:space="preserve"> </w:t>
      </w:r>
    </w:p>
  </w:footnote>
  <w:footnote w:id="24">
    <w:p w14:paraId="72F5CA9A" w14:textId="33E35EC9" w:rsidR="00BE3D1F" w:rsidRDefault="00BE3D1F">
      <w:pPr>
        <w:pStyle w:val="FootnoteText"/>
      </w:pPr>
      <w:r>
        <w:rPr>
          <w:rStyle w:val="FootnoteReference"/>
        </w:rPr>
        <w:footnoteRef/>
      </w:r>
      <w:r>
        <w:t xml:space="preserve"> </w:t>
      </w:r>
      <w:r w:rsidRPr="003E0515">
        <w:t xml:space="preserve">See  </w:t>
      </w:r>
      <w:r w:rsidRPr="003E0515">
        <w:rPr>
          <w:rFonts w:cs="Times New Roman"/>
          <w:lang w:val="en-US"/>
        </w:rPr>
        <w:t>www.rijksoverheid.nl/documenten-en-publicaties/persberichten/2009/04/28/visueel-beperkte-kan-kieslijst-via-telefoon-beluisteren.html</w:t>
      </w:r>
    </w:p>
  </w:footnote>
  <w:footnote w:id="25">
    <w:p w14:paraId="716E998D" w14:textId="77777777" w:rsidR="00BE3D1F" w:rsidRPr="00BE6376" w:rsidRDefault="00BE3D1F" w:rsidP="00BE6376">
      <w:pPr>
        <w:pStyle w:val="FootnoteText"/>
        <w:jc w:val="both"/>
      </w:pPr>
      <w:r w:rsidRPr="00BE6376">
        <w:rPr>
          <w:rStyle w:val="FootnoteReference"/>
        </w:rPr>
        <w:footnoteRef/>
      </w:r>
      <w:r w:rsidRPr="00BE6376">
        <w:t xml:space="preserve"> </w:t>
      </w:r>
      <w:r w:rsidRPr="00BE6376">
        <w:rPr>
          <w:rFonts w:cstheme="minorHAnsi"/>
        </w:rPr>
        <w:t>The Netherlands, Electoral Code 1989 (</w:t>
      </w:r>
      <w:r w:rsidRPr="00BE6376">
        <w:rPr>
          <w:rFonts w:cstheme="minorHAnsi"/>
          <w:i/>
        </w:rPr>
        <w:t>Kieswet 1989</w:t>
      </w:r>
      <w:r w:rsidRPr="00BE6376">
        <w:rPr>
          <w:rFonts w:cstheme="minorHAnsi"/>
        </w:rPr>
        <w:t>), article E4, available at: http://wetten.overheid.nl/cgi-bin/deeplink/law1/title=Kieswet.</w:t>
      </w:r>
    </w:p>
  </w:footnote>
  <w:footnote w:id="26">
    <w:p w14:paraId="3B05B30E" w14:textId="4F93C50F" w:rsidR="00BE3D1F" w:rsidRPr="00BE6376" w:rsidRDefault="00BE3D1F" w:rsidP="00BE6376">
      <w:pPr>
        <w:pStyle w:val="FootnoteText"/>
        <w:jc w:val="both"/>
      </w:pPr>
      <w:r w:rsidRPr="00BE6376">
        <w:rPr>
          <w:rStyle w:val="FootnoteReference"/>
        </w:rPr>
        <w:footnoteRef/>
      </w:r>
      <w:r w:rsidRPr="00BE6376">
        <w:t>The Netherlands, National Government (</w:t>
      </w:r>
      <w:r w:rsidRPr="00BE6376">
        <w:rPr>
          <w:i/>
        </w:rPr>
        <w:t>Rijksoverheid</w:t>
      </w:r>
      <w:r w:rsidRPr="00BE6376">
        <w:t>) (2012), Instruction members of polling station (</w:t>
      </w:r>
      <w:r w:rsidRPr="00BE6376">
        <w:rPr>
          <w:i/>
        </w:rPr>
        <w:t>Instructie Stembureauleden</w:t>
      </w:r>
      <w:r w:rsidRPr="00BE6376">
        <w:t>), Presentation, available at: www.verkiezingen2012.nl/ppt/Powerpointpresentatie_instructie_stembureauleden_TK2012.ppt.</w:t>
      </w:r>
    </w:p>
  </w:footnote>
  <w:footnote w:id="27">
    <w:p w14:paraId="6FF63605" w14:textId="77777777" w:rsidR="00BE3D1F" w:rsidRPr="00BE6376" w:rsidRDefault="00BE3D1F" w:rsidP="00BE6376">
      <w:pPr>
        <w:pStyle w:val="FootnoteText"/>
        <w:jc w:val="both"/>
        <w:rPr>
          <w:lang w:val="nl-NL"/>
        </w:rPr>
      </w:pPr>
      <w:r w:rsidRPr="00BE6376">
        <w:rPr>
          <w:rStyle w:val="FootnoteReference"/>
        </w:rPr>
        <w:footnoteRef/>
      </w:r>
      <w:r w:rsidRPr="00BE6376">
        <w:t xml:space="preserve"> The Netherlands, National Government (</w:t>
      </w:r>
      <w:r w:rsidRPr="00BE6376">
        <w:rPr>
          <w:i/>
        </w:rPr>
        <w:t>Rijksoverheid</w:t>
      </w:r>
      <w:r w:rsidRPr="00BE6376">
        <w:t xml:space="preserve">) (2013), Can I file a complaint about a polling station? </w:t>
      </w:r>
      <w:r w:rsidRPr="00BE6376">
        <w:rPr>
          <w:lang w:val="nl-NL"/>
        </w:rPr>
        <w:t>(</w:t>
      </w:r>
      <w:r w:rsidRPr="00BE6376">
        <w:rPr>
          <w:i/>
          <w:lang w:val="nl-NL"/>
        </w:rPr>
        <w:t>Kan ik een klacht indienen over een stembureau?</w:t>
      </w:r>
      <w:r w:rsidRPr="00BE6376">
        <w:rPr>
          <w:lang w:val="nl-NL"/>
        </w:rPr>
        <w:t>), available at: www.rijksoverheid.nl/onderwerpen/verkiezingen/vraag-en-antwoord/hoe-en-waar-kan-ik-een-klacht-indienen-over-een-stembureau.html.</w:t>
      </w:r>
    </w:p>
  </w:footnote>
  <w:footnote w:id="28">
    <w:p w14:paraId="53834D4F" w14:textId="77777777" w:rsidR="00BE3D1F" w:rsidRPr="00BE6376" w:rsidRDefault="00BE3D1F" w:rsidP="00BE6376">
      <w:pPr>
        <w:pStyle w:val="FootnoteText"/>
        <w:jc w:val="both"/>
      </w:pPr>
      <w:r w:rsidRPr="00BE6376">
        <w:rPr>
          <w:rStyle w:val="FootnoteReference"/>
        </w:rPr>
        <w:footnoteRef/>
      </w:r>
      <w:r w:rsidRPr="00BE6376">
        <w:t xml:space="preserve"> The Netherlands, Civil Code 1992 (</w:t>
      </w:r>
      <w:r w:rsidRPr="00BE6376">
        <w:rPr>
          <w:i/>
        </w:rPr>
        <w:t>Burgerlijk Wetboek 1992)</w:t>
      </w:r>
      <w:r w:rsidRPr="00BE6376">
        <w:t>, article 381.</w:t>
      </w:r>
    </w:p>
  </w:footnote>
  <w:footnote w:id="29">
    <w:p w14:paraId="6F39B453" w14:textId="77777777" w:rsidR="00BE3D1F" w:rsidRPr="00BE6376" w:rsidRDefault="00BE3D1F" w:rsidP="00BE6376">
      <w:pPr>
        <w:pStyle w:val="FootnoteText"/>
        <w:jc w:val="both"/>
      </w:pPr>
      <w:r w:rsidRPr="00BE6376">
        <w:rPr>
          <w:rStyle w:val="FootnoteReference"/>
        </w:rPr>
        <w:footnoteRef/>
      </w:r>
      <w:r w:rsidRPr="00BE6376">
        <w:t xml:space="preserve"> The Netherlands, Civil Code 1992 (</w:t>
      </w:r>
      <w:r w:rsidRPr="00BE6376">
        <w:rPr>
          <w:i/>
        </w:rPr>
        <w:t>Burgerlijk Wetboek 1992</w:t>
      </w:r>
      <w:r w:rsidRPr="00BE6376">
        <w:t>), article 450.</w:t>
      </w:r>
    </w:p>
  </w:footnote>
  <w:footnote w:id="30">
    <w:p w14:paraId="0F5BBF6A" w14:textId="77777777" w:rsidR="00BE3D1F" w:rsidRPr="00BE6376" w:rsidRDefault="00BE3D1F" w:rsidP="00BE6376">
      <w:pPr>
        <w:pStyle w:val="FootnoteText"/>
        <w:jc w:val="both"/>
      </w:pPr>
      <w:r w:rsidRPr="00BE6376">
        <w:rPr>
          <w:rStyle w:val="FootnoteReference"/>
        </w:rPr>
        <w:footnoteRef/>
      </w:r>
      <w:r w:rsidRPr="00BE6376">
        <w:t xml:space="preserve"> Platform for Mentally Disabled Persons (</w:t>
      </w:r>
      <w:r w:rsidRPr="00BE6376">
        <w:rPr>
          <w:i/>
        </w:rPr>
        <w:t>Platform VG</w:t>
      </w:r>
      <w:r w:rsidRPr="00BE6376">
        <w:t>) (2013), Merger news (</w:t>
      </w:r>
      <w:r w:rsidRPr="00BE6376">
        <w:rPr>
          <w:i/>
        </w:rPr>
        <w:t>Fusienieuws</w:t>
      </w:r>
      <w:r w:rsidRPr="00BE6376">
        <w:t>), website, available at: www.platformvg.nl/Actueel/Fusienieuws.</w:t>
      </w:r>
    </w:p>
  </w:footnote>
  <w:footnote w:id="31">
    <w:p w14:paraId="4DCAF131" w14:textId="390D2911" w:rsidR="00BE3D1F" w:rsidRPr="00BE6376" w:rsidRDefault="00BE3D1F" w:rsidP="00BE6376">
      <w:pPr>
        <w:pStyle w:val="FootnoteText"/>
        <w:jc w:val="both"/>
      </w:pPr>
      <w:r w:rsidRPr="00BE6376">
        <w:rPr>
          <w:rStyle w:val="FootnoteReference"/>
        </w:rPr>
        <w:footnoteRef/>
      </w:r>
      <w:r w:rsidRPr="00BE6376">
        <w:t xml:space="preserve"> Dutch Council of the Chronically ill and the Disabled (</w:t>
      </w:r>
      <w:r w:rsidRPr="00BE6376">
        <w:rPr>
          <w:i/>
        </w:rPr>
        <w:t>CG-Raad</w:t>
      </w:r>
      <w:r w:rsidRPr="00BE6376">
        <w:t>) (2013), Mission (</w:t>
      </w:r>
      <w:r w:rsidRPr="00BE6376">
        <w:rPr>
          <w:i/>
        </w:rPr>
        <w:t>Missie</w:t>
      </w:r>
      <w:r w:rsidRPr="00BE6376">
        <w:t xml:space="preserve">), website, available at: </w:t>
      </w:r>
      <w:hyperlink r:id="rId11" w:history="1">
        <w:r w:rsidRPr="0044539A">
          <w:rPr>
            <w:rStyle w:val="Hyperlink"/>
          </w:rPr>
          <w:t>www.cg-raad.nl/over_ons/missie.php</w:t>
        </w:r>
      </w:hyperlink>
      <w:r w:rsidRPr="00BE6376">
        <w:t>.</w:t>
      </w:r>
      <w:r>
        <w:t xml:space="preserve"> </w:t>
      </w:r>
    </w:p>
  </w:footnote>
  <w:footnote w:id="32">
    <w:p w14:paraId="276D121B" w14:textId="77777777" w:rsidR="00BE3D1F" w:rsidRPr="00BE6376" w:rsidRDefault="00BE3D1F" w:rsidP="00BE6376">
      <w:pPr>
        <w:pStyle w:val="FootnoteText"/>
        <w:jc w:val="both"/>
      </w:pPr>
      <w:r w:rsidRPr="00BE6376">
        <w:rPr>
          <w:rStyle w:val="FootnoteReference"/>
        </w:rPr>
        <w:footnoteRef/>
      </w:r>
      <w:r w:rsidRPr="00BE6376">
        <w:t xml:space="preserve"> The Netherlands, Council of State (</w:t>
      </w:r>
      <w:r w:rsidRPr="00BE6376">
        <w:rPr>
          <w:i/>
        </w:rPr>
        <w:t>Raad van State</w:t>
      </w:r>
      <w:r w:rsidRPr="00BE6376">
        <w:t>), Judgment 200300512/1, 29 October 2003, available at: www.raadvanstate.nl/uitspraken/zoeken-in-uitspraken/tekst-uitspraak.html?id=5273&amp;summary_only=&amp;q=greuter.</w:t>
      </w:r>
    </w:p>
  </w:footnote>
  <w:footnote w:id="33">
    <w:p w14:paraId="1E5C6383" w14:textId="77777777" w:rsidR="00BE3D1F" w:rsidRPr="00BE6376" w:rsidRDefault="00BE3D1F" w:rsidP="00BE6376">
      <w:pPr>
        <w:pStyle w:val="FootnoteText"/>
        <w:jc w:val="both"/>
      </w:pPr>
      <w:r w:rsidRPr="00BE6376">
        <w:rPr>
          <w:rStyle w:val="FootnoteReference"/>
        </w:rPr>
        <w:footnoteRef/>
      </w:r>
      <w:r w:rsidRPr="00BE6376">
        <w:t xml:space="preserve"> The Netherlands, National Government (</w:t>
      </w:r>
      <w:r w:rsidRPr="00BE6376">
        <w:rPr>
          <w:i/>
        </w:rPr>
        <w:t>Rijksoverheid</w:t>
      </w:r>
      <w:r w:rsidRPr="00BE6376">
        <w:t>) (2008), Changes to the Constitution (</w:t>
      </w:r>
      <w:r w:rsidRPr="00BE6376">
        <w:rPr>
          <w:i/>
        </w:rPr>
        <w:t>Wijzigingen Grondwet</w:t>
      </w:r>
      <w:r w:rsidRPr="00BE6376">
        <w:t>), website, available at: www.rijksoverheid.nl/nieuws/2008/06/25/wijzigingen-grondwet.html.</w:t>
      </w:r>
    </w:p>
  </w:footnote>
  <w:footnote w:id="34">
    <w:p w14:paraId="596259ED" w14:textId="77777777" w:rsidR="00BE3D1F" w:rsidRPr="00BE6376" w:rsidRDefault="00BE3D1F" w:rsidP="00BE6376">
      <w:pPr>
        <w:pStyle w:val="FootnoteText"/>
        <w:jc w:val="both"/>
      </w:pPr>
      <w:r w:rsidRPr="00BE6376">
        <w:rPr>
          <w:rStyle w:val="FootnoteReference"/>
        </w:rPr>
        <w:footnoteRef/>
      </w:r>
      <w:r w:rsidRPr="00BE6376">
        <w:t xml:space="preserve"> The Netherlands, Netherlands Institute for Human Rights (</w:t>
      </w:r>
      <w:r w:rsidRPr="00BE6376">
        <w:rPr>
          <w:i/>
        </w:rPr>
        <w:t>College voor de Rechten van de Mens</w:t>
      </w:r>
      <w:r w:rsidRPr="00BE6376">
        <w:t>) (2013), Judgements (</w:t>
      </w:r>
      <w:r w:rsidRPr="00BE6376">
        <w:rPr>
          <w:i/>
        </w:rPr>
        <w:t>Oordelen</w:t>
      </w:r>
      <w:r w:rsidRPr="00BE6376">
        <w:t>), website, available at: http://www.mensenrechten.nl/publicaties/oordelen.</w:t>
      </w:r>
    </w:p>
  </w:footnote>
  <w:footnote w:id="35">
    <w:p w14:paraId="2D20C1EC" w14:textId="77777777" w:rsidR="00BE3D1F" w:rsidRPr="00BE6376" w:rsidRDefault="00BE3D1F" w:rsidP="00BE6376">
      <w:pPr>
        <w:pStyle w:val="FootnoteText"/>
        <w:jc w:val="both"/>
        <w:rPr>
          <w:lang w:val="nl-NL"/>
        </w:rPr>
      </w:pPr>
      <w:r w:rsidRPr="00BE6376">
        <w:rPr>
          <w:rStyle w:val="FootnoteReference"/>
        </w:rPr>
        <w:footnoteRef/>
      </w:r>
      <w:r w:rsidRPr="00BE6376">
        <w:t xml:space="preserve"> The Netherlands, National Government (</w:t>
      </w:r>
      <w:r w:rsidRPr="00BE6376">
        <w:rPr>
          <w:i/>
        </w:rPr>
        <w:t>Rijksoverheid</w:t>
      </w:r>
      <w:r w:rsidRPr="00BE6376">
        <w:t xml:space="preserve">) (2013), Can I file a complaint about a polling station? </w:t>
      </w:r>
      <w:r w:rsidRPr="00BE6376">
        <w:rPr>
          <w:lang w:val="nl-NL"/>
        </w:rPr>
        <w:t>(</w:t>
      </w:r>
      <w:r w:rsidRPr="00BE6376">
        <w:rPr>
          <w:i/>
          <w:lang w:val="nl-NL"/>
        </w:rPr>
        <w:t>Kan ik een klacht indienen over een stembureau?</w:t>
      </w:r>
      <w:r w:rsidRPr="00BE6376">
        <w:rPr>
          <w:lang w:val="nl-NL"/>
        </w:rPr>
        <w:t>), website, available at: www.rijksoverheid.nl/onderwerpen/verkiezingen/vraag-en-antwoord/hoe-en-waar-kan-ik-een-klacht-indienen-over-een-stembureau.html.</w:t>
      </w:r>
    </w:p>
  </w:footnote>
  <w:footnote w:id="36">
    <w:p w14:paraId="5CBC58FE" w14:textId="77777777" w:rsidR="00BE3D1F" w:rsidRPr="00BE6376" w:rsidRDefault="00BE3D1F" w:rsidP="00BE6376">
      <w:pPr>
        <w:pStyle w:val="FootnoteText"/>
        <w:jc w:val="both"/>
      </w:pPr>
      <w:r w:rsidRPr="00BE6376">
        <w:rPr>
          <w:rStyle w:val="FootnoteReference"/>
        </w:rPr>
        <w:footnoteRef/>
      </w:r>
      <w:r w:rsidRPr="00BE6376">
        <w:t xml:space="preserve"> The Netherlands, Electoral Council (</w:t>
      </w:r>
      <w:r w:rsidRPr="00BE6376">
        <w:rPr>
          <w:i/>
        </w:rPr>
        <w:t>Kiesraad</w:t>
      </w:r>
      <w:r w:rsidRPr="00BE6376">
        <w:t>) (2013), Municipal Council Elections (</w:t>
      </w:r>
      <w:r w:rsidRPr="00BE6376">
        <w:rPr>
          <w:i/>
        </w:rPr>
        <w:t>Gemeenteraadsverkiezingen</w:t>
      </w:r>
      <w:r w:rsidRPr="00BE6376">
        <w:t>), website, available at: www.kiesraad.nl/artikel/gr-gemeenteraad.</w:t>
      </w:r>
    </w:p>
  </w:footnote>
  <w:footnote w:id="37">
    <w:p w14:paraId="40AEF572" w14:textId="77777777" w:rsidR="00BE3D1F" w:rsidRPr="00BE6376" w:rsidRDefault="00BE3D1F" w:rsidP="00BE6376">
      <w:pPr>
        <w:pStyle w:val="FootnoteText"/>
        <w:jc w:val="both"/>
      </w:pPr>
      <w:r w:rsidRPr="00BE6376">
        <w:rPr>
          <w:rStyle w:val="FootnoteReference"/>
        </w:rPr>
        <w:footnoteRef/>
      </w:r>
      <w:r w:rsidRPr="00BE6376">
        <w:t xml:space="preserve"> The Netherlands, Electoral Council (</w:t>
      </w:r>
      <w:r w:rsidRPr="00BE6376">
        <w:rPr>
          <w:i/>
        </w:rPr>
        <w:t>Kiesraad</w:t>
      </w:r>
      <w:r w:rsidRPr="00BE6376">
        <w:t>) (2013), Assistance during voting (</w:t>
      </w:r>
      <w:r w:rsidRPr="00BE6376">
        <w:rPr>
          <w:i/>
        </w:rPr>
        <w:t>Hulp bij stemmen</w:t>
      </w:r>
      <w:r w:rsidRPr="00BE6376">
        <w:t>), website, available at: www.kiesraad.nl/artikel/gr-hulp-bij-stemmen.</w:t>
      </w:r>
    </w:p>
  </w:footnote>
  <w:footnote w:id="38">
    <w:p w14:paraId="130AE2D8" w14:textId="72FBBD18" w:rsidR="00BE3D1F" w:rsidRPr="00BE6376" w:rsidRDefault="00BE3D1F" w:rsidP="00BE6376">
      <w:pPr>
        <w:pStyle w:val="FootnoteText"/>
        <w:jc w:val="both"/>
      </w:pPr>
      <w:r w:rsidRPr="00BE6376">
        <w:rPr>
          <w:rStyle w:val="FootnoteReference"/>
        </w:rPr>
        <w:footnoteRef/>
      </w:r>
      <w:r w:rsidRPr="00BE6376">
        <w:t xml:space="preserve"> </w:t>
      </w:r>
      <w:r>
        <w:t>Information obtained from</w:t>
      </w:r>
      <w:r w:rsidRPr="00BE6376">
        <w:t xml:space="preserve"> ProDemos Knowledge Centre for Democracy and the Rule of Law, 19 July 2013.</w:t>
      </w:r>
    </w:p>
  </w:footnote>
  <w:footnote w:id="39">
    <w:p w14:paraId="719D1236" w14:textId="77777777" w:rsidR="00BE3D1F" w:rsidRPr="00BE6376" w:rsidRDefault="00BE3D1F" w:rsidP="00BE6376">
      <w:pPr>
        <w:pStyle w:val="FootnoteText"/>
        <w:jc w:val="both"/>
      </w:pPr>
      <w:r w:rsidRPr="00BE6376">
        <w:rPr>
          <w:rStyle w:val="FootnoteReference"/>
        </w:rPr>
        <w:footnoteRef/>
      </w:r>
      <w:r w:rsidRPr="00BE6376">
        <w:rPr>
          <w:lang w:val="en-US"/>
        </w:rPr>
        <w:t xml:space="preserve"> The Netherlands, Electoral Council (</w:t>
      </w:r>
      <w:r w:rsidRPr="00BE6376">
        <w:rPr>
          <w:i/>
          <w:lang w:val="en-US"/>
        </w:rPr>
        <w:t>Kiesraad</w:t>
      </w:r>
      <w:r w:rsidRPr="00BE6376">
        <w:rPr>
          <w:lang w:val="en-US"/>
        </w:rPr>
        <w:t>) (2012), Results of the elections of the members of the House of Representatives of 12 September 2012 (</w:t>
      </w:r>
      <w:r w:rsidRPr="00BE6376">
        <w:rPr>
          <w:i/>
          <w:lang w:val="en-US"/>
        </w:rPr>
        <w:t xml:space="preserve">Uitslag van de verkiezing van de leden </w:t>
      </w:r>
      <w:r w:rsidRPr="00BE6376">
        <w:rPr>
          <w:i/>
        </w:rPr>
        <w:t>van de Tweede Kamer van 12 september 2012</w:t>
      </w:r>
      <w:r w:rsidRPr="00BE6376">
        <w:t>), The Hague: Electoral Council.</w:t>
      </w:r>
    </w:p>
  </w:footnote>
  <w:footnote w:id="40">
    <w:p w14:paraId="31D0917C" w14:textId="77777777" w:rsidR="00BE3D1F" w:rsidRPr="00BE6376" w:rsidRDefault="00BE3D1F" w:rsidP="00BE6376">
      <w:pPr>
        <w:pStyle w:val="FootnoteText"/>
        <w:jc w:val="both"/>
      </w:pPr>
      <w:r w:rsidRPr="00BE6376">
        <w:rPr>
          <w:rStyle w:val="FootnoteReference"/>
        </w:rPr>
        <w:footnoteRef/>
      </w:r>
      <w:r w:rsidRPr="00BE6376">
        <w:t xml:space="preserve"> Jägers, A., Zonjee, M., Schalkwijk, M., Kanne, P. (2012), Evaluation of the elections of the members of the House of Representatives 2012 (</w:t>
      </w:r>
      <w:r w:rsidRPr="00BE6376">
        <w:rPr>
          <w:i/>
        </w:rPr>
        <w:t>Evaluatie verkiezingen leden van de Tweede Kamer 2012</w:t>
      </w:r>
      <w:r w:rsidRPr="00BE6376">
        <w:t>), Amsterdam: TNS Nipo.</w:t>
      </w:r>
    </w:p>
  </w:footnote>
  <w:footnote w:id="41">
    <w:p w14:paraId="296A233B" w14:textId="0D87AEA0" w:rsidR="00BE3D1F" w:rsidRPr="00BE6376" w:rsidRDefault="00BE3D1F" w:rsidP="00BE6376">
      <w:pPr>
        <w:pStyle w:val="FootnoteText"/>
        <w:jc w:val="both"/>
      </w:pPr>
      <w:r w:rsidRPr="00BE6376">
        <w:rPr>
          <w:rStyle w:val="FootnoteReference"/>
        </w:rPr>
        <w:footnoteRef/>
      </w:r>
      <w:r w:rsidRPr="00BE6376">
        <w:t xml:space="preserve"> </w:t>
      </w:r>
      <w:r>
        <w:t>Information obtained from</w:t>
      </w:r>
      <w:r w:rsidRPr="00BE6376">
        <w:t xml:space="preserve"> the Central Information Service of the House of Representatives (</w:t>
      </w:r>
      <w:r w:rsidRPr="00BE6376">
        <w:rPr>
          <w:i/>
        </w:rPr>
        <w:t>Centraal Informatiepunt</w:t>
      </w:r>
      <w:r w:rsidRPr="00BE6376">
        <w:t xml:space="preserve">), 3/4 July 2013; </w:t>
      </w:r>
      <w:r>
        <w:t>Information obtained from</w:t>
      </w:r>
      <w:r w:rsidRPr="00BE6376">
        <w:t xml:space="preserve"> the Parliamentary documentation centre (</w:t>
      </w:r>
      <w:r w:rsidRPr="00BE6376">
        <w:rPr>
          <w:i/>
        </w:rPr>
        <w:t>Parlementair documentatiecentrum</w:t>
      </w:r>
      <w:r w:rsidRPr="00BE6376">
        <w:t xml:space="preserve">), 17 July 2013; </w:t>
      </w:r>
      <w:r>
        <w:t xml:space="preserve">Information obtained from </w:t>
      </w:r>
      <w:r w:rsidRPr="00BE6376">
        <w:t>ProDemos Knowledge Centre for Democracy and the Rule of Law, 19 July 2013.</w:t>
      </w:r>
    </w:p>
  </w:footnote>
  <w:footnote w:id="42">
    <w:p w14:paraId="67D65876" w14:textId="1DE35C60" w:rsidR="00BE3D1F" w:rsidRPr="00BE6376" w:rsidRDefault="00BE3D1F" w:rsidP="00BE6376">
      <w:pPr>
        <w:pStyle w:val="FootnoteText"/>
        <w:jc w:val="both"/>
      </w:pPr>
      <w:r w:rsidRPr="00BE6376">
        <w:rPr>
          <w:rStyle w:val="FootnoteReference"/>
        </w:rPr>
        <w:footnoteRef/>
      </w:r>
      <w:r w:rsidRPr="00BE6376">
        <w:t xml:space="preserve"> </w:t>
      </w:r>
      <w:r>
        <w:t>Information obtained from the</w:t>
      </w:r>
      <w:r w:rsidRPr="00BE6376">
        <w:t xml:space="preserve"> Federation of Dutch Municipalities (</w:t>
      </w:r>
      <w:r w:rsidRPr="00BE6376">
        <w:rPr>
          <w:i/>
        </w:rPr>
        <w:t>Vereniging Nederlandse Gemeenten</w:t>
      </w:r>
      <w:r w:rsidRPr="00BE6376">
        <w:t>, VNG), 8 July 2013; ProDemos Knowledge Centre for Democracy and the Rule of Law, 19 July 2013</w:t>
      </w:r>
      <w:r>
        <w:t xml:space="preserve"> and the </w:t>
      </w:r>
      <w:r w:rsidRPr="00BE6376">
        <w:t>Council of the Chronically Ill and Disabled (</w:t>
      </w:r>
      <w:r w:rsidRPr="00BE6376">
        <w:rPr>
          <w:i/>
        </w:rPr>
        <w:t>CG-Raad</w:t>
      </w:r>
      <w:r w:rsidRPr="00BE6376">
        <w:t>), 11 July, 22 July, 31 July 2013</w:t>
      </w:r>
      <w:r>
        <w:t>.</w:t>
      </w:r>
    </w:p>
  </w:footnote>
  <w:footnote w:id="43">
    <w:p w14:paraId="6E58D2E7" w14:textId="365B9310" w:rsidR="00BE3D1F" w:rsidRPr="00BE6376" w:rsidRDefault="00BE3D1F" w:rsidP="00BE6376">
      <w:pPr>
        <w:pStyle w:val="FootnoteText"/>
        <w:jc w:val="both"/>
      </w:pPr>
      <w:r w:rsidRPr="00BE6376">
        <w:rPr>
          <w:rStyle w:val="FootnoteReference"/>
        </w:rPr>
        <w:footnoteRef/>
      </w:r>
      <w:r w:rsidRPr="00BE6376">
        <w:t xml:space="preserve"> </w:t>
      </w:r>
      <w:r>
        <w:t>Information obtained from</w:t>
      </w:r>
      <w:r w:rsidRPr="00BE6376">
        <w:t xml:space="preserve"> ProDemos Knowledge Centre for Democracy and the Rule of Law, 19 July 2013.</w:t>
      </w:r>
    </w:p>
  </w:footnote>
  <w:footnote w:id="44">
    <w:p w14:paraId="609FDA2F" w14:textId="72258B86" w:rsidR="00BE3D1F" w:rsidRPr="00BE6376" w:rsidRDefault="00BE3D1F" w:rsidP="00BE6376">
      <w:pPr>
        <w:pStyle w:val="FootnoteText"/>
        <w:jc w:val="both"/>
      </w:pPr>
      <w:r w:rsidRPr="00BE6376">
        <w:rPr>
          <w:rStyle w:val="FootnoteReference"/>
        </w:rPr>
        <w:footnoteRef/>
      </w:r>
      <w:r w:rsidRPr="00BE6376">
        <w:t xml:space="preserve"> </w:t>
      </w:r>
      <w:r>
        <w:t>Information obtained from</w:t>
      </w:r>
      <w:r w:rsidRPr="00BE6376">
        <w:t xml:space="preserve"> the Electoral Council (</w:t>
      </w:r>
      <w:r w:rsidRPr="00BE6376">
        <w:rPr>
          <w:i/>
        </w:rPr>
        <w:t>Kiesraad</w:t>
      </w:r>
      <w:r w:rsidRPr="00BE6376">
        <w:t>), 18 July 2013.</w:t>
      </w:r>
    </w:p>
  </w:footnote>
  <w:footnote w:id="45">
    <w:p w14:paraId="6F82170F" w14:textId="77777777" w:rsidR="00BE3D1F" w:rsidRPr="00BE6376" w:rsidRDefault="00BE3D1F" w:rsidP="00BE6376">
      <w:pPr>
        <w:pStyle w:val="FootnoteText"/>
        <w:jc w:val="both"/>
      </w:pPr>
      <w:r w:rsidRPr="00BE6376">
        <w:rPr>
          <w:rStyle w:val="FootnoteReference"/>
        </w:rPr>
        <w:footnoteRef/>
      </w:r>
      <w:r w:rsidRPr="00BE6376">
        <w:t xml:space="preserve"> Jägers, A., Zonjee, M., Schalkwijk, M., Kanne, P. (2012), Evaluation of the elections of the members of the House of Representatives 2012 (</w:t>
      </w:r>
      <w:r w:rsidRPr="00BE6376">
        <w:rPr>
          <w:i/>
        </w:rPr>
        <w:t>Evaluatie verkiezingen leden van de Tweede Kamer 2012</w:t>
      </w:r>
      <w:r w:rsidRPr="00BE6376">
        <w:t>), Amsterdam: TNS Nipo, available at: http://www.rijksoverheid.nl/bestanden/documenten-en-publicaties/rapporten/2012/11/30/rapportage-tns-nipo-over-verkiezingen-leden-tweede-kamer-2012/rapportage-tns-nipo-over-verkiezingen-leden-tweede-kamer-2012.pdf.</w:t>
      </w:r>
    </w:p>
  </w:footnote>
  <w:footnote w:id="46">
    <w:p w14:paraId="6CBBA06B" w14:textId="77777777" w:rsidR="00BE3D1F" w:rsidRPr="00BE6376" w:rsidRDefault="00BE3D1F" w:rsidP="00BE6376">
      <w:pPr>
        <w:pStyle w:val="FootnoteText"/>
        <w:jc w:val="both"/>
        <w:rPr>
          <w:rFonts w:cs="Times New Roman"/>
          <w:lang w:val="nl-NL"/>
        </w:rPr>
      </w:pPr>
      <w:r w:rsidRPr="00BE6376">
        <w:rPr>
          <w:rStyle w:val="FootnoteReference"/>
          <w:rFonts w:cs="Times New Roman"/>
        </w:rPr>
        <w:footnoteRef/>
      </w:r>
      <w:r w:rsidRPr="00BE6376">
        <w:rPr>
          <w:rFonts w:cs="Times New Roman"/>
          <w:lang w:val="nl-NL"/>
        </w:rPr>
        <w:t xml:space="preserve"> </w:t>
      </w:r>
      <w:r w:rsidRPr="00BE6376">
        <w:rPr>
          <w:lang w:val="nl-NL"/>
        </w:rPr>
        <w:t>Project Bureau Accessibility (</w:t>
      </w:r>
      <w:r w:rsidRPr="00BE6376">
        <w:rPr>
          <w:i/>
          <w:lang w:val="nl-NL"/>
        </w:rPr>
        <w:t>Projectbureau Toegankelijkheid</w:t>
      </w:r>
      <w:r w:rsidRPr="00BE6376">
        <w:rPr>
          <w:lang w:val="nl-NL"/>
        </w:rPr>
        <w:t>) (2012), Accessible Polling Stations (</w:t>
      </w:r>
      <w:r w:rsidRPr="00BE6376">
        <w:rPr>
          <w:i/>
          <w:lang w:val="nl-NL"/>
        </w:rPr>
        <w:t>Toegankelijke Stemlokalen</w:t>
      </w:r>
      <w:r w:rsidRPr="00BE6376">
        <w:rPr>
          <w:lang w:val="nl-NL"/>
        </w:rPr>
        <w:t>), Utrecht: Projectbureau Toegankelijkheid, available at: www.vng.nl/files/vng/vng/Documenten/actueel/beleidsvelden/bestuur/2012/20120622_checklist_toegankelijkh_stemlokalen.pdf.</w:t>
      </w:r>
    </w:p>
  </w:footnote>
  <w:footnote w:id="47">
    <w:p w14:paraId="75062061" w14:textId="77777777" w:rsidR="00BE3D1F" w:rsidRPr="00BE6376" w:rsidRDefault="00BE3D1F" w:rsidP="00BE6376">
      <w:pPr>
        <w:pStyle w:val="FootnoteText"/>
        <w:jc w:val="both"/>
      </w:pPr>
      <w:r w:rsidRPr="00BE6376">
        <w:rPr>
          <w:rStyle w:val="FootnoteReference"/>
        </w:rPr>
        <w:footnoteRef/>
      </w:r>
      <w:r w:rsidRPr="00BE6376">
        <w:t xml:space="preserve"> The Netherlands, National Government (</w:t>
      </w:r>
      <w:r w:rsidRPr="00BE6376">
        <w:rPr>
          <w:i/>
        </w:rPr>
        <w:t>Rijksoverheid</w:t>
      </w:r>
      <w:r w:rsidRPr="00BE6376">
        <w:t>) (2013), Elections (</w:t>
      </w:r>
      <w:r w:rsidRPr="00BE6376">
        <w:rPr>
          <w:i/>
        </w:rPr>
        <w:t>Verkiezingen</w:t>
      </w:r>
      <w:r w:rsidRPr="00BE6376">
        <w:t>), website, available at: www.rijksoverheid.nl/onderwerpen/verkiezingen.</w:t>
      </w:r>
    </w:p>
  </w:footnote>
  <w:footnote w:id="48">
    <w:p w14:paraId="07151EA8" w14:textId="77777777" w:rsidR="00BE3D1F" w:rsidRPr="00BE6376" w:rsidRDefault="00BE3D1F" w:rsidP="00BE6376">
      <w:pPr>
        <w:pStyle w:val="FootnoteText"/>
        <w:jc w:val="both"/>
      </w:pPr>
      <w:r w:rsidRPr="00BE6376">
        <w:rPr>
          <w:rStyle w:val="FootnoteReference"/>
        </w:rPr>
        <w:footnoteRef/>
      </w:r>
      <w:r w:rsidRPr="00BE6376">
        <w:t xml:space="preserve"> The Netherlands, National Government (</w:t>
      </w:r>
      <w:r w:rsidRPr="00BE6376">
        <w:rPr>
          <w:i/>
        </w:rPr>
        <w:t>Rijksoverheid</w:t>
      </w:r>
      <w:r w:rsidRPr="00BE6376">
        <w:t>) (2013), Accessibility (</w:t>
      </w:r>
      <w:r w:rsidRPr="00BE6376">
        <w:rPr>
          <w:i/>
        </w:rPr>
        <w:t>Toegankelijkheid</w:t>
      </w:r>
      <w:r w:rsidRPr="00BE6376">
        <w:t>), website, available at: http://www.rijksoverheid.nl/toegankelijkheid.</w:t>
      </w:r>
    </w:p>
  </w:footnote>
  <w:footnote w:id="49">
    <w:p w14:paraId="5045B86B" w14:textId="77777777" w:rsidR="00BE3D1F" w:rsidRPr="00BE6376" w:rsidRDefault="00BE3D1F" w:rsidP="00BE6376">
      <w:pPr>
        <w:pStyle w:val="FootnoteText"/>
        <w:jc w:val="both"/>
      </w:pPr>
      <w:r w:rsidRPr="00BE6376">
        <w:rPr>
          <w:rStyle w:val="FootnoteReference"/>
        </w:rPr>
        <w:footnoteRef/>
      </w:r>
      <w:r w:rsidRPr="00BE6376">
        <w:t xml:space="preserve"> The Netherlands, Electoral Council (</w:t>
      </w:r>
      <w:r w:rsidRPr="00BE6376">
        <w:rPr>
          <w:i/>
        </w:rPr>
        <w:t>Kiesraad</w:t>
      </w:r>
      <w:r w:rsidRPr="00BE6376">
        <w:t>) (2013), Elections (</w:t>
      </w:r>
      <w:r w:rsidRPr="00BE6376">
        <w:rPr>
          <w:i/>
        </w:rPr>
        <w:t>Verkiezingen</w:t>
      </w:r>
      <w:r w:rsidRPr="00BE6376">
        <w:t>), website, available at: www.kiesraad.nl/artikel/verkiezingen.</w:t>
      </w:r>
    </w:p>
  </w:footnote>
  <w:footnote w:id="50">
    <w:p w14:paraId="1DC0D337" w14:textId="25669528" w:rsidR="00BE3D1F" w:rsidRPr="00BE6376" w:rsidRDefault="00BE3D1F" w:rsidP="00BE6376">
      <w:pPr>
        <w:pStyle w:val="FootnoteText"/>
        <w:jc w:val="both"/>
      </w:pPr>
      <w:r w:rsidRPr="00BE6376">
        <w:rPr>
          <w:rStyle w:val="FootnoteReference"/>
        </w:rPr>
        <w:footnoteRef/>
      </w:r>
      <w:r w:rsidRPr="00BE6376">
        <w:t xml:space="preserve"> </w:t>
      </w:r>
      <w:r>
        <w:t>Information obtained from the</w:t>
      </w:r>
      <w:r w:rsidRPr="00BE6376">
        <w:t xml:space="preserve"> Electoral Council, 18 July 2013.</w:t>
      </w:r>
    </w:p>
  </w:footnote>
  <w:footnote w:id="51">
    <w:p w14:paraId="09739F81" w14:textId="00D78B77" w:rsidR="00BE3D1F" w:rsidRPr="00BE6376" w:rsidRDefault="00BE3D1F" w:rsidP="00BE6376">
      <w:pPr>
        <w:pStyle w:val="FootnoteText"/>
        <w:jc w:val="both"/>
      </w:pPr>
      <w:r w:rsidRPr="00BE6376">
        <w:rPr>
          <w:rStyle w:val="FootnoteReference"/>
        </w:rPr>
        <w:footnoteRef/>
      </w:r>
      <w:r w:rsidRPr="00BE6376">
        <w:t xml:space="preserve"> </w:t>
      </w:r>
      <w:r>
        <w:t>Information obtained from political</w:t>
      </w:r>
      <w:r w:rsidRPr="00BE6376">
        <w:t xml:space="preserve"> parties, 23/24/25 September 2013.</w:t>
      </w:r>
    </w:p>
  </w:footnote>
  <w:footnote w:id="52">
    <w:p w14:paraId="33BAC605" w14:textId="77777777" w:rsidR="00BE3D1F" w:rsidRPr="00BE6376" w:rsidRDefault="00BE3D1F" w:rsidP="00BE6376">
      <w:pPr>
        <w:pStyle w:val="FootnoteText"/>
        <w:jc w:val="both"/>
        <w:rPr>
          <w:lang w:val="en-US"/>
        </w:rPr>
      </w:pPr>
      <w:r w:rsidRPr="00BE6376">
        <w:rPr>
          <w:rStyle w:val="FootnoteReference"/>
        </w:rPr>
        <w:footnoteRef/>
      </w:r>
      <w:r w:rsidRPr="00BE6376">
        <w:t xml:space="preserve"> </w:t>
      </w:r>
      <w:r w:rsidRPr="00BE6376">
        <w:rPr>
          <w:lang w:val="en-US"/>
        </w:rPr>
        <w:t>The Netherlands, Media Decision 2008 (</w:t>
      </w:r>
      <w:r w:rsidRPr="00BE6376">
        <w:rPr>
          <w:i/>
          <w:lang w:val="en-US"/>
        </w:rPr>
        <w:t>Mediabesluit 2008</w:t>
      </w:r>
      <w:r w:rsidRPr="00BE6376">
        <w:rPr>
          <w:lang w:val="en-US"/>
        </w:rPr>
        <w:t>), article 15.</w:t>
      </w:r>
    </w:p>
  </w:footnote>
  <w:footnote w:id="53">
    <w:p w14:paraId="1F4B8376" w14:textId="77777777" w:rsidR="00BE3D1F" w:rsidRPr="00BE6376" w:rsidRDefault="00BE3D1F" w:rsidP="00BE6376">
      <w:pPr>
        <w:pStyle w:val="FootnoteText"/>
        <w:jc w:val="both"/>
      </w:pPr>
      <w:r w:rsidRPr="00BE6376">
        <w:rPr>
          <w:rStyle w:val="FootnoteReference"/>
        </w:rPr>
        <w:footnoteRef/>
      </w:r>
      <w:r w:rsidRPr="00BE6376">
        <w:t xml:space="preserve"> The Netherlands, Media Decision 2008 (</w:t>
      </w:r>
      <w:r w:rsidRPr="00BE6376">
        <w:rPr>
          <w:i/>
        </w:rPr>
        <w:t>Mediabesluit 2008</w:t>
      </w:r>
      <w:r w:rsidRPr="00BE6376">
        <w:t>), article 17.</w:t>
      </w:r>
    </w:p>
  </w:footnote>
  <w:footnote w:id="54">
    <w:p w14:paraId="05733D3E" w14:textId="77777777" w:rsidR="00BE3D1F" w:rsidRDefault="00BE3D1F" w:rsidP="00C11A88">
      <w:pPr>
        <w:pStyle w:val="FootnoteText"/>
      </w:pPr>
      <w:r>
        <w:rPr>
          <w:rStyle w:val="FootnoteReference"/>
        </w:rPr>
        <w:footnoteRef/>
      </w:r>
      <w:r>
        <w:t xml:space="preserve"> Information obtained from </w:t>
      </w:r>
      <w:r w:rsidRPr="00C11A88">
        <w:t xml:space="preserve">the </w:t>
      </w:r>
      <w:r w:rsidRPr="00311F91">
        <w:rPr>
          <w:rFonts w:eastAsia="Calibri" w:cs="Times New Roman"/>
          <w:lang w:val="en-US"/>
        </w:rPr>
        <w:t>Dutch Media Authority (</w:t>
      </w:r>
      <w:r w:rsidRPr="00311F91">
        <w:rPr>
          <w:rFonts w:eastAsia="Calibri" w:cs="Times New Roman"/>
          <w:i/>
          <w:lang w:val="en-US"/>
        </w:rPr>
        <w:t>Commissariaat voor de Media</w:t>
      </w:r>
      <w:r w:rsidRPr="00311F91">
        <w:rPr>
          <w:rFonts w:eastAsia="Calibri" w:cs="Times New Roman"/>
          <w:lang w:val="en-US"/>
        </w:rPr>
        <w:t>)</w:t>
      </w:r>
      <w:r w:rsidRPr="00BE6376">
        <w:t>.</w:t>
      </w:r>
    </w:p>
  </w:footnote>
  <w:footnote w:id="55">
    <w:p w14:paraId="6B689686" w14:textId="62E025E2" w:rsidR="00BE3D1F" w:rsidRPr="00BE6376" w:rsidRDefault="00BE3D1F" w:rsidP="00BE6376">
      <w:pPr>
        <w:pStyle w:val="FootnoteText"/>
        <w:jc w:val="both"/>
      </w:pPr>
      <w:r w:rsidRPr="00BE6376">
        <w:rPr>
          <w:rStyle w:val="FootnoteReference"/>
        </w:rPr>
        <w:footnoteRef/>
      </w:r>
      <w:r w:rsidRPr="00BE6376">
        <w:t xml:space="preserve"> </w:t>
      </w:r>
      <w:r>
        <w:t>Information obtained from</w:t>
      </w:r>
      <w:r w:rsidRPr="00BE6376">
        <w:t xml:space="preserve"> Doof.nl, 3 July 2013</w:t>
      </w:r>
      <w:r>
        <w:t xml:space="preserve"> and</w:t>
      </w:r>
      <w:r w:rsidRPr="00BE6376">
        <w:t xml:space="preserve"> </w:t>
      </w:r>
      <w:r>
        <w:t xml:space="preserve">from the </w:t>
      </w:r>
      <w:r w:rsidRPr="00BE6376">
        <w:t>Cooperation Subtitling of all Programmes (</w:t>
      </w:r>
      <w:r w:rsidRPr="00BE6376">
        <w:rPr>
          <w:i/>
        </w:rPr>
        <w:t>Samenwerkingsverband Ondertitel Alle Programma's</w:t>
      </w:r>
      <w:r w:rsidRPr="00BE6376">
        <w:t>, SOAP), 17 July, 31 July, 5 August 2013.</w:t>
      </w:r>
    </w:p>
  </w:footnote>
  <w:footnote w:id="56">
    <w:p w14:paraId="541C453A" w14:textId="4D0B38ED" w:rsidR="00BE3D1F" w:rsidRPr="00BE6376" w:rsidRDefault="00BE3D1F" w:rsidP="00867C08">
      <w:pPr>
        <w:pStyle w:val="FootnoteText"/>
        <w:jc w:val="both"/>
      </w:pPr>
      <w:r w:rsidRPr="00BE6376">
        <w:rPr>
          <w:rStyle w:val="FootnoteReference"/>
        </w:rPr>
        <w:footnoteRef/>
      </w:r>
      <w:r w:rsidRPr="00BE6376">
        <w:t xml:space="preserve"> </w:t>
      </w:r>
      <w:r>
        <w:t>Information obtained from</w:t>
      </w:r>
      <w:r w:rsidRPr="00BE6376">
        <w:t xml:space="preserve"> Doof.nl, 3 July 2013</w:t>
      </w:r>
      <w:r>
        <w:t xml:space="preserve"> and</w:t>
      </w:r>
      <w:r w:rsidRPr="00BE6376">
        <w:t xml:space="preserve"> </w:t>
      </w:r>
      <w:r>
        <w:t xml:space="preserve">from the </w:t>
      </w:r>
      <w:r w:rsidRPr="00BE6376">
        <w:t>Cooperation Subtitling of all Programmes (</w:t>
      </w:r>
      <w:r w:rsidRPr="00BE6376">
        <w:rPr>
          <w:i/>
        </w:rPr>
        <w:t>Samenwerkingsverband Ondertitel Alle Programma's</w:t>
      </w:r>
      <w:r w:rsidRPr="00BE6376">
        <w:t>, SOAP), 17 July, 31 July, 5 August 2013</w:t>
      </w:r>
      <w:r>
        <w:t>.</w:t>
      </w:r>
    </w:p>
  </w:footnote>
  <w:footnote w:id="57">
    <w:p w14:paraId="26638A31" w14:textId="4C1A48B6" w:rsidR="00BE3D1F" w:rsidRPr="00BE6376" w:rsidRDefault="00BE3D1F" w:rsidP="00BE6376">
      <w:pPr>
        <w:pStyle w:val="FootnoteText"/>
        <w:jc w:val="both"/>
      </w:pPr>
      <w:r w:rsidRPr="00BE6376">
        <w:rPr>
          <w:rStyle w:val="FootnoteReference"/>
        </w:rPr>
        <w:footnoteRef/>
      </w:r>
      <w:r w:rsidRPr="00BE6376">
        <w:t xml:space="preserve"> </w:t>
      </w:r>
      <w:r>
        <w:t>Information obtained from the</w:t>
      </w:r>
      <w:r w:rsidRPr="00BE6376">
        <w:t xml:space="preserve"> Electoral Council, 18 July 2013.</w:t>
      </w:r>
    </w:p>
  </w:footnote>
  <w:footnote w:id="58">
    <w:p w14:paraId="53B948D9" w14:textId="4C0700BD" w:rsidR="00BE3D1F" w:rsidRPr="00BE6376" w:rsidRDefault="00BE3D1F" w:rsidP="00BE6376">
      <w:pPr>
        <w:pStyle w:val="FootnoteText"/>
        <w:jc w:val="both"/>
      </w:pPr>
      <w:r w:rsidRPr="00BE6376">
        <w:rPr>
          <w:rStyle w:val="FootnoteReference"/>
        </w:rPr>
        <w:footnoteRef/>
      </w:r>
      <w:r w:rsidRPr="00BE6376">
        <w:t xml:space="preserve"> </w:t>
      </w:r>
      <w:r>
        <w:t>Information obtained from political</w:t>
      </w:r>
      <w:r w:rsidRPr="00BE6376">
        <w:t xml:space="preserve"> parties, 23/24/25 September 2013.</w:t>
      </w:r>
    </w:p>
  </w:footnote>
  <w:footnote w:id="59">
    <w:p w14:paraId="0762E09C" w14:textId="0738196D" w:rsidR="00BE3D1F" w:rsidRPr="00BE6376" w:rsidRDefault="00BE3D1F" w:rsidP="00BE6376">
      <w:pPr>
        <w:pStyle w:val="FootnoteText"/>
        <w:jc w:val="both"/>
      </w:pPr>
      <w:r w:rsidRPr="00BE6376">
        <w:rPr>
          <w:rStyle w:val="FootnoteReference"/>
        </w:rPr>
        <w:footnoteRef/>
      </w:r>
      <w:r w:rsidRPr="00BE6376">
        <w:t xml:space="preserve"> </w:t>
      </w:r>
      <w:r w:rsidRPr="00867C08">
        <w:t xml:space="preserve"> </w:t>
      </w:r>
      <w:r>
        <w:t>Information obtained from</w:t>
      </w:r>
      <w:r w:rsidRPr="00BE6376">
        <w:t xml:space="preserve"> Doof.nl, 3 July 2013</w:t>
      </w:r>
      <w:r>
        <w:t xml:space="preserve"> and</w:t>
      </w:r>
      <w:r w:rsidRPr="00BE6376">
        <w:t xml:space="preserve"> </w:t>
      </w:r>
      <w:r>
        <w:t xml:space="preserve">from the </w:t>
      </w:r>
      <w:r w:rsidRPr="00BE6376">
        <w:t>Cooperation Subtitling of all Programmes (</w:t>
      </w:r>
      <w:r w:rsidRPr="00BE6376">
        <w:rPr>
          <w:i/>
        </w:rPr>
        <w:t>Samenwerkingsverband Ondertitel Alle Programma's</w:t>
      </w:r>
      <w:r w:rsidRPr="00BE6376">
        <w:t>, SOAP), 17 July, 31 July, 5 August 2013</w:t>
      </w:r>
      <w:r>
        <w:t>.</w:t>
      </w:r>
    </w:p>
  </w:footnote>
  <w:footnote w:id="60">
    <w:p w14:paraId="774F6E73" w14:textId="0E340F64" w:rsidR="00BE3D1F" w:rsidRPr="00BE6376" w:rsidRDefault="00BE3D1F" w:rsidP="00BE6376">
      <w:pPr>
        <w:pStyle w:val="FootnoteText"/>
        <w:jc w:val="both"/>
      </w:pPr>
      <w:r w:rsidRPr="00BE6376">
        <w:rPr>
          <w:rStyle w:val="FootnoteReference"/>
        </w:rPr>
        <w:footnoteRef/>
      </w:r>
      <w:r w:rsidRPr="00BE6376">
        <w:t xml:space="preserve"> </w:t>
      </w:r>
      <w:r>
        <w:t>Information obtained from the</w:t>
      </w:r>
      <w:r w:rsidRPr="00BE6376">
        <w:t xml:space="preserve"> Dutch Media Authority (</w:t>
      </w:r>
      <w:r w:rsidRPr="00BE6376">
        <w:rPr>
          <w:i/>
        </w:rPr>
        <w:t>Commissariaat voor de Media</w:t>
      </w:r>
      <w:r w:rsidRPr="00BE6376">
        <w:t>), 4/5 September 2013.</w:t>
      </w:r>
    </w:p>
  </w:footnote>
  <w:footnote w:id="61">
    <w:p w14:paraId="7CE5A78B" w14:textId="1FF6ABE0" w:rsidR="00BE3D1F" w:rsidRPr="00BE6376" w:rsidRDefault="00BE3D1F" w:rsidP="00867C08">
      <w:pPr>
        <w:pStyle w:val="FootnoteText"/>
        <w:jc w:val="both"/>
      </w:pPr>
      <w:r w:rsidRPr="00BE6376">
        <w:rPr>
          <w:rStyle w:val="FootnoteReference"/>
        </w:rPr>
        <w:footnoteRef/>
      </w:r>
      <w:r w:rsidRPr="00BE6376">
        <w:t xml:space="preserve"> </w:t>
      </w:r>
      <w:r>
        <w:t>Information obtained from the</w:t>
      </w:r>
      <w:r w:rsidRPr="00BE6376">
        <w:t xml:space="preserve"> Electoral Council, 18 July 2013.</w:t>
      </w:r>
    </w:p>
  </w:footnote>
  <w:footnote w:id="62">
    <w:p w14:paraId="3D4D314E" w14:textId="7E3F29EB" w:rsidR="00BE3D1F" w:rsidRPr="00BE6376" w:rsidRDefault="00BE3D1F" w:rsidP="00BE6376">
      <w:pPr>
        <w:pStyle w:val="FootnoteText"/>
        <w:jc w:val="both"/>
      </w:pPr>
      <w:r w:rsidRPr="00BE6376">
        <w:rPr>
          <w:rStyle w:val="FootnoteReference"/>
        </w:rPr>
        <w:footnoteRef/>
      </w:r>
      <w:r w:rsidRPr="00BE6376">
        <w:t xml:space="preserve"> </w:t>
      </w:r>
      <w:r>
        <w:t>Information obtained from</w:t>
      </w:r>
      <w:r w:rsidRPr="00BE6376">
        <w:t xml:space="preserve"> the Documentation centre on Dutch Political Parties (</w:t>
      </w:r>
      <w:r w:rsidRPr="00BE6376">
        <w:rPr>
          <w:i/>
        </w:rPr>
        <w:t>Documentatiecentrum Nederlandse Politieke Partijen</w:t>
      </w:r>
      <w:r w:rsidRPr="00BE6376">
        <w:t>, DNPP), 17 July 2013.</w:t>
      </w:r>
    </w:p>
  </w:footnote>
  <w:footnote w:id="63">
    <w:p w14:paraId="462820AC" w14:textId="77777777" w:rsidR="00BE3D1F" w:rsidRPr="00BE6376" w:rsidRDefault="00BE3D1F" w:rsidP="00BE6376">
      <w:pPr>
        <w:pStyle w:val="FootnoteText"/>
        <w:jc w:val="both"/>
      </w:pPr>
      <w:r w:rsidRPr="00BE6376">
        <w:rPr>
          <w:rStyle w:val="FootnoteReference"/>
        </w:rPr>
        <w:footnoteRef/>
      </w:r>
      <w:r w:rsidRPr="00BE6376">
        <w:t xml:space="preserve"> Information provided by e-mail by the following parties: GroenLinks (12 August 2013), SP (13 August 2013), PvdA (2 September 2013). </w:t>
      </w:r>
    </w:p>
  </w:footnote>
  <w:footnote w:id="64">
    <w:p w14:paraId="0C7A4F76" w14:textId="77777777" w:rsidR="00BE3D1F" w:rsidRPr="00BE6376" w:rsidRDefault="00BE3D1F" w:rsidP="00BE6376">
      <w:pPr>
        <w:pStyle w:val="FootnoteText"/>
        <w:jc w:val="both"/>
      </w:pPr>
      <w:r w:rsidRPr="00BE6376">
        <w:rPr>
          <w:rStyle w:val="FootnoteReference"/>
        </w:rPr>
        <w:footnoteRef/>
      </w:r>
      <w:r w:rsidRPr="00BE6376">
        <w:t xml:space="preserve"> De Jong, J.M., Den Exter, A.P., Hulst, E.H. (2013), Economic consequences of the ratification of the UN treaty on disability (</w:t>
      </w:r>
      <w:r w:rsidRPr="00BE6376">
        <w:rPr>
          <w:i/>
        </w:rPr>
        <w:t>Economische gevolgen van ratificatie van het VN verdrag handicap</w:t>
      </w:r>
      <w:r w:rsidRPr="00BE6376">
        <w:t>), Rotterdam: SEOR.</w:t>
      </w:r>
    </w:p>
  </w:footnote>
  <w:footnote w:id="65">
    <w:p w14:paraId="7EECF0EF" w14:textId="77777777" w:rsidR="00BE3D1F" w:rsidRPr="00BE6376" w:rsidRDefault="00BE3D1F" w:rsidP="001738F2">
      <w:pPr>
        <w:pStyle w:val="FootnoteText"/>
        <w:jc w:val="both"/>
      </w:pPr>
      <w:r w:rsidRPr="00BE6376">
        <w:rPr>
          <w:rStyle w:val="FootnoteReference"/>
        </w:rPr>
        <w:footnoteRef/>
      </w:r>
      <w:r w:rsidRPr="00BE6376">
        <w:t xml:space="preserve"> </w:t>
      </w:r>
      <w:r>
        <w:t xml:space="preserve">Consultation of the </w:t>
      </w:r>
      <w:r w:rsidRPr="00BE6376">
        <w:t>Federation of Dutch Municipalities (</w:t>
      </w:r>
      <w:r w:rsidRPr="00BE6376">
        <w:rPr>
          <w:i/>
        </w:rPr>
        <w:t>Vereniging Nederlandse Gemeenten</w:t>
      </w:r>
      <w:r w:rsidRPr="00BE6376">
        <w:t>, VNG), 8 July 2013.</w:t>
      </w:r>
    </w:p>
  </w:footnote>
  <w:footnote w:id="66">
    <w:p w14:paraId="2C96FF59" w14:textId="1D64D1DE" w:rsidR="00BE3D1F" w:rsidRPr="00BE6376" w:rsidRDefault="00BE3D1F" w:rsidP="001738F2">
      <w:pPr>
        <w:pStyle w:val="FootnoteText"/>
        <w:jc w:val="both"/>
      </w:pPr>
      <w:r w:rsidRPr="00BE6376">
        <w:rPr>
          <w:rStyle w:val="FootnoteReference"/>
        </w:rPr>
        <w:footnoteRef/>
      </w:r>
      <w:r w:rsidRPr="00BE6376">
        <w:t xml:space="preserve"> </w:t>
      </w:r>
      <w:r>
        <w:t>Information obtained from the</w:t>
      </w:r>
      <w:r w:rsidRPr="00BE6376">
        <w:t xml:space="preserve"> Council for the Chronically ill and Disabled (CG-Raad), 11 July, 22 July, 31 July, 2 September, 11 September 2013</w:t>
      </w:r>
      <w:r>
        <w:t xml:space="preserve"> and </w:t>
      </w:r>
      <w:r w:rsidRPr="00BE6376">
        <w:t>project office All Accessible (</w:t>
      </w:r>
      <w:r w:rsidRPr="00BE6376">
        <w:rPr>
          <w:i/>
        </w:rPr>
        <w:t>Alles Toegankelijk</w:t>
      </w:r>
      <w:r w:rsidRPr="00BE6376">
        <w:t>), 8 July, 30 July 2013.</w:t>
      </w:r>
    </w:p>
  </w:footnote>
  <w:footnote w:id="67">
    <w:p w14:paraId="1DE140F3" w14:textId="58381E38" w:rsidR="00BE3D1F" w:rsidRPr="008D6B55" w:rsidRDefault="00BE3D1F" w:rsidP="00BE6376">
      <w:pPr>
        <w:pStyle w:val="FootnoteText"/>
        <w:jc w:val="both"/>
      </w:pPr>
      <w:r w:rsidRPr="00BE6376">
        <w:rPr>
          <w:rStyle w:val="FootnoteReference"/>
        </w:rPr>
        <w:footnoteRef/>
      </w:r>
      <w:r w:rsidRPr="00BE6376">
        <w:t xml:space="preserve"> </w:t>
      </w:r>
      <w:r>
        <w:t>Information obtained from the</w:t>
      </w:r>
      <w:r w:rsidRPr="00BE6376">
        <w:t xml:space="preserve"> Council for the Chronically ill and Disabled (CG-Raad), 11 July, 22 July, 31 July 2013, 2 September, 11 September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E26F2" w14:textId="184F1497" w:rsidR="00932170" w:rsidRPr="009C18CC" w:rsidRDefault="00932170" w:rsidP="00C63021">
    <w:pPr>
      <w:pStyle w:val="Header"/>
      <w:jc w:val="right"/>
      <w:rPr>
        <w:rFonts w:ascii="Arial Narrow" w:hAnsi="Arial Narrow"/>
      </w:rPr>
    </w:pPr>
    <w:r>
      <w:rPr>
        <w:rFonts w:ascii="Arial Narrow" w:hAnsi="Arial Narrow"/>
        <w:sz w:val="20"/>
        <w:szCs w:val="20"/>
      </w:rPr>
      <w:t>Background country information</w:t>
    </w:r>
    <w:r w:rsidRPr="009C18CC">
      <w:rPr>
        <w:rFonts w:ascii="Arial Narrow" w:hAnsi="Arial Narrow"/>
        <w:sz w:val="20"/>
        <w:szCs w:val="20"/>
      </w:rPr>
      <w:t xml:space="preserve">: </w:t>
    </w:r>
    <w:r>
      <w:rPr>
        <w:rFonts w:ascii="Arial Narrow" w:hAnsi="Arial Narrow"/>
        <w:sz w:val="20"/>
        <w:szCs w:val="20"/>
      </w:rPr>
      <w:t>Political participation of persons with disabilities</w:t>
    </w:r>
  </w:p>
  <w:p w14:paraId="53321F1A" w14:textId="77777777" w:rsidR="00932170" w:rsidRDefault="009321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71D"/>
    <w:multiLevelType w:val="hybridMultilevel"/>
    <w:tmpl w:val="0CA8DB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F7A6B2B"/>
    <w:multiLevelType w:val="hybridMultilevel"/>
    <w:tmpl w:val="1C680590"/>
    <w:lvl w:ilvl="0" w:tplc="C2888F52">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E3E679C"/>
    <w:multiLevelType w:val="hybridMultilevel"/>
    <w:tmpl w:val="4C4EE5C8"/>
    <w:lvl w:ilvl="0" w:tplc="A6860360">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27186E0E"/>
    <w:multiLevelType w:val="hybridMultilevel"/>
    <w:tmpl w:val="2E527D10"/>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82C64E9"/>
    <w:multiLevelType w:val="hybridMultilevel"/>
    <w:tmpl w:val="33A831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8807691"/>
    <w:multiLevelType w:val="hybridMultilevel"/>
    <w:tmpl w:val="27CE7D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267466B"/>
    <w:multiLevelType w:val="hybridMultilevel"/>
    <w:tmpl w:val="D7D6EC3C"/>
    <w:lvl w:ilvl="0" w:tplc="777C5950">
      <w:start w:val="1"/>
      <w:numFmt w:val="upperRoman"/>
      <w:lvlText w:val="%1."/>
      <w:lvlJc w:val="right"/>
      <w:pPr>
        <w:ind w:left="720" w:hanging="360"/>
      </w:pPr>
      <w:rPr>
        <w:rFonts w:ascii="Times New Roman" w:hAnsi="Times New Roman" w:cs="Times New Roman" w:hint="default"/>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D871BE3"/>
    <w:multiLevelType w:val="hybridMultilevel"/>
    <w:tmpl w:val="94F05BEE"/>
    <w:lvl w:ilvl="0" w:tplc="77C8A004">
      <w:numFmt w:val="bullet"/>
      <w:lvlText w:val="-"/>
      <w:lvlJc w:val="left"/>
      <w:pPr>
        <w:ind w:left="1570" w:hanging="360"/>
      </w:pPr>
      <w:rPr>
        <w:rFonts w:ascii="Arial Narrow" w:eastAsia="Calibri" w:hAnsi="Arial Narrow" w:cs="Times New Roman" w:hint="default"/>
      </w:rPr>
    </w:lvl>
    <w:lvl w:ilvl="1" w:tplc="08130003">
      <w:start w:val="1"/>
      <w:numFmt w:val="bullet"/>
      <w:lvlText w:val="o"/>
      <w:lvlJc w:val="left"/>
      <w:pPr>
        <w:ind w:left="2290" w:hanging="360"/>
      </w:pPr>
      <w:rPr>
        <w:rFonts w:ascii="Courier New" w:hAnsi="Courier New" w:cs="Courier New" w:hint="default"/>
      </w:rPr>
    </w:lvl>
    <w:lvl w:ilvl="2" w:tplc="08130005">
      <w:start w:val="1"/>
      <w:numFmt w:val="bullet"/>
      <w:lvlText w:val=""/>
      <w:lvlJc w:val="left"/>
      <w:pPr>
        <w:ind w:left="3010" w:hanging="360"/>
      </w:pPr>
      <w:rPr>
        <w:rFonts w:ascii="Wingdings" w:hAnsi="Wingdings" w:hint="default"/>
      </w:rPr>
    </w:lvl>
    <w:lvl w:ilvl="3" w:tplc="08130001">
      <w:start w:val="1"/>
      <w:numFmt w:val="bullet"/>
      <w:lvlText w:val=""/>
      <w:lvlJc w:val="left"/>
      <w:pPr>
        <w:ind w:left="3730" w:hanging="360"/>
      </w:pPr>
      <w:rPr>
        <w:rFonts w:ascii="Symbol" w:hAnsi="Symbol" w:hint="default"/>
      </w:rPr>
    </w:lvl>
    <w:lvl w:ilvl="4" w:tplc="08130003">
      <w:start w:val="1"/>
      <w:numFmt w:val="bullet"/>
      <w:lvlText w:val="o"/>
      <w:lvlJc w:val="left"/>
      <w:pPr>
        <w:ind w:left="4450" w:hanging="360"/>
      </w:pPr>
      <w:rPr>
        <w:rFonts w:ascii="Courier New" w:hAnsi="Courier New" w:cs="Courier New" w:hint="default"/>
      </w:rPr>
    </w:lvl>
    <w:lvl w:ilvl="5" w:tplc="08130005">
      <w:start w:val="1"/>
      <w:numFmt w:val="bullet"/>
      <w:lvlText w:val=""/>
      <w:lvlJc w:val="left"/>
      <w:pPr>
        <w:ind w:left="5170" w:hanging="360"/>
      </w:pPr>
      <w:rPr>
        <w:rFonts w:ascii="Wingdings" w:hAnsi="Wingdings" w:hint="default"/>
      </w:rPr>
    </w:lvl>
    <w:lvl w:ilvl="6" w:tplc="08130001">
      <w:start w:val="1"/>
      <w:numFmt w:val="bullet"/>
      <w:lvlText w:val=""/>
      <w:lvlJc w:val="left"/>
      <w:pPr>
        <w:ind w:left="5890" w:hanging="360"/>
      </w:pPr>
      <w:rPr>
        <w:rFonts w:ascii="Symbol" w:hAnsi="Symbol" w:hint="default"/>
      </w:rPr>
    </w:lvl>
    <w:lvl w:ilvl="7" w:tplc="08130003">
      <w:start w:val="1"/>
      <w:numFmt w:val="bullet"/>
      <w:lvlText w:val="o"/>
      <w:lvlJc w:val="left"/>
      <w:pPr>
        <w:ind w:left="6610" w:hanging="360"/>
      </w:pPr>
      <w:rPr>
        <w:rFonts w:ascii="Courier New" w:hAnsi="Courier New" w:cs="Courier New" w:hint="default"/>
      </w:rPr>
    </w:lvl>
    <w:lvl w:ilvl="8" w:tplc="08130005">
      <w:start w:val="1"/>
      <w:numFmt w:val="bullet"/>
      <w:lvlText w:val=""/>
      <w:lvlJc w:val="left"/>
      <w:pPr>
        <w:ind w:left="7330" w:hanging="360"/>
      </w:pPr>
      <w:rPr>
        <w:rFonts w:ascii="Wingdings" w:hAnsi="Wingdings" w:hint="default"/>
      </w:rPr>
    </w:lvl>
  </w:abstractNum>
  <w:abstractNum w:abstractNumId="8">
    <w:nsid w:val="4CD60218"/>
    <w:multiLevelType w:val="hybridMultilevel"/>
    <w:tmpl w:val="A9580A54"/>
    <w:lvl w:ilvl="0" w:tplc="75744EF0">
      <w:start w:val="1"/>
      <w:numFmt w:val="decimal"/>
      <w:lvlText w:val="%1."/>
      <w:lvlJc w:val="left"/>
      <w:pPr>
        <w:ind w:left="720" w:hanging="360"/>
      </w:pPr>
      <w:rPr>
        <w:rFonts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BD24A14"/>
    <w:multiLevelType w:val="hybridMultilevel"/>
    <w:tmpl w:val="9A32D7A2"/>
    <w:lvl w:ilvl="0" w:tplc="FFFFFFFF">
      <w:start w:val="1"/>
      <w:numFmt w:val="decimal"/>
      <w:pStyle w:val="FRABodyText"/>
      <w:lvlText w:val="[%1]."/>
      <w:lvlJc w:val="left"/>
      <w:pPr>
        <w:tabs>
          <w:tab w:val="num" w:pos="961"/>
        </w:tabs>
        <w:ind w:left="961" w:hanging="851"/>
      </w:pPr>
      <w:rPr>
        <w:rFonts w:hint="default"/>
        <w:b w:val="0"/>
      </w:rPr>
    </w:lvl>
    <w:lvl w:ilvl="1" w:tplc="FFFFFFFF">
      <w:start w:val="1"/>
      <w:numFmt w:val="bullet"/>
      <w:lvlText w:val=""/>
      <w:lvlJc w:val="left"/>
      <w:pPr>
        <w:tabs>
          <w:tab w:val="num" w:pos="1647"/>
        </w:tabs>
        <w:ind w:left="1647" w:hanging="567"/>
      </w:pPr>
      <w:rPr>
        <w:rFonts w:ascii="Symbol" w:hAnsi="Symbol" w:hint="default"/>
        <w:sz w:val="24"/>
        <w:szCs w:val="24"/>
      </w:rPr>
    </w:lvl>
    <w:lvl w:ilvl="2" w:tplc="FFFFFFFF">
      <w:start w:val="1"/>
      <w:numFmt w:val="decimal"/>
      <w:lvlText w:val="%3."/>
      <w:lvlJc w:val="left"/>
      <w:pPr>
        <w:tabs>
          <w:tab w:val="num" w:pos="2340"/>
        </w:tabs>
        <w:ind w:left="2340" w:hanging="360"/>
      </w:pPr>
      <w:rPr>
        <w:rFonts w:hint="default"/>
      </w:rPr>
    </w:lvl>
    <w:lvl w:ilvl="3" w:tplc="FFFFFFFF">
      <w:numFmt w:val="bullet"/>
      <w:lvlText w:val="-"/>
      <w:lvlJc w:val="left"/>
      <w:pPr>
        <w:tabs>
          <w:tab w:val="num" w:pos="2880"/>
        </w:tabs>
        <w:ind w:left="2880" w:hanging="360"/>
      </w:pPr>
      <w:rPr>
        <w:rFonts w:ascii="Arial" w:eastAsia="Calibri" w:hAnsi="Arial" w:cs="Aria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2283B5D"/>
    <w:multiLevelType w:val="hybridMultilevel"/>
    <w:tmpl w:val="291693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754F1712"/>
    <w:multiLevelType w:val="hybridMultilevel"/>
    <w:tmpl w:val="9C2A81BE"/>
    <w:lvl w:ilvl="0" w:tplc="AF10A3C8">
      <w:start w:val="1"/>
      <w:numFmt w:val="upperRoman"/>
      <w:lvlText w:val="%1."/>
      <w:lvlJc w:val="left"/>
      <w:pPr>
        <w:ind w:left="1080" w:hanging="72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0"/>
  </w:num>
  <w:num w:numId="2">
    <w:abstractNumId w:val="6"/>
  </w:num>
  <w:num w:numId="3">
    <w:abstractNumId w:val="5"/>
  </w:num>
  <w:num w:numId="4">
    <w:abstractNumId w:val="8"/>
  </w:num>
  <w:num w:numId="5">
    <w:abstractNumId w:val="2"/>
  </w:num>
  <w:num w:numId="6">
    <w:abstractNumId w:val="11"/>
  </w:num>
  <w:num w:numId="7">
    <w:abstractNumId w:val="9"/>
  </w:num>
  <w:num w:numId="8">
    <w:abstractNumId w:val="0"/>
  </w:num>
  <w:num w:numId="9">
    <w:abstractNumId w:val="7"/>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63"/>
    <w:rsid w:val="000006A1"/>
    <w:rsid w:val="0000356C"/>
    <w:rsid w:val="00005611"/>
    <w:rsid w:val="00011DA4"/>
    <w:rsid w:val="00013D13"/>
    <w:rsid w:val="00031517"/>
    <w:rsid w:val="000362FE"/>
    <w:rsid w:val="00047369"/>
    <w:rsid w:val="00064710"/>
    <w:rsid w:val="00070613"/>
    <w:rsid w:val="000707E5"/>
    <w:rsid w:val="00072EF0"/>
    <w:rsid w:val="00074027"/>
    <w:rsid w:val="000A014F"/>
    <w:rsid w:val="000A5958"/>
    <w:rsid w:val="000B0398"/>
    <w:rsid w:val="000B1E8F"/>
    <w:rsid w:val="000B53BC"/>
    <w:rsid w:val="000C76B8"/>
    <w:rsid w:val="000D079F"/>
    <w:rsid w:val="000E623A"/>
    <w:rsid w:val="000F15CA"/>
    <w:rsid w:val="000F3E71"/>
    <w:rsid w:val="001061E8"/>
    <w:rsid w:val="0011146A"/>
    <w:rsid w:val="0011784B"/>
    <w:rsid w:val="0012163F"/>
    <w:rsid w:val="001351DC"/>
    <w:rsid w:val="001406AC"/>
    <w:rsid w:val="00141D95"/>
    <w:rsid w:val="001452CB"/>
    <w:rsid w:val="00150B70"/>
    <w:rsid w:val="001541FB"/>
    <w:rsid w:val="0015706F"/>
    <w:rsid w:val="00160C6B"/>
    <w:rsid w:val="001738F2"/>
    <w:rsid w:val="00174940"/>
    <w:rsid w:val="001858D6"/>
    <w:rsid w:val="00190234"/>
    <w:rsid w:val="00192DE3"/>
    <w:rsid w:val="001961D1"/>
    <w:rsid w:val="001A2638"/>
    <w:rsid w:val="001A631E"/>
    <w:rsid w:val="001B627F"/>
    <w:rsid w:val="001B7FC5"/>
    <w:rsid w:val="001E075F"/>
    <w:rsid w:val="001E263C"/>
    <w:rsid w:val="001F122D"/>
    <w:rsid w:val="001F2369"/>
    <w:rsid w:val="00201BC2"/>
    <w:rsid w:val="00201D6E"/>
    <w:rsid w:val="002124DE"/>
    <w:rsid w:val="00225B23"/>
    <w:rsid w:val="00226D0E"/>
    <w:rsid w:val="00226EF3"/>
    <w:rsid w:val="00227B94"/>
    <w:rsid w:val="002308AF"/>
    <w:rsid w:val="00246C8F"/>
    <w:rsid w:val="00250971"/>
    <w:rsid w:val="00253949"/>
    <w:rsid w:val="00255A55"/>
    <w:rsid w:val="00263AEA"/>
    <w:rsid w:val="00272D92"/>
    <w:rsid w:val="00281611"/>
    <w:rsid w:val="002847AA"/>
    <w:rsid w:val="00285E16"/>
    <w:rsid w:val="002922EA"/>
    <w:rsid w:val="00295B6D"/>
    <w:rsid w:val="0029691E"/>
    <w:rsid w:val="00297135"/>
    <w:rsid w:val="002A0B1B"/>
    <w:rsid w:val="002A773E"/>
    <w:rsid w:val="002C0A9A"/>
    <w:rsid w:val="002C21D4"/>
    <w:rsid w:val="002C3258"/>
    <w:rsid w:val="002D11D2"/>
    <w:rsid w:val="002D297E"/>
    <w:rsid w:val="002D29A8"/>
    <w:rsid w:val="002E2F55"/>
    <w:rsid w:val="002E5433"/>
    <w:rsid w:val="002F7ED7"/>
    <w:rsid w:val="00305899"/>
    <w:rsid w:val="003138A7"/>
    <w:rsid w:val="00315CA4"/>
    <w:rsid w:val="00316E06"/>
    <w:rsid w:val="00320832"/>
    <w:rsid w:val="003222C1"/>
    <w:rsid w:val="00327721"/>
    <w:rsid w:val="003300E2"/>
    <w:rsid w:val="00336253"/>
    <w:rsid w:val="00337ABE"/>
    <w:rsid w:val="00341BFC"/>
    <w:rsid w:val="00346931"/>
    <w:rsid w:val="003533C8"/>
    <w:rsid w:val="00353A55"/>
    <w:rsid w:val="003560C2"/>
    <w:rsid w:val="00360A4D"/>
    <w:rsid w:val="00360F50"/>
    <w:rsid w:val="003657B8"/>
    <w:rsid w:val="003737BF"/>
    <w:rsid w:val="003742EC"/>
    <w:rsid w:val="0038074A"/>
    <w:rsid w:val="003957CD"/>
    <w:rsid w:val="00397B00"/>
    <w:rsid w:val="003A1586"/>
    <w:rsid w:val="003B558D"/>
    <w:rsid w:val="003C0B5A"/>
    <w:rsid w:val="003C5F74"/>
    <w:rsid w:val="003C78AC"/>
    <w:rsid w:val="003D3BC6"/>
    <w:rsid w:val="003E0515"/>
    <w:rsid w:val="003F025D"/>
    <w:rsid w:val="003F23CC"/>
    <w:rsid w:val="00400417"/>
    <w:rsid w:val="00402F5C"/>
    <w:rsid w:val="00410779"/>
    <w:rsid w:val="00412043"/>
    <w:rsid w:val="00422405"/>
    <w:rsid w:val="00423558"/>
    <w:rsid w:val="00423A69"/>
    <w:rsid w:val="0042757E"/>
    <w:rsid w:val="0043444B"/>
    <w:rsid w:val="00436CC2"/>
    <w:rsid w:val="004426E0"/>
    <w:rsid w:val="00442839"/>
    <w:rsid w:val="004440F0"/>
    <w:rsid w:val="00445FC2"/>
    <w:rsid w:val="00451A32"/>
    <w:rsid w:val="00453992"/>
    <w:rsid w:val="0045707A"/>
    <w:rsid w:val="00457369"/>
    <w:rsid w:val="00457C1D"/>
    <w:rsid w:val="00460E16"/>
    <w:rsid w:val="004615FD"/>
    <w:rsid w:val="00464499"/>
    <w:rsid w:val="00467ACF"/>
    <w:rsid w:val="00470260"/>
    <w:rsid w:val="00472DF5"/>
    <w:rsid w:val="0047776A"/>
    <w:rsid w:val="004778FE"/>
    <w:rsid w:val="00490209"/>
    <w:rsid w:val="00493324"/>
    <w:rsid w:val="00493C50"/>
    <w:rsid w:val="00495933"/>
    <w:rsid w:val="004A2297"/>
    <w:rsid w:val="004A59CF"/>
    <w:rsid w:val="004B6BFC"/>
    <w:rsid w:val="004B784B"/>
    <w:rsid w:val="004C647A"/>
    <w:rsid w:val="004C729B"/>
    <w:rsid w:val="004D1ED0"/>
    <w:rsid w:val="004D3022"/>
    <w:rsid w:val="004E4F4F"/>
    <w:rsid w:val="004E5343"/>
    <w:rsid w:val="004F06FF"/>
    <w:rsid w:val="004F3C22"/>
    <w:rsid w:val="005000C7"/>
    <w:rsid w:val="00500662"/>
    <w:rsid w:val="00503E36"/>
    <w:rsid w:val="00510405"/>
    <w:rsid w:val="005108F8"/>
    <w:rsid w:val="005143B7"/>
    <w:rsid w:val="00523295"/>
    <w:rsid w:val="00524DB3"/>
    <w:rsid w:val="00533AAD"/>
    <w:rsid w:val="005373BF"/>
    <w:rsid w:val="00541D0C"/>
    <w:rsid w:val="00544276"/>
    <w:rsid w:val="0054485D"/>
    <w:rsid w:val="00544FCA"/>
    <w:rsid w:val="00545176"/>
    <w:rsid w:val="005462C9"/>
    <w:rsid w:val="0055021D"/>
    <w:rsid w:val="005561F3"/>
    <w:rsid w:val="00556658"/>
    <w:rsid w:val="00560665"/>
    <w:rsid w:val="0056426F"/>
    <w:rsid w:val="00564396"/>
    <w:rsid w:val="00565429"/>
    <w:rsid w:val="00576099"/>
    <w:rsid w:val="00576990"/>
    <w:rsid w:val="00584FDB"/>
    <w:rsid w:val="0058514C"/>
    <w:rsid w:val="005901FA"/>
    <w:rsid w:val="00597D5F"/>
    <w:rsid w:val="005A6A11"/>
    <w:rsid w:val="005C2CE0"/>
    <w:rsid w:val="005C6803"/>
    <w:rsid w:val="005D28BF"/>
    <w:rsid w:val="005E14CE"/>
    <w:rsid w:val="005E3F4B"/>
    <w:rsid w:val="005F236D"/>
    <w:rsid w:val="005F45ED"/>
    <w:rsid w:val="005F5BE7"/>
    <w:rsid w:val="0060129F"/>
    <w:rsid w:val="00612A91"/>
    <w:rsid w:val="0062072C"/>
    <w:rsid w:val="00622BB3"/>
    <w:rsid w:val="0064304C"/>
    <w:rsid w:val="006521A0"/>
    <w:rsid w:val="00655A60"/>
    <w:rsid w:val="00665293"/>
    <w:rsid w:val="00666BCE"/>
    <w:rsid w:val="006724F7"/>
    <w:rsid w:val="00673B3B"/>
    <w:rsid w:val="00687B1C"/>
    <w:rsid w:val="0069167F"/>
    <w:rsid w:val="006921DF"/>
    <w:rsid w:val="00694EFF"/>
    <w:rsid w:val="006962A2"/>
    <w:rsid w:val="006B0B11"/>
    <w:rsid w:val="006B4C9A"/>
    <w:rsid w:val="006B4CCF"/>
    <w:rsid w:val="006B7FC1"/>
    <w:rsid w:val="006C04F4"/>
    <w:rsid w:val="006C5434"/>
    <w:rsid w:val="006D0E1E"/>
    <w:rsid w:val="006D22FC"/>
    <w:rsid w:val="006D3399"/>
    <w:rsid w:val="006D4D44"/>
    <w:rsid w:val="006E1F4C"/>
    <w:rsid w:val="006E71F7"/>
    <w:rsid w:val="006E767A"/>
    <w:rsid w:val="006F01B9"/>
    <w:rsid w:val="006F6F1B"/>
    <w:rsid w:val="00703EC2"/>
    <w:rsid w:val="00707B9F"/>
    <w:rsid w:val="00721DA3"/>
    <w:rsid w:val="00726F75"/>
    <w:rsid w:val="00744449"/>
    <w:rsid w:val="00750FA6"/>
    <w:rsid w:val="0075461E"/>
    <w:rsid w:val="00765F31"/>
    <w:rsid w:val="00767C86"/>
    <w:rsid w:val="00780F94"/>
    <w:rsid w:val="00781277"/>
    <w:rsid w:val="007829D1"/>
    <w:rsid w:val="0078569F"/>
    <w:rsid w:val="007911A3"/>
    <w:rsid w:val="0079183E"/>
    <w:rsid w:val="00791FE6"/>
    <w:rsid w:val="0079304A"/>
    <w:rsid w:val="00796FDC"/>
    <w:rsid w:val="007A3A2B"/>
    <w:rsid w:val="007A419B"/>
    <w:rsid w:val="007A4A07"/>
    <w:rsid w:val="007A4C35"/>
    <w:rsid w:val="007A587C"/>
    <w:rsid w:val="007A5B60"/>
    <w:rsid w:val="007B1AA9"/>
    <w:rsid w:val="007B3B78"/>
    <w:rsid w:val="007B3D63"/>
    <w:rsid w:val="007C6F0F"/>
    <w:rsid w:val="007D118E"/>
    <w:rsid w:val="007D1746"/>
    <w:rsid w:val="007E1D14"/>
    <w:rsid w:val="007E2849"/>
    <w:rsid w:val="007F5AD3"/>
    <w:rsid w:val="007F5EA1"/>
    <w:rsid w:val="007F6793"/>
    <w:rsid w:val="00807AC0"/>
    <w:rsid w:val="0081459C"/>
    <w:rsid w:val="00814941"/>
    <w:rsid w:val="008178FA"/>
    <w:rsid w:val="00821E86"/>
    <w:rsid w:val="00825A01"/>
    <w:rsid w:val="00831251"/>
    <w:rsid w:val="00837826"/>
    <w:rsid w:val="0084363F"/>
    <w:rsid w:val="00850B77"/>
    <w:rsid w:val="00857F96"/>
    <w:rsid w:val="00867C08"/>
    <w:rsid w:val="00876F77"/>
    <w:rsid w:val="00881EF5"/>
    <w:rsid w:val="00883E7E"/>
    <w:rsid w:val="008850EE"/>
    <w:rsid w:val="00886C5B"/>
    <w:rsid w:val="00896C9D"/>
    <w:rsid w:val="008B1250"/>
    <w:rsid w:val="008B5902"/>
    <w:rsid w:val="008B5CC4"/>
    <w:rsid w:val="008B7916"/>
    <w:rsid w:val="008C633A"/>
    <w:rsid w:val="008D2542"/>
    <w:rsid w:val="008D2EE9"/>
    <w:rsid w:val="008D4A7E"/>
    <w:rsid w:val="008D6B55"/>
    <w:rsid w:val="008E13FD"/>
    <w:rsid w:val="008E2321"/>
    <w:rsid w:val="008E5075"/>
    <w:rsid w:val="008F23B5"/>
    <w:rsid w:val="008F51E9"/>
    <w:rsid w:val="00901543"/>
    <w:rsid w:val="00912C69"/>
    <w:rsid w:val="00921EBD"/>
    <w:rsid w:val="00932170"/>
    <w:rsid w:val="00933EBE"/>
    <w:rsid w:val="00934736"/>
    <w:rsid w:val="0093497B"/>
    <w:rsid w:val="0093762D"/>
    <w:rsid w:val="00937EC4"/>
    <w:rsid w:val="00941669"/>
    <w:rsid w:val="00944492"/>
    <w:rsid w:val="00947F52"/>
    <w:rsid w:val="00961028"/>
    <w:rsid w:val="009640C2"/>
    <w:rsid w:val="0096498C"/>
    <w:rsid w:val="00965EB7"/>
    <w:rsid w:val="00966D22"/>
    <w:rsid w:val="00967AE3"/>
    <w:rsid w:val="00973971"/>
    <w:rsid w:val="00983476"/>
    <w:rsid w:val="00990512"/>
    <w:rsid w:val="00995781"/>
    <w:rsid w:val="009957BB"/>
    <w:rsid w:val="009A3207"/>
    <w:rsid w:val="009A4156"/>
    <w:rsid w:val="009A5864"/>
    <w:rsid w:val="009B3A4F"/>
    <w:rsid w:val="009B7699"/>
    <w:rsid w:val="009C1383"/>
    <w:rsid w:val="009C7D87"/>
    <w:rsid w:val="009D0E90"/>
    <w:rsid w:val="009D2F9B"/>
    <w:rsid w:val="009D4D75"/>
    <w:rsid w:val="009D5A9B"/>
    <w:rsid w:val="009E1D12"/>
    <w:rsid w:val="009E64BC"/>
    <w:rsid w:val="009E7DC3"/>
    <w:rsid w:val="009F16D6"/>
    <w:rsid w:val="009F2BD6"/>
    <w:rsid w:val="009F399B"/>
    <w:rsid w:val="00A06F5F"/>
    <w:rsid w:val="00A07E4F"/>
    <w:rsid w:val="00A119AA"/>
    <w:rsid w:val="00A12F1B"/>
    <w:rsid w:val="00A162A7"/>
    <w:rsid w:val="00A20D89"/>
    <w:rsid w:val="00A213E8"/>
    <w:rsid w:val="00A24289"/>
    <w:rsid w:val="00A25142"/>
    <w:rsid w:val="00A309CB"/>
    <w:rsid w:val="00A30FBF"/>
    <w:rsid w:val="00A64F2A"/>
    <w:rsid w:val="00A70637"/>
    <w:rsid w:val="00A77AA4"/>
    <w:rsid w:val="00A850D3"/>
    <w:rsid w:val="00A86050"/>
    <w:rsid w:val="00A92FFD"/>
    <w:rsid w:val="00A93D48"/>
    <w:rsid w:val="00AA2CF2"/>
    <w:rsid w:val="00AB17D1"/>
    <w:rsid w:val="00AB2C03"/>
    <w:rsid w:val="00AB3DD6"/>
    <w:rsid w:val="00AB531B"/>
    <w:rsid w:val="00AB63BD"/>
    <w:rsid w:val="00AB6B77"/>
    <w:rsid w:val="00AD2274"/>
    <w:rsid w:val="00AD7426"/>
    <w:rsid w:val="00AD76C8"/>
    <w:rsid w:val="00AD7DD1"/>
    <w:rsid w:val="00AE34BA"/>
    <w:rsid w:val="00AF3D18"/>
    <w:rsid w:val="00AF4109"/>
    <w:rsid w:val="00AF72B8"/>
    <w:rsid w:val="00B00EEA"/>
    <w:rsid w:val="00B04241"/>
    <w:rsid w:val="00B05E4C"/>
    <w:rsid w:val="00B06F82"/>
    <w:rsid w:val="00B13B93"/>
    <w:rsid w:val="00B17AE3"/>
    <w:rsid w:val="00B17FF1"/>
    <w:rsid w:val="00B27FDA"/>
    <w:rsid w:val="00B32C9F"/>
    <w:rsid w:val="00B42EEB"/>
    <w:rsid w:val="00B43CAA"/>
    <w:rsid w:val="00B54429"/>
    <w:rsid w:val="00B54773"/>
    <w:rsid w:val="00B64E4A"/>
    <w:rsid w:val="00B72AF7"/>
    <w:rsid w:val="00B7450C"/>
    <w:rsid w:val="00B75908"/>
    <w:rsid w:val="00B7743B"/>
    <w:rsid w:val="00B91DAC"/>
    <w:rsid w:val="00B9543D"/>
    <w:rsid w:val="00BA1692"/>
    <w:rsid w:val="00BA2AB7"/>
    <w:rsid w:val="00BB53E2"/>
    <w:rsid w:val="00BB6EE7"/>
    <w:rsid w:val="00BC0A84"/>
    <w:rsid w:val="00BC218E"/>
    <w:rsid w:val="00BC51E5"/>
    <w:rsid w:val="00BC61D5"/>
    <w:rsid w:val="00BD6B1D"/>
    <w:rsid w:val="00BE3D1F"/>
    <w:rsid w:val="00BE5177"/>
    <w:rsid w:val="00BE6376"/>
    <w:rsid w:val="00BE6739"/>
    <w:rsid w:val="00BF01F6"/>
    <w:rsid w:val="00C00A5C"/>
    <w:rsid w:val="00C03F6B"/>
    <w:rsid w:val="00C05F04"/>
    <w:rsid w:val="00C10E98"/>
    <w:rsid w:val="00C11595"/>
    <w:rsid w:val="00C11A88"/>
    <w:rsid w:val="00C12A68"/>
    <w:rsid w:val="00C13DE9"/>
    <w:rsid w:val="00C154C4"/>
    <w:rsid w:val="00C16A40"/>
    <w:rsid w:val="00C16E24"/>
    <w:rsid w:val="00C177D6"/>
    <w:rsid w:val="00C24227"/>
    <w:rsid w:val="00C4441F"/>
    <w:rsid w:val="00C44D3C"/>
    <w:rsid w:val="00C453C9"/>
    <w:rsid w:val="00C45492"/>
    <w:rsid w:val="00C47F47"/>
    <w:rsid w:val="00C51555"/>
    <w:rsid w:val="00C57D63"/>
    <w:rsid w:val="00C63021"/>
    <w:rsid w:val="00C645DB"/>
    <w:rsid w:val="00C760EB"/>
    <w:rsid w:val="00C95E57"/>
    <w:rsid w:val="00CA3C0C"/>
    <w:rsid w:val="00CB136F"/>
    <w:rsid w:val="00CB2527"/>
    <w:rsid w:val="00CB2F1D"/>
    <w:rsid w:val="00CB308D"/>
    <w:rsid w:val="00CB629A"/>
    <w:rsid w:val="00CB74A2"/>
    <w:rsid w:val="00CB7C61"/>
    <w:rsid w:val="00CC36A5"/>
    <w:rsid w:val="00CC7A43"/>
    <w:rsid w:val="00CD4AD3"/>
    <w:rsid w:val="00CE41A2"/>
    <w:rsid w:val="00CF1B7C"/>
    <w:rsid w:val="00D05F7D"/>
    <w:rsid w:val="00D069DF"/>
    <w:rsid w:val="00D13DFC"/>
    <w:rsid w:val="00D2526D"/>
    <w:rsid w:val="00D3018B"/>
    <w:rsid w:val="00D34EB8"/>
    <w:rsid w:val="00D35F10"/>
    <w:rsid w:val="00D36E50"/>
    <w:rsid w:val="00D44481"/>
    <w:rsid w:val="00D449D9"/>
    <w:rsid w:val="00D57665"/>
    <w:rsid w:val="00D64EBB"/>
    <w:rsid w:val="00D73D67"/>
    <w:rsid w:val="00D77616"/>
    <w:rsid w:val="00D80D65"/>
    <w:rsid w:val="00D840BC"/>
    <w:rsid w:val="00D918B0"/>
    <w:rsid w:val="00D96CDC"/>
    <w:rsid w:val="00D971B8"/>
    <w:rsid w:val="00DA4100"/>
    <w:rsid w:val="00DA52E0"/>
    <w:rsid w:val="00DB2F84"/>
    <w:rsid w:val="00DB3C32"/>
    <w:rsid w:val="00DB7312"/>
    <w:rsid w:val="00DC44A7"/>
    <w:rsid w:val="00DC522B"/>
    <w:rsid w:val="00DC5575"/>
    <w:rsid w:val="00DD2FC7"/>
    <w:rsid w:val="00DD6494"/>
    <w:rsid w:val="00DE613A"/>
    <w:rsid w:val="00DE617B"/>
    <w:rsid w:val="00DE7C2D"/>
    <w:rsid w:val="00DF2131"/>
    <w:rsid w:val="00DF695D"/>
    <w:rsid w:val="00DF7650"/>
    <w:rsid w:val="00DF7D3C"/>
    <w:rsid w:val="00E015BD"/>
    <w:rsid w:val="00E04056"/>
    <w:rsid w:val="00E10624"/>
    <w:rsid w:val="00E10768"/>
    <w:rsid w:val="00E13990"/>
    <w:rsid w:val="00E13D9B"/>
    <w:rsid w:val="00E164EB"/>
    <w:rsid w:val="00E23BAC"/>
    <w:rsid w:val="00E25163"/>
    <w:rsid w:val="00E267AE"/>
    <w:rsid w:val="00E267E6"/>
    <w:rsid w:val="00E30B35"/>
    <w:rsid w:val="00E35087"/>
    <w:rsid w:val="00E46B0E"/>
    <w:rsid w:val="00E541F5"/>
    <w:rsid w:val="00E54542"/>
    <w:rsid w:val="00E61752"/>
    <w:rsid w:val="00E62677"/>
    <w:rsid w:val="00E72772"/>
    <w:rsid w:val="00E82A2C"/>
    <w:rsid w:val="00E83DFD"/>
    <w:rsid w:val="00E869B8"/>
    <w:rsid w:val="00EA28C8"/>
    <w:rsid w:val="00EB1919"/>
    <w:rsid w:val="00EB1A4B"/>
    <w:rsid w:val="00EB4897"/>
    <w:rsid w:val="00EC0E91"/>
    <w:rsid w:val="00EC1E3A"/>
    <w:rsid w:val="00EC3E36"/>
    <w:rsid w:val="00EC487B"/>
    <w:rsid w:val="00EC75DE"/>
    <w:rsid w:val="00ED470E"/>
    <w:rsid w:val="00EF5B8C"/>
    <w:rsid w:val="00EF7C2A"/>
    <w:rsid w:val="00F03DA3"/>
    <w:rsid w:val="00F0705A"/>
    <w:rsid w:val="00F1478A"/>
    <w:rsid w:val="00F14B2B"/>
    <w:rsid w:val="00F1776D"/>
    <w:rsid w:val="00F215D6"/>
    <w:rsid w:val="00F24C37"/>
    <w:rsid w:val="00F2551A"/>
    <w:rsid w:val="00F26346"/>
    <w:rsid w:val="00F27F25"/>
    <w:rsid w:val="00F31CC5"/>
    <w:rsid w:val="00F36518"/>
    <w:rsid w:val="00F43338"/>
    <w:rsid w:val="00F442D4"/>
    <w:rsid w:val="00F54EB5"/>
    <w:rsid w:val="00F5678E"/>
    <w:rsid w:val="00F719A2"/>
    <w:rsid w:val="00F81886"/>
    <w:rsid w:val="00F8392B"/>
    <w:rsid w:val="00F86794"/>
    <w:rsid w:val="00F917E8"/>
    <w:rsid w:val="00FA1F17"/>
    <w:rsid w:val="00FA207F"/>
    <w:rsid w:val="00FA6EDB"/>
    <w:rsid w:val="00FA7EB5"/>
    <w:rsid w:val="00FB17FB"/>
    <w:rsid w:val="00FB4E9E"/>
    <w:rsid w:val="00FC0620"/>
    <w:rsid w:val="00FC6093"/>
    <w:rsid w:val="00FD2EC3"/>
    <w:rsid w:val="00FD41EA"/>
    <w:rsid w:val="00FE1A15"/>
    <w:rsid w:val="00FE1C4C"/>
    <w:rsid w:val="00FE7239"/>
    <w:rsid w:val="00FF16E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C69"/>
  </w:style>
  <w:style w:type="paragraph" w:styleId="Footer">
    <w:name w:val="footer"/>
    <w:basedOn w:val="Normal"/>
    <w:link w:val="FooterChar"/>
    <w:uiPriority w:val="99"/>
    <w:unhideWhenUsed/>
    <w:rsid w:val="0091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C69"/>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912C69"/>
    <w:pPr>
      <w:spacing w:after="0" w:line="240" w:lineRule="auto"/>
    </w:pPr>
    <w:rPr>
      <w:sz w:val="20"/>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rsid w:val="00912C69"/>
    <w:rPr>
      <w:sz w:val="20"/>
      <w:szCs w:val="20"/>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nhideWhenUsed/>
    <w:rsid w:val="00912C69"/>
    <w:rPr>
      <w:vertAlign w:val="superscript"/>
    </w:rPr>
  </w:style>
  <w:style w:type="paragraph" w:customStyle="1" w:styleId="FRAHeading1">
    <w:name w:val="(FRA) Heading 1"/>
    <w:basedOn w:val="Normal"/>
    <w:next w:val="Normal"/>
    <w:qFormat/>
    <w:rsid w:val="00912C69"/>
    <w:pPr>
      <w:keepNext/>
      <w:tabs>
        <w:tab w:val="left" w:pos="1134"/>
      </w:tabs>
      <w:spacing w:before="480" w:after="240" w:line="240" w:lineRule="auto"/>
    </w:pPr>
    <w:rPr>
      <w:rFonts w:ascii="Arial Narrow" w:eastAsia="Calibri" w:hAnsi="Arial Narrow" w:cs="Times New Roman"/>
      <w:sz w:val="48"/>
      <w:lang w:val="en-GB" w:bidi="en-US"/>
    </w:rPr>
  </w:style>
  <w:style w:type="character" w:styleId="Hyperlink">
    <w:name w:val="Hyperlink"/>
    <w:basedOn w:val="DefaultParagraphFont"/>
    <w:uiPriority w:val="99"/>
    <w:rsid w:val="00074027"/>
    <w:rPr>
      <w:color w:val="0000FF" w:themeColor="hyperlink"/>
      <w:u w:val="single"/>
    </w:rPr>
  </w:style>
  <w:style w:type="paragraph" w:styleId="ListParagraph">
    <w:name w:val="List Paragraph"/>
    <w:basedOn w:val="Normal"/>
    <w:uiPriority w:val="34"/>
    <w:qFormat/>
    <w:rsid w:val="00BA2AB7"/>
    <w:pPr>
      <w:ind w:left="720"/>
      <w:contextualSpacing/>
    </w:pPr>
  </w:style>
  <w:style w:type="paragraph" w:customStyle="1" w:styleId="FRABodyText">
    <w:name w:val="(FRA) Body Text"/>
    <w:basedOn w:val="Normal"/>
    <w:rsid w:val="00B64E4A"/>
    <w:pPr>
      <w:numPr>
        <w:numId w:val="7"/>
      </w:numPr>
      <w:tabs>
        <w:tab w:val="left" w:pos="0"/>
      </w:tabs>
      <w:spacing w:after="240" w:line="240" w:lineRule="auto"/>
      <w:jc w:val="both"/>
    </w:pPr>
    <w:rPr>
      <w:rFonts w:ascii="Times New Roman" w:eastAsia="Calibri" w:hAnsi="Times New Roman" w:cs="Times New Roman"/>
      <w:lang w:val="en-GB" w:bidi="en-US"/>
    </w:rPr>
  </w:style>
  <w:style w:type="table" w:styleId="TableGrid">
    <w:name w:val="Table Grid"/>
    <w:basedOn w:val="TableNormal"/>
    <w:uiPriority w:val="59"/>
    <w:rsid w:val="00C9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BulletPoints2">
    <w:name w:val="(FRA) Bullet Points 2"/>
    <w:basedOn w:val="Normal"/>
    <w:qFormat/>
    <w:rsid w:val="00C16A40"/>
    <w:pPr>
      <w:tabs>
        <w:tab w:val="num" w:pos="0"/>
      </w:tabs>
      <w:spacing w:before="120" w:after="240" w:line="240" w:lineRule="auto"/>
      <w:ind w:left="568" w:hanging="284"/>
      <w:contextualSpacing/>
    </w:pPr>
    <w:rPr>
      <w:rFonts w:ascii="Times New Roman" w:eastAsia="Calibri" w:hAnsi="Times New Roman" w:cs="Times New Roman"/>
      <w:lang w:val="en-GB" w:bidi="en-US"/>
    </w:rPr>
  </w:style>
  <w:style w:type="character" w:styleId="CommentReference">
    <w:name w:val="annotation reference"/>
    <w:basedOn w:val="DefaultParagraphFont"/>
    <w:unhideWhenUsed/>
    <w:rsid w:val="00D80D65"/>
    <w:rPr>
      <w:sz w:val="16"/>
      <w:szCs w:val="16"/>
    </w:rPr>
  </w:style>
  <w:style w:type="paragraph" w:styleId="CommentText">
    <w:name w:val="annotation text"/>
    <w:basedOn w:val="Normal"/>
    <w:link w:val="CommentTextChar"/>
    <w:uiPriority w:val="99"/>
    <w:unhideWhenUsed/>
    <w:rsid w:val="00D80D65"/>
    <w:pPr>
      <w:spacing w:line="240" w:lineRule="auto"/>
    </w:pPr>
    <w:rPr>
      <w:sz w:val="20"/>
      <w:szCs w:val="20"/>
    </w:rPr>
  </w:style>
  <w:style w:type="character" w:customStyle="1" w:styleId="CommentTextChar">
    <w:name w:val="Comment Text Char"/>
    <w:basedOn w:val="DefaultParagraphFont"/>
    <w:link w:val="CommentText"/>
    <w:uiPriority w:val="99"/>
    <w:rsid w:val="00D80D65"/>
    <w:rPr>
      <w:sz w:val="20"/>
      <w:szCs w:val="20"/>
    </w:rPr>
  </w:style>
  <w:style w:type="paragraph" w:styleId="CommentSubject">
    <w:name w:val="annotation subject"/>
    <w:basedOn w:val="CommentText"/>
    <w:next w:val="CommentText"/>
    <w:link w:val="CommentSubjectChar"/>
    <w:uiPriority w:val="99"/>
    <w:semiHidden/>
    <w:unhideWhenUsed/>
    <w:rsid w:val="00D80D65"/>
    <w:rPr>
      <w:b/>
      <w:bCs/>
    </w:rPr>
  </w:style>
  <w:style w:type="character" w:customStyle="1" w:styleId="CommentSubjectChar">
    <w:name w:val="Comment Subject Char"/>
    <w:basedOn w:val="CommentTextChar"/>
    <w:link w:val="CommentSubject"/>
    <w:uiPriority w:val="99"/>
    <w:semiHidden/>
    <w:rsid w:val="00D80D65"/>
    <w:rPr>
      <w:b/>
      <w:bCs/>
      <w:sz w:val="20"/>
      <w:szCs w:val="20"/>
    </w:rPr>
  </w:style>
  <w:style w:type="paragraph" w:styleId="BalloonText">
    <w:name w:val="Balloon Text"/>
    <w:basedOn w:val="Normal"/>
    <w:link w:val="BalloonTextChar"/>
    <w:uiPriority w:val="99"/>
    <w:semiHidden/>
    <w:unhideWhenUsed/>
    <w:rsid w:val="00D80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5"/>
    <w:rPr>
      <w:rFonts w:ascii="Tahoma" w:hAnsi="Tahoma" w:cs="Tahoma"/>
      <w:sz w:val="16"/>
      <w:szCs w:val="16"/>
    </w:rPr>
  </w:style>
  <w:style w:type="character" w:styleId="FollowedHyperlink">
    <w:name w:val="FollowedHyperlink"/>
    <w:basedOn w:val="DefaultParagraphFont"/>
    <w:uiPriority w:val="99"/>
    <w:semiHidden/>
    <w:unhideWhenUsed/>
    <w:rsid w:val="00442839"/>
    <w:rPr>
      <w:color w:val="800080" w:themeColor="followedHyperlink"/>
      <w:u w:val="single"/>
    </w:rPr>
  </w:style>
  <w:style w:type="paragraph" w:customStyle="1" w:styleId="Default">
    <w:name w:val="Default"/>
    <w:rsid w:val="003560C2"/>
    <w:pPr>
      <w:autoSpaceDE w:val="0"/>
      <w:autoSpaceDN w:val="0"/>
      <w:adjustRightInd w:val="0"/>
      <w:spacing w:after="0" w:line="240" w:lineRule="auto"/>
    </w:pPr>
    <w:rPr>
      <w:rFonts w:ascii="Calibri" w:hAnsi="Calibri" w:cs="Calibri"/>
      <w:color w:val="000000"/>
      <w:sz w:val="24"/>
      <w:szCs w:val="24"/>
      <w:lang w:val="nl-NL"/>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C63021"/>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C69"/>
  </w:style>
  <w:style w:type="paragraph" w:styleId="Footer">
    <w:name w:val="footer"/>
    <w:basedOn w:val="Normal"/>
    <w:link w:val="FooterChar"/>
    <w:uiPriority w:val="99"/>
    <w:unhideWhenUsed/>
    <w:rsid w:val="00912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C69"/>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iPriority w:val="99"/>
    <w:unhideWhenUsed/>
    <w:qFormat/>
    <w:rsid w:val="00912C69"/>
    <w:pPr>
      <w:spacing w:after="0" w:line="240" w:lineRule="auto"/>
    </w:pPr>
    <w:rPr>
      <w:sz w:val="20"/>
      <w:szCs w:val="20"/>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rsid w:val="00912C69"/>
    <w:rPr>
      <w:sz w:val="20"/>
      <w:szCs w:val="20"/>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nhideWhenUsed/>
    <w:rsid w:val="00912C69"/>
    <w:rPr>
      <w:vertAlign w:val="superscript"/>
    </w:rPr>
  </w:style>
  <w:style w:type="paragraph" w:customStyle="1" w:styleId="FRAHeading1">
    <w:name w:val="(FRA) Heading 1"/>
    <w:basedOn w:val="Normal"/>
    <w:next w:val="Normal"/>
    <w:qFormat/>
    <w:rsid w:val="00912C69"/>
    <w:pPr>
      <w:keepNext/>
      <w:tabs>
        <w:tab w:val="left" w:pos="1134"/>
      </w:tabs>
      <w:spacing w:before="480" w:after="240" w:line="240" w:lineRule="auto"/>
    </w:pPr>
    <w:rPr>
      <w:rFonts w:ascii="Arial Narrow" w:eastAsia="Calibri" w:hAnsi="Arial Narrow" w:cs="Times New Roman"/>
      <w:sz w:val="48"/>
      <w:lang w:val="en-GB" w:bidi="en-US"/>
    </w:rPr>
  </w:style>
  <w:style w:type="character" w:styleId="Hyperlink">
    <w:name w:val="Hyperlink"/>
    <w:basedOn w:val="DefaultParagraphFont"/>
    <w:uiPriority w:val="99"/>
    <w:rsid w:val="00074027"/>
    <w:rPr>
      <w:color w:val="0000FF" w:themeColor="hyperlink"/>
      <w:u w:val="single"/>
    </w:rPr>
  </w:style>
  <w:style w:type="paragraph" w:styleId="ListParagraph">
    <w:name w:val="List Paragraph"/>
    <w:basedOn w:val="Normal"/>
    <w:uiPriority w:val="34"/>
    <w:qFormat/>
    <w:rsid w:val="00BA2AB7"/>
    <w:pPr>
      <w:ind w:left="720"/>
      <w:contextualSpacing/>
    </w:pPr>
  </w:style>
  <w:style w:type="paragraph" w:customStyle="1" w:styleId="FRABodyText">
    <w:name w:val="(FRA) Body Text"/>
    <w:basedOn w:val="Normal"/>
    <w:rsid w:val="00B64E4A"/>
    <w:pPr>
      <w:numPr>
        <w:numId w:val="7"/>
      </w:numPr>
      <w:tabs>
        <w:tab w:val="left" w:pos="0"/>
      </w:tabs>
      <w:spacing w:after="240" w:line="240" w:lineRule="auto"/>
      <w:jc w:val="both"/>
    </w:pPr>
    <w:rPr>
      <w:rFonts w:ascii="Times New Roman" w:eastAsia="Calibri" w:hAnsi="Times New Roman" w:cs="Times New Roman"/>
      <w:lang w:val="en-GB" w:bidi="en-US"/>
    </w:rPr>
  </w:style>
  <w:style w:type="table" w:styleId="TableGrid">
    <w:name w:val="Table Grid"/>
    <w:basedOn w:val="TableNormal"/>
    <w:uiPriority w:val="59"/>
    <w:rsid w:val="00C95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ABulletPoints2">
    <w:name w:val="(FRA) Bullet Points 2"/>
    <w:basedOn w:val="Normal"/>
    <w:qFormat/>
    <w:rsid w:val="00C16A40"/>
    <w:pPr>
      <w:tabs>
        <w:tab w:val="num" w:pos="0"/>
      </w:tabs>
      <w:spacing w:before="120" w:after="240" w:line="240" w:lineRule="auto"/>
      <w:ind w:left="568" w:hanging="284"/>
      <w:contextualSpacing/>
    </w:pPr>
    <w:rPr>
      <w:rFonts w:ascii="Times New Roman" w:eastAsia="Calibri" w:hAnsi="Times New Roman" w:cs="Times New Roman"/>
      <w:lang w:val="en-GB" w:bidi="en-US"/>
    </w:rPr>
  </w:style>
  <w:style w:type="character" w:styleId="CommentReference">
    <w:name w:val="annotation reference"/>
    <w:basedOn w:val="DefaultParagraphFont"/>
    <w:unhideWhenUsed/>
    <w:rsid w:val="00D80D65"/>
    <w:rPr>
      <w:sz w:val="16"/>
      <w:szCs w:val="16"/>
    </w:rPr>
  </w:style>
  <w:style w:type="paragraph" w:styleId="CommentText">
    <w:name w:val="annotation text"/>
    <w:basedOn w:val="Normal"/>
    <w:link w:val="CommentTextChar"/>
    <w:uiPriority w:val="99"/>
    <w:unhideWhenUsed/>
    <w:rsid w:val="00D80D65"/>
    <w:pPr>
      <w:spacing w:line="240" w:lineRule="auto"/>
    </w:pPr>
    <w:rPr>
      <w:sz w:val="20"/>
      <w:szCs w:val="20"/>
    </w:rPr>
  </w:style>
  <w:style w:type="character" w:customStyle="1" w:styleId="CommentTextChar">
    <w:name w:val="Comment Text Char"/>
    <w:basedOn w:val="DefaultParagraphFont"/>
    <w:link w:val="CommentText"/>
    <w:uiPriority w:val="99"/>
    <w:rsid w:val="00D80D65"/>
    <w:rPr>
      <w:sz w:val="20"/>
      <w:szCs w:val="20"/>
    </w:rPr>
  </w:style>
  <w:style w:type="paragraph" w:styleId="CommentSubject">
    <w:name w:val="annotation subject"/>
    <w:basedOn w:val="CommentText"/>
    <w:next w:val="CommentText"/>
    <w:link w:val="CommentSubjectChar"/>
    <w:uiPriority w:val="99"/>
    <w:semiHidden/>
    <w:unhideWhenUsed/>
    <w:rsid w:val="00D80D65"/>
    <w:rPr>
      <w:b/>
      <w:bCs/>
    </w:rPr>
  </w:style>
  <w:style w:type="character" w:customStyle="1" w:styleId="CommentSubjectChar">
    <w:name w:val="Comment Subject Char"/>
    <w:basedOn w:val="CommentTextChar"/>
    <w:link w:val="CommentSubject"/>
    <w:uiPriority w:val="99"/>
    <w:semiHidden/>
    <w:rsid w:val="00D80D65"/>
    <w:rPr>
      <w:b/>
      <w:bCs/>
      <w:sz w:val="20"/>
      <w:szCs w:val="20"/>
    </w:rPr>
  </w:style>
  <w:style w:type="paragraph" w:styleId="BalloonText">
    <w:name w:val="Balloon Text"/>
    <w:basedOn w:val="Normal"/>
    <w:link w:val="BalloonTextChar"/>
    <w:uiPriority w:val="99"/>
    <w:semiHidden/>
    <w:unhideWhenUsed/>
    <w:rsid w:val="00D80D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5"/>
    <w:rPr>
      <w:rFonts w:ascii="Tahoma" w:hAnsi="Tahoma" w:cs="Tahoma"/>
      <w:sz w:val="16"/>
      <w:szCs w:val="16"/>
    </w:rPr>
  </w:style>
  <w:style w:type="character" w:styleId="FollowedHyperlink">
    <w:name w:val="FollowedHyperlink"/>
    <w:basedOn w:val="DefaultParagraphFont"/>
    <w:uiPriority w:val="99"/>
    <w:semiHidden/>
    <w:unhideWhenUsed/>
    <w:rsid w:val="00442839"/>
    <w:rPr>
      <w:color w:val="800080" w:themeColor="followedHyperlink"/>
      <w:u w:val="single"/>
    </w:rPr>
  </w:style>
  <w:style w:type="paragraph" w:customStyle="1" w:styleId="Default">
    <w:name w:val="Default"/>
    <w:rsid w:val="003560C2"/>
    <w:pPr>
      <w:autoSpaceDE w:val="0"/>
      <w:autoSpaceDN w:val="0"/>
      <w:adjustRightInd w:val="0"/>
      <w:spacing w:after="0" w:line="240" w:lineRule="auto"/>
    </w:pPr>
    <w:rPr>
      <w:rFonts w:ascii="Calibri" w:hAnsi="Calibri" w:cs="Calibri"/>
      <w:color w:val="000000"/>
      <w:sz w:val="24"/>
      <w:szCs w:val="24"/>
      <w:lang w:val="nl-NL"/>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C63021"/>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93486">
      <w:bodyDiv w:val="1"/>
      <w:marLeft w:val="0"/>
      <w:marRight w:val="0"/>
      <w:marTop w:val="0"/>
      <w:marBottom w:val="0"/>
      <w:divBdr>
        <w:top w:val="none" w:sz="0" w:space="0" w:color="auto"/>
        <w:left w:val="none" w:sz="0" w:space="0" w:color="auto"/>
        <w:bottom w:val="none" w:sz="0" w:space="0" w:color="auto"/>
        <w:right w:val="none" w:sz="0" w:space="0" w:color="auto"/>
      </w:divBdr>
      <w:divsChild>
        <w:div w:id="52266944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15888012">
      <w:bodyDiv w:val="1"/>
      <w:marLeft w:val="0"/>
      <w:marRight w:val="0"/>
      <w:marTop w:val="0"/>
      <w:marBottom w:val="0"/>
      <w:divBdr>
        <w:top w:val="none" w:sz="0" w:space="0" w:color="auto"/>
        <w:left w:val="none" w:sz="0" w:space="0" w:color="auto"/>
        <w:bottom w:val="none" w:sz="0" w:space="0" w:color="auto"/>
        <w:right w:val="none" w:sz="0" w:space="0" w:color="auto"/>
      </w:divBdr>
      <w:divsChild>
        <w:div w:id="117514539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63411175">
      <w:bodyDiv w:val="1"/>
      <w:marLeft w:val="0"/>
      <w:marRight w:val="0"/>
      <w:marTop w:val="0"/>
      <w:marBottom w:val="0"/>
      <w:divBdr>
        <w:top w:val="none" w:sz="0" w:space="0" w:color="auto"/>
        <w:left w:val="none" w:sz="0" w:space="0" w:color="auto"/>
        <w:bottom w:val="none" w:sz="0" w:space="0" w:color="auto"/>
        <w:right w:val="none" w:sz="0" w:space="0" w:color="auto"/>
      </w:divBdr>
    </w:div>
    <w:div w:id="1046442406">
      <w:bodyDiv w:val="1"/>
      <w:marLeft w:val="0"/>
      <w:marRight w:val="0"/>
      <w:marTop w:val="0"/>
      <w:marBottom w:val="0"/>
      <w:divBdr>
        <w:top w:val="none" w:sz="0" w:space="0" w:color="auto"/>
        <w:left w:val="none" w:sz="0" w:space="0" w:color="auto"/>
        <w:bottom w:val="none" w:sz="0" w:space="0" w:color="auto"/>
        <w:right w:val="none" w:sz="0" w:space="0" w:color="auto"/>
      </w:divBdr>
      <w:divsChild>
        <w:div w:id="177308486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19975855">
      <w:bodyDiv w:val="1"/>
      <w:marLeft w:val="0"/>
      <w:marRight w:val="0"/>
      <w:marTop w:val="0"/>
      <w:marBottom w:val="0"/>
      <w:divBdr>
        <w:top w:val="none" w:sz="0" w:space="0" w:color="auto"/>
        <w:left w:val="none" w:sz="0" w:space="0" w:color="auto"/>
        <w:bottom w:val="none" w:sz="0" w:space="0" w:color="auto"/>
        <w:right w:val="none" w:sz="0" w:space="0" w:color="auto"/>
      </w:divBdr>
      <w:divsChild>
        <w:div w:id="608850351">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336569255">
      <w:bodyDiv w:val="1"/>
      <w:marLeft w:val="0"/>
      <w:marRight w:val="0"/>
      <w:marTop w:val="0"/>
      <w:marBottom w:val="0"/>
      <w:divBdr>
        <w:top w:val="none" w:sz="0" w:space="0" w:color="auto"/>
        <w:left w:val="none" w:sz="0" w:space="0" w:color="auto"/>
        <w:bottom w:val="none" w:sz="0" w:space="0" w:color="auto"/>
        <w:right w:val="none" w:sz="0" w:space="0" w:color="auto"/>
      </w:divBdr>
      <w:divsChild>
        <w:div w:id="13141174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750034859">
      <w:bodyDiv w:val="1"/>
      <w:marLeft w:val="0"/>
      <w:marRight w:val="0"/>
      <w:marTop w:val="0"/>
      <w:marBottom w:val="0"/>
      <w:divBdr>
        <w:top w:val="none" w:sz="0" w:space="0" w:color="auto"/>
        <w:left w:val="none" w:sz="0" w:space="0" w:color="auto"/>
        <w:bottom w:val="none" w:sz="0" w:space="0" w:color="auto"/>
        <w:right w:val="none" w:sz="0" w:space="0" w:color="auto"/>
      </w:divBdr>
      <w:divsChild>
        <w:div w:id="209088177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913004925">
      <w:bodyDiv w:val="1"/>
      <w:marLeft w:val="0"/>
      <w:marRight w:val="0"/>
      <w:marTop w:val="0"/>
      <w:marBottom w:val="0"/>
      <w:divBdr>
        <w:top w:val="none" w:sz="0" w:space="0" w:color="auto"/>
        <w:left w:val="none" w:sz="0" w:space="0" w:color="auto"/>
        <w:bottom w:val="none" w:sz="0" w:space="0" w:color="auto"/>
        <w:right w:val="none" w:sz="0" w:space="0" w:color="auto"/>
      </w:divBdr>
      <w:divsChild>
        <w:div w:id="678773494">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2019965107">
      <w:bodyDiv w:val="1"/>
      <w:marLeft w:val="0"/>
      <w:marRight w:val="0"/>
      <w:marTop w:val="0"/>
      <w:marBottom w:val="0"/>
      <w:divBdr>
        <w:top w:val="none" w:sz="0" w:space="0" w:color="auto"/>
        <w:left w:val="none" w:sz="0" w:space="0" w:color="auto"/>
        <w:bottom w:val="none" w:sz="0" w:space="0" w:color="auto"/>
        <w:right w:val="none" w:sz="0" w:space="0" w:color="auto"/>
      </w:divBdr>
      <w:divsChild>
        <w:div w:id="128222960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etten.overheid.nl/cgi-bin/deeplink/law1/title=Kieswet" TargetMode="External"/><Relationship Id="rId3" Type="http://schemas.openxmlformats.org/officeDocument/2006/relationships/hyperlink" Target="http://www.un.org/disabilities/countries.asp?navid=12&amp;pid=166" TargetMode="External"/><Relationship Id="rId7" Type="http://schemas.openxmlformats.org/officeDocument/2006/relationships/hyperlink" Target="http://wetten.overheid.nl/cgi-bin/deeplink/law1/title=Kieswet" TargetMode="External"/><Relationship Id="rId2" Type="http://schemas.openxmlformats.org/officeDocument/2006/relationships/hyperlink" Target="http://treaties.un.org/Pages/ViewDetails.aspx?src=TREATY&amp;mtdsg_no=IV-15&amp;chapter=4&amp;lang=en" TargetMode="External"/><Relationship Id="rId1" Type="http://schemas.openxmlformats.org/officeDocument/2006/relationships/hyperlink" Target="http://www.un.org/disabilities/countries.asp?navid=12&amp;pid=166" TargetMode="External"/><Relationship Id="rId6" Type="http://schemas.openxmlformats.org/officeDocument/2006/relationships/hyperlink" Target="http://treaties.un.org/Pages/ViewDetails.aspx?src=TREATY&amp;mtdsg_no=IV-15&amp;chapter=4&amp;lang=en" TargetMode="External"/><Relationship Id="rId11" Type="http://schemas.openxmlformats.org/officeDocument/2006/relationships/hyperlink" Target="http://www.cg-raad.nl/over_ons/missie.php" TargetMode="External"/><Relationship Id="rId5" Type="http://schemas.openxmlformats.org/officeDocument/2006/relationships/hyperlink" Target="http://www.un.org/disabilities/countries.asp?navid=12&amp;pid=166" TargetMode="External"/><Relationship Id="rId10" Type="http://schemas.openxmlformats.org/officeDocument/2006/relationships/hyperlink" Target="http://www.kiesraad.nl/nl/Onderwerpen/Thema-Stemmen/Hulp_bij_stemmen.html" TargetMode="External"/><Relationship Id="rId4" Type="http://schemas.openxmlformats.org/officeDocument/2006/relationships/hyperlink" Target="http://treaties.un.org/Pages/ViewDetails.aspx?src=TREATY&amp;mtdsg_no=IV-15&amp;chapter=4&amp;lang=en" TargetMode="External"/><Relationship Id="rId9" Type="http://schemas.openxmlformats.org/officeDocument/2006/relationships/hyperlink" Target="http://www.cg-raad.nl/wij_werken_aan/toegankelijkheid/stemmen/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Dutch</TermName>
          <TermId xmlns="http://schemas.microsoft.com/office/infopath/2007/PartnerControls">de6163d4-c26b-4e1d-90bd-83d4ab1ed393</TermId>
        </TermInfo>
      </Terms>
    </mea2126e36834a0eb3415250650cf607>
    <fraDocumentID xmlns="16097700-bd0a-4b4b-83d5-90842b5175e0" xsi:nil="true"/>
    <o71ee79a4fd140c7933e84878fd431da xmlns="16097700-bd0a-4b4b-83d5-90842b5175e0">
      <Terms xmlns="http://schemas.microsoft.com/office/infopath/2007/PartnerControls">
        <TermInfo xmlns="http://schemas.microsoft.com/office/infopath/2007/PartnerControls">
          <TermName xmlns="http://schemas.microsoft.com/office/infopath/2007/PartnerControls">2012-ECR-07 - Indicators on political participation of persons with disabilities</TermName>
          <TermId xmlns="http://schemas.microsoft.com/office/infopath/2007/PartnerControls">3ba2f83a-f807-452a-a4c3-e61dab7d65c2</TermId>
        </TermInfo>
      </Term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2406</Value>
      <Value>772</Value>
      <Value>3665</Value>
    </TaxCatchAll>
    <_dlc_DocId xmlns="16097700-bd0a-4b4b-83d5-90842b5175e0">D-2014-35959</_dlc_DocId>
    <_dlc_DocIdUrl xmlns="16097700-bd0a-4b4b-83d5-90842b5175e0">
      <Url>http://dms/research/polparprojectsite/_layouts/DocIdRedir.aspx?ID=D-2014-35959</Url>
      <Description>D-2014-35959</Description>
    </_dlc_DocIdUrl>
    <fraPermissions xmlns="16097700-bd0a-4b4b-83d5-90842b5175e0">Public: Read for all, write dept.</fraPermission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2B7FE-BFC2-4AAB-9C58-D7B830ABAE0C}">
  <ds:schemaRefs>
    <ds:schemaRef ds:uri="http://purl.org/dc/elements/1.1/"/>
    <ds:schemaRef ds:uri="http://schemas.microsoft.com/office/2006/metadata/properties"/>
    <ds:schemaRef ds:uri="http://schemas.microsoft.com/office/2006/documentManagement/types"/>
    <ds:schemaRef ds:uri="http://www.w3.org/XML/1998/namespace"/>
    <ds:schemaRef ds:uri="http://schemas.microsoft.com/office/infopath/2007/PartnerControls"/>
    <ds:schemaRef ds:uri="16097700-bd0a-4b4b-83d5-90842b5175e0"/>
    <ds:schemaRef ds:uri="http://schemas.openxmlformats.org/package/2006/metadata/core-properties"/>
    <ds:schemaRef ds:uri="http://schemas.microsoft.com/sharepoint/v3"/>
    <ds:schemaRef ds:uri="http://purl.org/dc/dcmitype/"/>
    <ds:schemaRef ds:uri="http://purl.org/dc/terms/"/>
  </ds:schemaRefs>
</ds:datastoreItem>
</file>

<file path=customXml/itemProps2.xml><?xml version="1.0" encoding="utf-8"?>
<ds:datastoreItem xmlns:ds="http://schemas.openxmlformats.org/officeDocument/2006/customXml" ds:itemID="{02048060-8D23-4CBB-87F1-F8C7A7DB1F0C}">
  <ds:schemaRefs>
    <ds:schemaRef ds:uri="http://schemas.microsoft.com/sharepoint/v3/contenttype/forms"/>
  </ds:schemaRefs>
</ds:datastoreItem>
</file>

<file path=customXml/itemProps3.xml><?xml version="1.0" encoding="utf-8"?>
<ds:datastoreItem xmlns:ds="http://schemas.openxmlformats.org/officeDocument/2006/customXml" ds:itemID="{0CB31EF4-6040-4B5D-9CCB-3345DE56AE1A}">
  <ds:schemaRefs>
    <ds:schemaRef ds:uri="http://schemas.microsoft.com/sharepoint/events"/>
  </ds:schemaRefs>
</ds:datastoreItem>
</file>

<file path=customXml/itemProps4.xml><?xml version="1.0" encoding="utf-8"?>
<ds:datastoreItem xmlns:ds="http://schemas.openxmlformats.org/officeDocument/2006/customXml" ds:itemID="{211E6BA4-5F18-498F-95D0-098EE66AB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FD92B9-F90C-422E-8B49-E326086D9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4105</Words>
  <Characters>23402</Characters>
  <Application>Microsoft Office Word</Application>
  <DocSecurity>0</DocSecurity>
  <Lines>195</Lines>
  <Paragraphs>54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Final country tables clean versions</vt:lpstr>
      <vt:lpstr>Revised AD-HOC deliverables</vt:lpstr>
    </vt:vector>
  </TitlesOfParts>
  <Company>European Union Fundamental Rights Agency</Company>
  <LinksUpToDate>false</LinksUpToDate>
  <CharactersWithSpaces>27453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country tables clean versions</dc:title>
  <dc:creator>STICKINGS Martha (FRA)</dc:creator>
  <cp:lastModifiedBy>GRANELLI Alessandra (FRA)</cp:lastModifiedBy>
  <cp:revision>2</cp:revision>
  <cp:lastPrinted>2013-05-31T11:42:00Z</cp:lastPrinted>
  <dcterms:created xsi:type="dcterms:W3CDTF">2014-07-11T13:23:00Z</dcterms:created>
  <dcterms:modified xsi:type="dcterms:W3CDTF">2014-07-11T13:23:00Z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_dlc_DocIdItemGuid">
    <vt:lpwstr>aa804eff-9ecb-4c47-a30f-9a077c4fe1a4</vt:lpwstr>
  </property>
  <property fmtid="{D5CDD505-2E9C-101B-9397-08002B2CF9AE}" pid="4" name="fraContentLanguageMM">
    <vt:lpwstr>2406;#Dutch|de6163d4-c26b-4e1d-90bd-83d4ab1ed393</vt:lpwstr>
  </property>
  <property fmtid="{D5CDD505-2E9C-101B-9397-08002B2CF9AE}" pid="5" name="fraYearMM">
    <vt:lpwstr>772;#2013|89100c69-8623-4b50-bafc-39dac4cd6adf</vt:lpwstr>
  </property>
  <property fmtid="{D5CDD505-2E9C-101B-9397-08002B2CF9AE}" pid="6" name="fraThematicTeamMM">
    <vt:lpwstr/>
  </property>
  <property fmtid="{D5CDD505-2E9C-101B-9397-08002B2CF9AE}" pid="7" name="fraTagsMM">
    <vt:lpwstr/>
  </property>
  <property fmtid="{D5CDD505-2E9C-101B-9397-08002B2CF9AE}" pid="8" name="fraMatrixProject">
    <vt:lpwstr>3665;#2012-ECR-07 - Indicators on political participation of persons with disabilities|3ba2f83a-f807-452a-a4c3-e61dab7d65c2</vt:lpwstr>
  </property>
  <property fmtid="{D5CDD505-2E9C-101B-9397-08002B2CF9AE}" pid="9" name="Order">
    <vt:r8>3500</vt:r8>
  </property>
</Properties>
</file>