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rPr>
          <w:rFonts w:asciiTheme="minorHAnsi" w:hAnsiTheme="minorHAnsi" w:cstheme="minorHAnsi"/>
        </w:rPr>
      </w:sdtEndPr>
      <w:sdtContent>
        <w:p w14:paraId="3A024E33" w14:textId="1D55603A" w:rsidR="00610C73" w:rsidRPr="00306D1D" w:rsidRDefault="00610C73" w:rsidP="00583845">
          <w:pPr>
            <w:pStyle w:val="FRAHeading4Unnumbered"/>
          </w:pPr>
        </w:p>
        <w:p w14:paraId="057EBEB7" w14:textId="6DF825CF" w:rsidR="00610C73" w:rsidRPr="00BF1EFB" w:rsidRDefault="005C7344" w:rsidP="00C5699E">
          <w:pPr>
            <w:pStyle w:val="PublicationTitle"/>
            <w:spacing w:before="480" w:after="360"/>
            <w:jc w:val="right"/>
            <w:rPr>
              <w:rFonts w:asciiTheme="minorHAnsi" w:hAnsiTheme="minorHAnsi" w:cstheme="minorHAnsi"/>
              <w:color w:val="4472C4" w:themeColor="accent1"/>
              <w:sz w:val="56"/>
              <w:szCs w:val="24"/>
            </w:rPr>
          </w:pPr>
          <w:r w:rsidRPr="00BF1EFB">
            <w:rPr>
              <w:rFonts w:asciiTheme="minorHAnsi" w:hAnsiTheme="minorHAnsi" w:cstheme="minorHAnsi"/>
              <w:color w:val="4472C4" w:themeColor="accent1"/>
              <w:sz w:val="56"/>
              <w:szCs w:val="24"/>
            </w:rPr>
            <w:t xml:space="preserve">The right to political participation of persons with disabilities ahead of the 2024 European Parliament elections </w:t>
          </w:r>
        </w:p>
        <w:p w14:paraId="2283451C" w14:textId="034ED8C9" w:rsidR="0089724A" w:rsidRPr="00BF1EFB" w:rsidRDefault="000B5E17" w:rsidP="008165EB">
          <w:pPr>
            <w:pStyle w:val="PublicationSubtitle"/>
            <w:spacing w:before="0"/>
            <w:jc w:val="right"/>
            <w:rPr>
              <w:rFonts w:asciiTheme="minorHAnsi" w:hAnsiTheme="minorHAnsi" w:cstheme="minorHAnsi"/>
              <w:color w:val="auto"/>
              <w:szCs w:val="24"/>
            </w:rPr>
          </w:pPr>
          <w:r>
            <w:rPr>
              <w:rFonts w:asciiTheme="minorHAnsi" w:hAnsiTheme="minorHAnsi" w:cstheme="minorHAnsi"/>
              <w:color w:val="auto"/>
              <w:szCs w:val="24"/>
            </w:rPr>
            <w:t>Bulgaria</w:t>
          </w:r>
        </w:p>
        <w:p w14:paraId="76B6EB03" w14:textId="77777777" w:rsidR="0089724A" w:rsidRPr="00BF1EFB" w:rsidRDefault="0089724A" w:rsidP="008165EB">
          <w:pPr>
            <w:pStyle w:val="PublicationSubtitle"/>
            <w:spacing w:before="0"/>
            <w:jc w:val="right"/>
            <w:rPr>
              <w:rFonts w:asciiTheme="minorHAnsi" w:hAnsiTheme="minorHAnsi" w:cstheme="minorHAnsi"/>
              <w:color w:val="auto"/>
              <w:szCs w:val="24"/>
            </w:rPr>
          </w:pPr>
        </w:p>
        <w:p w14:paraId="6A673131" w14:textId="3F034D96" w:rsidR="00610C73" w:rsidRPr="00306D1D" w:rsidRDefault="00CC2CCC" w:rsidP="00C5699E">
          <w:pPr>
            <w:pStyle w:val="PublicationSubtitle"/>
            <w:spacing w:before="0"/>
            <w:jc w:val="right"/>
            <w:rPr>
              <w:rFonts w:asciiTheme="minorHAnsi" w:hAnsiTheme="minorHAnsi" w:cstheme="minorHAnsi"/>
              <w:color w:val="auto"/>
              <w:sz w:val="24"/>
              <w:szCs w:val="24"/>
            </w:rPr>
          </w:pPr>
          <w:r w:rsidRPr="00BF1EFB">
            <w:rPr>
              <w:rFonts w:asciiTheme="minorHAnsi" w:hAnsiTheme="minorHAnsi" w:cstheme="minorHAnsi"/>
              <w:color w:val="auto"/>
              <w:szCs w:val="24"/>
            </w:rPr>
            <w:t>January 2024</w:t>
          </w:r>
        </w:p>
        <w:p w14:paraId="2EAF2CC3" w14:textId="47D942E6" w:rsidR="008165EB" w:rsidRPr="00306D1D" w:rsidRDefault="008165EB" w:rsidP="008165EB">
          <w:pPr>
            <w:pStyle w:val="PublicationSubsubtitle"/>
            <w:spacing w:after="0"/>
            <w:jc w:val="right"/>
            <w:rPr>
              <w:rFonts w:asciiTheme="minorHAnsi" w:hAnsiTheme="minorHAnsi" w:cstheme="minorHAnsi"/>
              <w:color w:val="auto"/>
              <w:sz w:val="24"/>
              <w:szCs w:val="24"/>
            </w:rPr>
          </w:pPr>
          <w:r w:rsidRPr="00306D1D">
            <w:rPr>
              <w:rFonts w:asciiTheme="minorHAnsi" w:hAnsiTheme="minorHAnsi" w:cstheme="minorHAnsi"/>
              <w:color w:val="auto"/>
              <w:sz w:val="24"/>
              <w:szCs w:val="24"/>
            </w:rPr>
            <w:t xml:space="preserve"> </w:t>
          </w:r>
        </w:p>
        <w:p w14:paraId="505EBD70" w14:textId="23C4244E" w:rsidR="008165EB" w:rsidRPr="00BF1EFB" w:rsidRDefault="008165EB" w:rsidP="008165EB">
          <w:pPr>
            <w:pStyle w:val="PublicationSubsubtitle"/>
            <w:spacing w:after="0"/>
            <w:jc w:val="right"/>
            <w:rPr>
              <w:rFonts w:asciiTheme="minorHAnsi" w:hAnsiTheme="minorHAnsi" w:cstheme="minorHAnsi"/>
              <w:color w:val="auto"/>
              <w:szCs w:val="24"/>
            </w:rPr>
          </w:pPr>
          <w:r w:rsidRPr="00BF1EFB">
            <w:rPr>
              <w:rFonts w:asciiTheme="minorHAnsi" w:hAnsiTheme="minorHAnsi" w:cstheme="minorHAnsi"/>
              <w:color w:val="auto"/>
              <w:szCs w:val="24"/>
            </w:rPr>
            <w:t>Contractor:</w:t>
          </w:r>
          <w:r w:rsidR="000B5E17">
            <w:rPr>
              <w:rFonts w:asciiTheme="minorHAnsi" w:hAnsiTheme="minorHAnsi" w:cstheme="minorHAnsi"/>
              <w:color w:val="auto"/>
              <w:szCs w:val="24"/>
            </w:rPr>
            <w:t xml:space="preserve"> Project One / </w:t>
          </w:r>
          <w:proofErr w:type="spellStart"/>
          <w:r w:rsidR="000B5E17">
            <w:rPr>
              <w:rFonts w:asciiTheme="minorHAnsi" w:hAnsiTheme="minorHAnsi" w:cstheme="minorHAnsi"/>
              <w:color w:val="auto"/>
              <w:szCs w:val="24"/>
            </w:rPr>
            <w:t>Center</w:t>
          </w:r>
          <w:proofErr w:type="spellEnd"/>
          <w:r w:rsidR="000B5E17">
            <w:rPr>
              <w:rFonts w:asciiTheme="minorHAnsi" w:hAnsiTheme="minorHAnsi" w:cstheme="minorHAnsi"/>
              <w:color w:val="auto"/>
              <w:szCs w:val="24"/>
            </w:rPr>
            <w:t xml:space="preserve"> for the Study of Democracy</w:t>
          </w:r>
        </w:p>
        <w:p w14:paraId="4FA623F4" w14:textId="3744402D" w:rsidR="008165EB" w:rsidRPr="00BF1EFB" w:rsidRDefault="008165EB" w:rsidP="00C5699E">
          <w:pPr>
            <w:pStyle w:val="PublicationSubsubtitle"/>
            <w:spacing w:after="0"/>
            <w:jc w:val="right"/>
            <w:rPr>
              <w:rFonts w:asciiTheme="minorHAnsi" w:hAnsiTheme="minorHAnsi" w:cstheme="minorHAnsi"/>
              <w:color w:val="auto"/>
              <w:szCs w:val="24"/>
            </w:rPr>
          </w:pPr>
          <w:r w:rsidRPr="00BF1EFB">
            <w:rPr>
              <w:rFonts w:asciiTheme="minorHAnsi" w:hAnsiTheme="minorHAnsi" w:cstheme="minorHAnsi"/>
              <w:color w:val="auto"/>
              <w:szCs w:val="24"/>
            </w:rPr>
            <w:t xml:space="preserve"> </w:t>
          </w:r>
        </w:p>
        <w:p w14:paraId="3DDE0548" w14:textId="50AE42D4" w:rsidR="008165EB" w:rsidRPr="00306D1D" w:rsidRDefault="008165EB" w:rsidP="008165EB">
          <w:pPr>
            <w:pStyle w:val="PublicationSubsubtitle"/>
            <w:spacing w:after="0"/>
            <w:jc w:val="right"/>
            <w:rPr>
              <w:rFonts w:asciiTheme="minorHAnsi" w:hAnsiTheme="minorHAnsi" w:cstheme="minorHAnsi"/>
              <w:color w:val="auto"/>
              <w:sz w:val="24"/>
              <w:szCs w:val="24"/>
            </w:rPr>
          </w:pPr>
          <w:r w:rsidRPr="00BF1EFB">
            <w:rPr>
              <w:rFonts w:asciiTheme="minorHAnsi" w:hAnsiTheme="minorHAnsi" w:cstheme="minorHAnsi"/>
              <w:color w:val="auto"/>
              <w:szCs w:val="24"/>
            </w:rPr>
            <w:t>Author(s):</w:t>
          </w:r>
          <w:r w:rsidR="000B5E17">
            <w:rPr>
              <w:rFonts w:asciiTheme="minorHAnsi" w:hAnsiTheme="minorHAnsi" w:cstheme="minorHAnsi"/>
              <w:color w:val="auto"/>
              <w:szCs w:val="24"/>
            </w:rPr>
            <w:t xml:space="preserve"> Maria </w:t>
          </w:r>
          <w:proofErr w:type="spellStart"/>
          <w:r w:rsidR="000B5E17">
            <w:rPr>
              <w:rFonts w:asciiTheme="minorHAnsi" w:hAnsiTheme="minorHAnsi" w:cstheme="minorHAnsi"/>
              <w:color w:val="auto"/>
              <w:szCs w:val="24"/>
            </w:rPr>
            <w:t>Doichinova</w:t>
          </w:r>
          <w:proofErr w:type="spellEnd"/>
        </w:p>
        <w:p w14:paraId="69907268" w14:textId="77777777" w:rsidR="008165EB" w:rsidRPr="00306D1D" w:rsidRDefault="008165EB" w:rsidP="00C5699E">
          <w:pPr>
            <w:pStyle w:val="PublicationSubsubtitle"/>
            <w:spacing w:after="0"/>
            <w:jc w:val="right"/>
            <w:rPr>
              <w:rFonts w:asciiTheme="minorHAnsi" w:hAnsiTheme="minorHAnsi" w:cstheme="minorHAnsi"/>
              <w:sz w:val="24"/>
              <w:szCs w:val="24"/>
            </w:rPr>
          </w:pPr>
        </w:p>
        <w:p w14:paraId="1131CB92" w14:textId="77777777" w:rsidR="007C6232" w:rsidRPr="00306D1D" w:rsidRDefault="007C6232" w:rsidP="00C5699E">
          <w:pPr>
            <w:pStyle w:val="PublicationSubsubtitle"/>
            <w:spacing w:after="0"/>
            <w:jc w:val="right"/>
            <w:rPr>
              <w:rFonts w:asciiTheme="minorHAnsi" w:hAnsiTheme="minorHAnsi" w:cstheme="minorHAnsi"/>
              <w:sz w:val="24"/>
              <w:szCs w:val="24"/>
            </w:rPr>
          </w:pPr>
        </w:p>
        <w:tbl>
          <w:tblPr>
            <w:tblStyle w:val="TableBoxC"/>
            <w:tblW w:w="8503" w:type="dxa"/>
            <w:tblLook w:val="04A0" w:firstRow="1" w:lastRow="0" w:firstColumn="1" w:lastColumn="0" w:noHBand="0" w:noVBand="1"/>
          </w:tblPr>
          <w:tblGrid>
            <w:gridCol w:w="8503"/>
          </w:tblGrid>
          <w:tr w:rsidR="00676BF6" w:rsidRPr="00306D1D" w14:paraId="6575B4F5" w14:textId="77777777">
            <w:tc>
              <w:tcPr>
                <w:tcW w:w="8503" w:type="dxa"/>
              </w:tcPr>
              <w:p w14:paraId="764F0746" w14:textId="2CBD0F39" w:rsidR="00676BF6" w:rsidRPr="00BF1EFB" w:rsidRDefault="00851AF1">
                <w:pPr>
                  <w:pStyle w:val="BoxTitleC"/>
                  <w:rPr>
                    <w:rFonts w:asciiTheme="minorHAnsi" w:hAnsiTheme="minorHAnsi" w:cstheme="minorHAnsi"/>
                    <w:szCs w:val="24"/>
                  </w:rPr>
                </w:pPr>
                <w:r w:rsidRPr="00BF1EFB">
                  <w:rPr>
                    <w:rFonts w:asciiTheme="minorHAnsi" w:hAnsiTheme="minorHAnsi" w:cstheme="minorHAnsi"/>
                    <w:szCs w:val="24"/>
                  </w:rPr>
                  <w:t>Disclaimer</w:t>
                </w:r>
              </w:p>
              <w:p w14:paraId="50D70F60" w14:textId="1AE76073" w:rsidR="00676BF6" w:rsidRPr="00306D1D" w:rsidRDefault="00851AF1">
                <w:pPr>
                  <w:pStyle w:val="BoxText"/>
                  <w:rPr>
                    <w:rFonts w:asciiTheme="minorHAnsi" w:hAnsiTheme="minorHAnsi" w:cstheme="minorHAnsi"/>
                    <w:szCs w:val="24"/>
                  </w:rPr>
                </w:pPr>
                <w:r w:rsidRPr="00306D1D">
                  <w:rPr>
                    <w:rFonts w:asciiTheme="minorHAnsi" w:hAnsiTheme="minorHAnsi" w:cstheme="minorHAnsi"/>
                    <w:szCs w:val="24"/>
                  </w:rPr>
                  <w:t xml:space="preserve">This document was commissioned under contract by the European Union Agency for Fundamental Rights (FRA) as background material for the project </w:t>
                </w:r>
                <w:r w:rsidR="00C71A5C" w:rsidRPr="00306D1D">
                  <w:rPr>
                    <w:rFonts w:asciiTheme="minorHAnsi" w:hAnsiTheme="minorHAnsi" w:cstheme="minorHAnsi"/>
                    <w:szCs w:val="24"/>
                  </w:rPr>
                  <w:t>‘</w:t>
                </w:r>
                <w:r w:rsidR="00274E14" w:rsidRPr="00306D1D">
                  <w:rPr>
                    <w:rFonts w:asciiTheme="minorHAnsi" w:hAnsiTheme="minorHAnsi" w:cstheme="minorHAnsi"/>
                    <w:szCs w:val="24"/>
                  </w:rPr>
                  <w:t>Participating in the EU Framework required by Article 33 (2) of the UN Convention on the Rights of Persons with Disabilities</w:t>
                </w:r>
                <w:r w:rsidR="00CC2CCC" w:rsidRPr="00306D1D">
                  <w:rPr>
                    <w:rFonts w:asciiTheme="minorHAnsi" w:hAnsiTheme="minorHAnsi" w:cstheme="minorHAnsi"/>
                    <w:szCs w:val="24"/>
                  </w:rPr>
                  <w:t>’</w:t>
                </w:r>
                <w:r w:rsidRPr="00306D1D">
                  <w:rPr>
                    <w:rFonts w:asciiTheme="minorHAnsi" w:hAnsiTheme="minorHAnsi" w:cstheme="minorHAnsi"/>
                    <w:szCs w:val="24"/>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rsidRPr="00306D1D">
                  <w:rPr>
                    <w:rFonts w:asciiTheme="minorHAnsi" w:hAnsiTheme="minorHAnsi" w:cstheme="minorHAnsi"/>
                    <w:szCs w:val="24"/>
                  </w:rPr>
                  <w:t>.</w:t>
                </w:r>
              </w:p>
            </w:tc>
          </w:tr>
        </w:tbl>
        <w:p w14:paraId="7A70273C" w14:textId="77777777" w:rsidR="001B1B37" w:rsidRPr="00306D1D" w:rsidRDefault="001B1B37">
          <w:pPr>
            <w:rPr>
              <w:rFonts w:asciiTheme="minorHAnsi" w:hAnsiTheme="minorHAnsi" w:cstheme="minorHAnsi"/>
              <w:szCs w:val="24"/>
            </w:rPr>
          </w:pPr>
        </w:p>
        <w:p w14:paraId="4941C82D" w14:textId="77777777" w:rsidR="001B1B37" w:rsidRPr="00306D1D" w:rsidRDefault="001B1B37">
          <w:pPr>
            <w:rPr>
              <w:rFonts w:asciiTheme="minorHAnsi" w:hAnsiTheme="minorHAnsi" w:cstheme="minorHAnsi"/>
              <w:szCs w:val="24"/>
            </w:rPr>
          </w:pPr>
        </w:p>
        <w:p w14:paraId="55249A1F" w14:textId="77777777" w:rsidR="001B45E3" w:rsidRPr="00306D1D" w:rsidRDefault="004A6039">
          <w:pPr>
            <w:rPr>
              <w:rFonts w:asciiTheme="minorHAnsi" w:hAnsiTheme="minorHAnsi" w:cstheme="minorHAnsi"/>
              <w:szCs w:val="24"/>
            </w:rPr>
          </w:pPr>
        </w:p>
      </w:sdtContent>
    </w:sdt>
    <w:sdt>
      <w:sdtPr>
        <w:rPr>
          <w:rFonts w:asciiTheme="minorHAnsi" w:hAnsiTheme="minorHAnsi" w:cstheme="minorHAnsi"/>
          <w:color w:val="006FB4"/>
          <w:szCs w:val="24"/>
        </w:rPr>
        <w:id w:val="849872350"/>
        <w:docPartObj>
          <w:docPartGallery w:val="Table of Contents"/>
          <w:docPartUnique/>
        </w:docPartObj>
      </w:sdtPr>
      <w:sdtEndPr/>
      <w:sdtContent>
        <w:p w14:paraId="3D0A6AC7" w14:textId="43BE8730" w:rsidR="00B47E72" w:rsidRPr="00306D1D" w:rsidRDefault="00B47E72">
          <w:pPr>
            <w:pStyle w:val="TOCHeading"/>
            <w:rPr>
              <w:rFonts w:asciiTheme="minorHAnsi" w:hAnsiTheme="minorHAnsi" w:cstheme="minorHAnsi"/>
              <w:szCs w:val="24"/>
            </w:rPr>
          </w:pPr>
          <w:r w:rsidRPr="00306D1D">
            <w:rPr>
              <w:rFonts w:asciiTheme="minorHAnsi" w:hAnsiTheme="minorHAnsi" w:cstheme="minorHAnsi"/>
              <w:szCs w:val="24"/>
            </w:rPr>
            <w:t>Contents</w:t>
          </w:r>
        </w:p>
        <w:p w14:paraId="2D55C54A" w14:textId="3C1A12CA" w:rsidR="00EC020F" w:rsidRDefault="00B63701">
          <w:pPr>
            <w:pStyle w:val="TOC1"/>
            <w:tabs>
              <w:tab w:val="left" w:pos="408"/>
            </w:tabs>
            <w:rPr>
              <w:rFonts w:asciiTheme="minorHAnsi" w:eastAsiaTheme="minorEastAsia" w:hAnsiTheme="minorHAnsi" w:cstheme="minorBidi"/>
              <w:b w:val="0"/>
              <w:noProof/>
              <w:color w:val="auto"/>
              <w:sz w:val="22"/>
              <w:szCs w:val="22"/>
              <w:lang w:val="bg-BG" w:eastAsia="bg-BG"/>
            </w:rPr>
          </w:pPr>
          <w:r w:rsidRPr="00306D1D">
            <w:rPr>
              <w:rFonts w:asciiTheme="minorHAnsi" w:hAnsiTheme="minorHAnsi" w:cstheme="minorHAnsi"/>
              <w:szCs w:val="24"/>
            </w:rPr>
            <w:fldChar w:fldCharType="begin"/>
          </w:r>
          <w:r w:rsidR="0CD4123A" w:rsidRPr="00306D1D">
            <w:rPr>
              <w:rFonts w:asciiTheme="minorHAnsi" w:hAnsiTheme="minorHAnsi" w:cstheme="minorHAnsi"/>
              <w:szCs w:val="24"/>
            </w:rPr>
            <w:instrText>TOC \o "1-3" \h \z \u</w:instrText>
          </w:r>
          <w:r w:rsidRPr="00306D1D">
            <w:rPr>
              <w:rFonts w:asciiTheme="minorHAnsi" w:hAnsiTheme="minorHAnsi" w:cstheme="minorHAnsi"/>
              <w:szCs w:val="24"/>
            </w:rPr>
            <w:fldChar w:fldCharType="separate"/>
          </w:r>
          <w:hyperlink w:anchor="_Toc152168104" w:history="1">
            <w:r w:rsidR="00EC020F" w:rsidRPr="00802CB4">
              <w:rPr>
                <w:rStyle w:val="Hyperlink"/>
                <w:rFonts w:cstheme="minorHAnsi"/>
                <w:noProof/>
              </w:rPr>
              <w:t>1.</w:t>
            </w:r>
            <w:r w:rsidR="00EC020F">
              <w:rPr>
                <w:rFonts w:asciiTheme="minorHAnsi" w:eastAsiaTheme="minorEastAsia" w:hAnsiTheme="minorHAnsi" w:cstheme="minorBidi"/>
                <w:b w:val="0"/>
                <w:noProof/>
                <w:color w:val="auto"/>
                <w:sz w:val="22"/>
                <w:szCs w:val="22"/>
                <w:lang w:val="bg-BG" w:eastAsia="bg-BG"/>
              </w:rPr>
              <w:tab/>
            </w:r>
            <w:r w:rsidR="00EC020F" w:rsidRPr="00802CB4">
              <w:rPr>
                <w:rStyle w:val="Hyperlink"/>
                <w:rFonts w:cstheme="minorHAnsi"/>
                <w:noProof/>
              </w:rPr>
              <w:t>Data on persons with disabilities exercising their right to political participation</w:t>
            </w:r>
            <w:r w:rsidR="00EC020F">
              <w:rPr>
                <w:noProof/>
                <w:webHidden/>
              </w:rPr>
              <w:tab/>
            </w:r>
            <w:r w:rsidR="00EC020F">
              <w:rPr>
                <w:noProof/>
                <w:webHidden/>
              </w:rPr>
              <w:fldChar w:fldCharType="begin"/>
            </w:r>
            <w:r w:rsidR="00EC020F">
              <w:rPr>
                <w:noProof/>
                <w:webHidden/>
              </w:rPr>
              <w:instrText xml:space="preserve"> PAGEREF _Toc152168104 \h </w:instrText>
            </w:r>
            <w:r w:rsidR="00EC020F">
              <w:rPr>
                <w:noProof/>
                <w:webHidden/>
              </w:rPr>
            </w:r>
            <w:r w:rsidR="00EC020F">
              <w:rPr>
                <w:noProof/>
                <w:webHidden/>
              </w:rPr>
              <w:fldChar w:fldCharType="separate"/>
            </w:r>
            <w:r w:rsidR="00DD43A2">
              <w:rPr>
                <w:noProof/>
                <w:webHidden/>
              </w:rPr>
              <w:t>3</w:t>
            </w:r>
            <w:r w:rsidR="00EC020F">
              <w:rPr>
                <w:noProof/>
                <w:webHidden/>
              </w:rPr>
              <w:fldChar w:fldCharType="end"/>
            </w:r>
          </w:hyperlink>
        </w:p>
        <w:p w14:paraId="4E7E6B8B" w14:textId="5387FB01" w:rsidR="00EC020F" w:rsidRDefault="004A6039">
          <w:pPr>
            <w:pStyle w:val="TOC1"/>
            <w:tabs>
              <w:tab w:val="left" w:pos="408"/>
            </w:tabs>
            <w:rPr>
              <w:rFonts w:asciiTheme="minorHAnsi" w:eastAsiaTheme="minorEastAsia" w:hAnsiTheme="minorHAnsi" w:cstheme="minorBidi"/>
              <w:b w:val="0"/>
              <w:noProof/>
              <w:color w:val="auto"/>
              <w:sz w:val="22"/>
              <w:szCs w:val="22"/>
              <w:lang w:val="bg-BG" w:eastAsia="bg-BG"/>
            </w:rPr>
          </w:pPr>
          <w:hyperlink w:anchor="_Toc152168105" w:history="1">
            <w:r w:rsidR="00EC020F" w:rsidRPr="00802CB4">
              <w:rPr>
                <w:rStyle w:val="Hyperlink"/>
                <w:rFonts w:cstheme="minorHAnsi"/>
                <w:noProof/>
              </w:rPr>
              <w:t>2.</w:t>
            </w:r>
            <w:r w:rsidR="00EC020F">
              <w:rPr>
                <w:rFonts w:asciiTheme="minorHAnsi" w:eastAsiaTheme="minorEastAsia" w:hAnsiTheme="minorHAnsi" w:cstheme="minorBidi"/>
                <w:b w:val="0"/>
                <w:noProof/>
                <w:color w:val="auto"/>
                <w:sz w:val="22"/>
                <w:szCs w:val="22"/>
                <w:lang w:val="bg-BG" w:eastAsia="bg-BG"/>
              </w:rPr>
              <w:tab/>
            </w:r>
            <w:r w:rsidR="00EC020F" w:rsidRPr="00802CB4">
              <w:rPr>
                <w:rStyle w:val="Hyperlink"/>
                <w:rFonts w:cstheme="minorHAnsi"/>
                <w:noProof/>
              </w:rPr>
              <w:t>Political participation of persons with disabilities in practice</w:t>
            </w:r>
            <w:r w:rsidR="00EC020F">
              <w:rPr>
                <w:noProof/>
                <w:webHidden/>
              </w:rPr>
              <w:tab/>
            </w:r>
            <w:r w:rsidR="00EC020F">
              <w:rPr>
                <w:noProof/>
                <w:webHidden/>
              </w:rPr>
              <w:fldChar w:fldCharType="begin"/>
            </w:r>
            <w:r w:rsidR="00EC020F">
              <w:rPr>
                <w:noProof/>
                <w:webHidden/>
              </w:rPr>
              <w:instrText xml:space="preserve"> PAGEREF _Toc152168105 \h </w:instrText>
            </w:r>
            <w:r w:rsidR="00EC020F">
              <w:rPr>
                <w:noProof/>
                <w:webHidden/>
              </w:rPr>
            </w:r>
            <w:r w:rsidR="00EC020F">
              <w:rPr>
                <w:noProof/>
                <w:webHidden/>
              </w:rPr>
              <w:fldChar w:fldCharType="separate"/>
            </w:r>
            <w:r w:rsidR="00DD43A2">
              <w:rPr>
                <w:noProof/>
                <w:webHidden/>
              </w:rPr>
              <w:t>27</w:t>
            </w:r>
            <w:r w:rsidR="00EC020F">
              <w:rPr>
                <w:noProof/>
                <w:webHidden/>
              </w:rPr>
              <w:fldChar w:fldCharType="end"/>
            </w:r>
          </w:hyperlink>
        </w:p>
        <w:p w14:paraId="62F08E28" w14:textId="5755FEB1" w:rsidR="00EC020F" w:rsidRDefault="004A6039">
          <w:pPr>
            <w:pStyle w:val="TOC2"/>
            <w:tabs>
              <w:tab w:val="left" w:pos="612"/>
            </w:tabs>
            <w:rPr>
              <w:rFonts w:asciiTheme="minorHAnsi" w:eastAsiaTheme="minorEastAsia" w:hAnsiTheme="minorHAnsi" w:cstheme="minorBidi"/>
              <w:b w:val="0"/>
              <w:noProof/>
              <w:color w:val="auto"/>
              <w:sz w:val="22"/>
              <w:szCs w:val="22"/>
              <w:lang w:val="bg-BG" w:eastAsia="bg-BG"/>
            </w:rPr>
          </w:pPr>
          <w:hyperlink w:anchor="_Toc152168106" w:history="1">
            <w:r w:rsidR="00EC020F" w:rsidRPr="00802CB4">
              <w:rPr>
                <w:rStyle w:val="Hyperlink"/>
                <w:rFonts w:cstheme="minorHAnsi"/>
                <w:noProof/>
              </w:rPr>
              <w:t>2.1.</w:t>
            </w:r>
            <w:r w:rsidR="00EC020F">
              <w:rPr>
                <w:rFonts w:asciiTheme="minorHAnsi" w:eastAsiaTheme="minorEastAsia" w:hAnsiTheme="minorHAnsi" w:cstheme="minorBidi"/>
                <w:b w:val="0"/>
                <w:noProof/>
                <w:color w:val="auto"/>
                <w:sz w:val="22"/>
                <w:szCs w:val="22"/>
                <w:lang w:val="bg-BG" w:eastAsia="bg-BG"/>
              </w:rPr>
              <w:tab/>
            </w:r>
            <w:r w:rsidR="00EC020F" w:rsidRPr="00802CB4">
              <w:rPr>
                <w:rStyle w:val="Hyperlink"/>
                <w:rFonts w:cstheme="minorHAnsi"/>
                <w:noProof/>
              </w:rPr>
              <w:t>Positive and negative key development as regards political participation of persons with disabilities</w:t>
            </w:r>
            <w:r w:rsidR="00EC020F">
              <w:rPr>
                <w:noProof/>
                <w:webHidden/>
              </w:rPr>
              <w:tab/>
            </w:r>
            <w:r w:rsidR="00EC020F">
              <w:rPr>
                <w:noProof/>
                <w:webHidden/>
              </w:rPr>
              <w:fldChar w:fldCharType="begin"/>
            </w:r>
            <w:r w:rsidR="00EC020F">
              <w:rPr>
                <w:noProof/>
                <w:webHidden/>
              </w:rPr>
              <w:instrText xml:space="preserve"> PAGEREF _Toc152168106 \h </w:instrText>
            </w:r>
            <w:r w:rsidR="00EC020F">
              <w:rPr>
                <w:noProof/>
                <w:webHidden/>
              </w:rPr>
            </w:r>
            <w:r w:rsidR="00EC020F">
              <w:rPr>
                <w:noProof/>
                <w:webHidden/>
              </w:rPr>
              <w:fldChar w:fldCharType="separate"/>
            </w:r>
            <w:r w:rsidR="00DD43A2">
              <w:rPr>
                <w:noProof/>
                <w:webHidden/>
              </w:rPr>
              <w:t>27</w:t>
            </w:r>
            <w:r w:rsidR="00EC020F">
              <w:rPr>
                <w:noProof/>
                <w:webHidden/>
              </w:rPr>
              <w:fldChar w:fldCharType="end"/>
            </w:r>
          </w:hyperlink>
        </w:p>
        <w:p w14:paraId="418A8C7E" w14:textId="23AC600F" w:rsidR="00EC020F" w:rsidRDefault="004A6039">
          <w:pPr>
            <w:pStyle w:val="TOC2"/>
            <w:tabs>
              <w:tab w:val="left" w:pos="612"/>
            </w:tabs>
            <w:rPr>
              <w:rFonts w:asciiTheme="minorHAnsi" w:eastAsiaTheme="minorEastAsia" w:hAnsiTheme="minorHAnsi" w:cstheme="minorBidi"/>
              <w:b w:val="0"/>
              <w:noProof/>
              <w:color w:val="auto"/>
              <w:sz w:val="22"/>
              <w:szCs w:val="22"/>
              <w:lang w:val="bg-BG" w:eastAsia="bg-BG"/>
            </w:rPr>
          </w:pPr>
          <w:hyperlink w:anchor="_Toc152168107" w:history="1">
            <w:r w:rsidR="00EC020F" w:rsidRPr="00802CB4">
              <w:rPr>
                <w:rStyle w:val="Hyperlink"/>
                <w:rFonts w:cstheme="minorHAnsi"/>
                <w:noProof/>
              </w:rPr>
              <w:t>2.2.</w:t>
            </w:r>
            <w:r w:rsidR="00EC020F">
              <w:rPr>
                <w:rFonts w:asciiTheme="minorHAnsi" w:eastAsiaTheme="minorEastAsia" w:hAnsiTheme="minorHAnsi" w:cstheme="minorBidi"/>
                <w:b w:val="0"/>
                <w:noProof/>
                <w:color w:val="auto"/>
                <w:sz w:val="22"/>
                <w:szCs w:val="22"/>
                <w:lang w:val="bg-BG" w:eastAsia="bg-BG"/>
              </w:rPr>
              <w:tab/>
            </w:r>
            <w:r w:rsidR="00EC020F" w:rsidRPr="00802CB4">
              <w:rPr>
                <w:rStyle w:val="Hyperlink"/>
                <w:rFonts w:cstheme="minorHAnsi"/>
                <w:noProof/>
              </w:rPr>
              <w:t>Political participation: Promising practices</w:t>
            </w:r>
            <w:r w:rsidR="00EC020F">
              <w:rPr>
                <w:noProof/>
                <w:webHidden/>
              </w:rPr>
              <w:tab/>
            </w:r>
            <w:r w:rsidR="00EC020F">
              <w:rPr>
                <w:noProof/>
                <w:webHidden/>
              </w:rPr>
              <w:fldChar w:fldCharType="begin"/>
            </w:r>
            <w:r w:rsidR="00EC020F">
              <w:rPr>
                <w:noProof/>
                <w:webHidden/>
              </w:rPr>
              <w:instrText xml:space="preserve"> PAGEREF _Toc152168107 \h </w:instrText>
            </w:r>
            <w:r w:rsidR="00EC020F">
              <w:rPr>
                <w:noProof/>
                <w:webHidden/>
              </w:rPr>
            </w:r>
            <w:r w:rsidR="00EC020F">
              <w:rPr>
                <w:noProof/>
                <w:webHidden/>
              </w:rPr>
              <w:fldChar w:fldCharType="separate"/>
            </w:r>
            <w:r w:rsidR="00DD43A2">
              <w:rPr>
                <w:noProof/>
                <w:webHidden/>
              </w:rPr>
              <w:t>30</w:t>
            </w:r>
            <w:r w:rsidR="00EC020F">
              <w:rPr>
                <w:noProof/>
                <w:webHidden/>
              </w:rPr>
              <w:fldChar w:fldCharType="end"/>
            </w:r>
          </w:hyperlink>
        </w:p>
        <w:p w14:paraId="38758788" w14:textId="7C7B9D7D" w:rsidR="00B63701" w:rsidRPr="00306D1D" w:rsidRDefault="00B63701" w:rsidP="2141E379">
          <w:pPr>
            <w:pStyle w:val="TOC2"/>
            <w:tabs>
              <w:tab w:val="clear" w:pos="8504"/>
              <w:tab w:val="left" w:pos="720"/>
              <w:tab w:val="right" w:leader="dot" w:pos="8490"/>
            </w:tabs>
            <w:rPr>
              <w:rStyle w:val="Hyperlink"/>
              <w:rFonts w:asciiTheme="minorHAnsi" w:hAnsiTheme="minorHAnsi" w:cstheme="minorHAnsi"/>
              <w:noProof/>
              <w:kern w:val="2"/>
              <w:szCs w:val="24"/>
              <w:lang w:val="fr-FR" w:eastAsia="fr-FR"/>
              <w14:ligatures w14:val="standardContextual"/>
            </w:rPr>
          </w:pPr>
          <w:r w:rsidRPr="00306D1D">
            <w:rPr>
              <w:rFonts w:asciiTheme="minorHAnsi" w:hAnsiTheme="minorHAnsi" w:cstheme="minorHAnsi"/>
              <w:szCs w:val="24"/>
            </w:rPr>
            <w:fldChar w:fldCharType="end"/>
          </w:r>
        </w:p>
      </w:sdtContent>
    </w:sdt>
    <w:p w14:paraId="52F6D9A5" w14:textId="0FDD3F94" w:rsidR="0CD4123A" w:rsidRPr="00306D1D" w:rsidRDefault="0CD4123A" w:rsidP="00236602">
      <w:pPr>
        <w:pStyle w:val="TOC1"/>
        <w:tabs>
          <w:tab w:val="clear" w:pos="8504"/>
          <w:tab w:val="right" w:leader="dot" w:pos="8490"/>
        </w:tabs>
        <w:rPr>
          <w:rStyle w:val="Hyperlink"/>
          <w:rFonts w:asciiTheme="minorHAnsi" w:hAnsiTheme="minorHAnsi" w:cstheme="minorHAnsi"/>
          <w:b w:val="0"/>
          <w:szCs w:val="24"/>
        </w:rPr>
      </w:pPr>
    </w:p>
    <w:p w14:paraId="53AF2F08" w14:textId="53EDD068" w:rsidR="00B47E72" w:rsidRPr="00306D1D" w:rsidRDefault="00B47E72">
      <w:pPr>
        <w:rPr>
          <w:rFonts w:asciiTheme="minorHAnsi" w:hAnsiTheme="minorHAnsi" w:cstheme="minorHAnsi"/>
          <w:szCs w:val="24"/>
        </w:rPr>
      </w:pPr>
    </w:p>
    <w:p w14:paraId="0F11C898" w14:textId="77777777" w:rsidR="004231F5" w:rsidRPr="00306D1D" w:rsidRDefault="004231F5" w:rsidP="004231F5">
      <w:pPr>
        <w:rPr>
          <w:rFonts w:asciiTheme="minorHAnsi" w:hAnsiTheme="minorHAnsi" w:cstheme="minorHAnsi"/>
          <w:szCs w:val="24"/>
        </w:rPr>
      </w:pPr>
    </w:p>
    <w:p w14:paraId="7DD60D47" w14:textId="522EB76D" w:rsidR="002432A7" w:rsidRPr="00306D1D" w:rsidRDefault="002432A7" w:rsidP="439E96B0">
      <w:pPr>
        <w:pStyle w:val="HeadingNumbered1"/>
        <w:numPr>
          <w:ilvl w:val="0"/>
          <w:numId w:val="0"/>
        </w:numPr>
        <w:rPr>
          <w:rFonts w:asciiTheme="minorHAnsi" w:hAnsiTheme="minorHAnsi" w:cstheme="minorHAnsi"/>
          <w:sz w:val="24"/>
          <w:szCs w:val="24"/>
        </w:rPr>
        <w:sectPr w:rsidR="002432A7" w:rsidRPr="00306D1D" w:rsidSect="005D6899">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BF1EFB" w:rsidRDefault="005003F9" w:rsidP="005003F9">
      <w:pPr>
        <w:pStyle w:val="HeadingNumbered1"/>
        <w:rPr>
          <w:rFonts w:asciiTheme="minorHAnsi" w:hAnsiTheme="minorHAnsi" w:cstheme="minorHAnsi"/>
          <w:szCs w:val="24"/>
        </w:rPr>
      </w:pPr>
      <w:bookmarkStart w:id="0" w:name="_Toc152168104"/>
      <w:r w:rsidRPr="00BF1EFB">
        <w:rPr>
          <w:rFonts w:asciiTheme="minorHAnsi" w:hAnsiTheme="minorHAnsi" w:cstheme="minorHAnsi"/>
          <w:szCs w:val="24"/>
        </w:rPr>
        <w:lastRenderedPageBreak/>
        <w:t>Data on persons with disabilities exercising their right to political participation</w:t>
      </w:r>
      <w:bookmarkEnd w:id="0"/>
    </w:p>
    <w:p w14:paraId="5A92937D" w14:textId="5FB57E6F" w:rsidR="00FD4CB2" w:rsidRPr="00BF1EFB" w:rsidRDefault="00FD4CB2">
      <w:pPr>
        <w:pStyle w:val="TableTitle"/>
        <w:rPr>
          <w:rFonts w:asciiTheme="minorHAnsi" w:hAnsiTheme="minorHAnsi" w:cstheme="minorHAnsi"/>
          <w:szCs w:val="24"/>
        </w:rPr>
      </w:pPr>
      <w:r w:rsidRPr="00BF1EFB">
        <w:rPr>
          <w:rFonts w:asciiTheme="minorHAnsi" w:hAnsiTheme="minorHAnsi" w:cstheme="minorHAnsi"/>
          <w:szCs w:val="24"/>
        </w:rPr>
        <w:t xml:space="preserve">Table </w:t>
      </w:r>
      <w:r w:rsidR="00485240" w:rsidRPr="00BF1EFB">
        <w:rPr>
          <w:rFonts w:asciiTheme="minorHAnsi" w:hAnsiTheme="minorHAnsi" w:cstheme="minorHAnsi"/>
          <w:szCs w:val="24"/>
        </w:rPr>
        <w:fldChar w:fldCharType="begin"/>
      </w:r>
      <w:r w:rsidR="00485240" w:rsidRPr="00BF1EFB">
        <w:rPr>
          <w:rFonts w:asciiTheme="minorHAnsi" w:hAnsiTheme="minorHAnsi" w:cstheme="minorHAnsi"/>
          <w:szCs w:val="24"/>
        </w:rPr>
        <w:instrText xml:space="preserve"> SEQ Table \* ARABIC </w:instrText>
      </w:r>
      <w:r w:rsidR="00485240" w:rsidRPr="00BF1EFB">
        <w:rPr>
          <w:rFonts w:asciiTheme="minorHAnsi" w:hAnsiTheme="minorHAnsi" w:cstheme="minorHAnsi"/>
          <w:szCs w:val="24"/>
        </w:rPr>
        <w:fldChar w:fldCharType="separate"/>
      </w:r>
      <w:r w:rsidR="00BC08BB" w:rsidRPr="00BF1EFB">
        <w:rPr>
          <w:rFonts w:asciiTheme="minorHAnsi" w:hAnsiTheme="minorHAnsi" w:cstheme="minorHAnsi"/>
          <w:noProof/>
          <w:szCs w:val="24"/>
        </w:rPr>
        <w:t>1</w:t>
      </w:r>
      <w:r w:rsidR="00485240" w:rsidRPr="00BF1EFB">
        <w:rPr>
          <w:rFonts w:asciiTheme="minorHAnsi" w:hAnsiTheme="minorHAnsi" w:cstheme="minorHAnsi"/>
          <w:noProof/>
          <w:szCs w:val="24"/>
        </w:rPr>
        <w:fldChar w:fldCharType="end"/>
      </w:r>
      <w:r w:rsidRPr="00BF1EFB">
        <w:rPr>
          <w:rFonts w:asciiTheme="minorHAnsi" w:hAnsiTheme="minorHAnsi" w:cstheme="minorHAnsi"/>
          <w:szCs w:val="24"/>
        </w:rPr>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306D1D" w14:paraId="5B6BBB24" w14:textId="77777777" w:rsidTr="00CC2CCC">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306D1D" w:rsidRDefault="00566A68" w:rsidP="0055306F">
            <w:pPr>
              <w:pStyle w:val="FRABodyText"/>
              <w:rPr>
                <w:color w:val="auto"/>
              </w:rPr>
            </w:pPr>
            <w:r w:rsidRPr="00306D1D">
              <w:t>Indicator</w:t>
            </w:r>
          </w:p>
          <w:p w14:paraId="4277CA28" w14:textId="77777777" w:rsidR="00566A68" w:rsidRPr="00306D1D" w:rsidRDefault="00566A68" w:rsidP="0055306F">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306D1D" w:rsidRDefault="00566A68" w:rsidP="0055306F">
            <w:pPr>
              <w:pStyle w:val="FRABodyText"/>
              <w:rPr>
                <w:color w:val="auto"/>
              </w:rPr>
            </w:pPr>
            <w:r w:rsidRPr="00306D1D">
              <w:t>Answer</w:t>
            </w:r>
          </w:p>
          <w:p w14:paraId="152D096D" w14:textId="77777777" w:rsidR="00566A68" w:rsidRPr="00306D1D" w:rsidRDefault="00566A68" w:rsidP="0055306F">
            <w:pPr>
              <w:pStyle w:val="FRABodyText"/>
              <w:rPr>
                <w:color w:val="auto"/>
              </w:rPr>
            </w:pPr>
            <w:r w:rsidRPr="00306D1D">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306D1D" w:rsidRDefault="00566A68" w:rsidP="0055306F">
            <w:pPr>
              <w:pStyle w:val="FRABodyText"/>
              <w:rPr>
                <w:color w:val="auto"/>
              </w:rPr>
            </w:pPr>
            <w:r w:rsidRPr="00306D1D">
              <w:t xml:space="preserve">Source and </w:t>
            </w:r>
            <w:r w:rsidR="004512DA" w:rsidRPr="00306D1D">
              <w:t>brief description/assessment</w:t>
            </w:r>
            <w:r w:rsidRPr="00306D1D">
              <w:t xml:space="preserve"> </w:t>
            </w:r>
          </w:p>
        </w:tc>
      </w:tr>
      <w:tr w:rsidR="00CC2CCC" w:rsidRPr="00306D1D" w14:paraId="12E136C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BF1EFB" w:rsidRDefault="00566A68" w:rsidP="0055306F">
            <w:pPr>
              <w:pStyle w:val="FRABodyText"/>
            </w:pPr>
            <w:r w:rsidRPr="00BF1EFB">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6FEA16" w14:textId="7587B7C0" w:rsidR="00566A68" w:rsidRPr="00BF1EFB" w:rsidRDefault="00566A68" w:rsidP="0055306F">
            <w:pPr>
              <w:pStyle w:val="FRABodyText"/>
            </w:pPr>
            <w:r w:rsidRPr="00BF1EFB">
              <w:t>National disability strategies do not address political participation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5741F4A" w14:textId="0F196A5C" w:rsidR="00566A68" w:rsidRPr="00BF1EFB" w:rsidRDefault="00147569" w:rsidP="0055306F">
            <w:pPr>
              <w:pStyle w:val="FRABodyText"/>
            </w:pPr>
            <w:r w:rsidRPr="00BF1EFB">
              <w:t>In Bulgaria, t</w:t>
            </w:r>
            <w:r w:rsidR="008D54CC" w:rsidRPr="00BF1EFB">
              <w:t xml:space="preserve">he </w:t>
            </w:r>
            <w:r w:rsidR="006A2988" w:rsidRPr="00BF1EFB">
              <w:t xml:space="preserve">National Disability Strategy 2021 </w:t>
            </w:r>
            <w:r w:rsidR="00905B5B">
              <w:t>–</w:t>
            </w:r>
            <w:r w:rsidR="006A2988" w:rsidRPr="00BF1EFB">
              <w:t xml:space="preserve"> 2030 (</w:t>
            </w:r>
            <w:r w:rsidR="006A2988" w:rsidRPr="00905B5B">
              <w:rPr>
                <w:i/>
                <w:lang w:val="bg-BG"/>
              </w:rPr>
              <w:t>Национална стратегия за хората с увреждания 2021 – 2030 г.</w:t>
            </w:r>
            <w:r w:rsidR="006A2988" w:rsidRPr="00BF1EFB">
              <w:t>)</w:t>
            </w:r>
            <w:r w:rsidR="006A2988" w:rsidRPr="00BF1EFB">
              <w:rPr>
                <w:rStyle w:val="FootnoteReference"/>
                <w:rFonts w:ascii="Verdana" w:hAnsi="Verdana"/>
                <w:sz w:val="20"/>
                <w:szCs w:val="20"/>
              </w:rPr>
              <w:footnoteReference w:id="2"/>
            </w:r>
            <w:r w:rsidR="006A2988" w:rsidRPr="00BF1EFB">
              <w:t xml:space="preserve"> </w:t>
            </w:r>
            <w:r w:rsidR="008D54CC" w:rsidRPr="00BF1EFB">
              <w:t>lists among its main principles “</w:t>
            </w:r>
            <w:r w:rsidR="00905B5B">
              <w:t>f</w:t>
            </w:r>
            <w:r w:rsidR="006A2988" w:rsidRPr="00BF1EFB">
              <w:t>ull and effective participation in community life</w:t>
            </w:r>
            <w:r w:rsidR="008D54CC" w:rsidRPr="00BF1EFB">
              <w:t>”</w:t>
            </w:r>
            <w:r w:rsidR="006A2988" w:rsidRPr="00BF1EFB">
              <w:t xml:space="preserve">. Nonetheless, there are no priorities or measures </w:t>
            </w:r>
            <w:r w:rsidR="00905B5B">
              <w:t xml:space="preserve">specifically </w:t>
            </w:r>
            <w:r w:rsidR="00C60562" w:rsidRPr="00BF1EFB">
              <w:t xml:space="preserve">targeting </w:t>
            </w:r>
            <w:r w:rsidR="006A2988" w:rsidRPr="00BF1EFB">
              <w:t>political participation.</w:t>
            </w:r>
          </w:p>
        </w:tc>
      </w:tr>
      <w:tr w:rsidR="00CC2CCC" w:rsidRPr="00BF1EFB" w14:paraId="6862349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BF1EFB" w:rsidRDefault="002402C9" w:rsidP="0055306F">
            <w:pPr>
              <w:pStyle w:val="FRABodyText"/>
            </w:pPr>
            <w:r w:rsidRPr="00BF1EFB">
              <w:t xml:space="preserve">Can persons deprived of legal capacity </w:t>
            </w:r>
            <w:r w:rsidR="158FA834" w:rsidRPr="00BF1EFB">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F36A6F" w14:textId="77777777" w:rsidR="00566A68" w:rsidRPr="00BF1EFB" w:rsidRDefault="00566A68" w:rsidP="0055306F">
            <w:pPr>
              <w:pStyle w:val="FRABodyText"/>
            </w:pPr>
            <w:r w:rsidRPr="00BF1EFB">
              <w:t>Exclusion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F472BA4" w14:textId="1C48ECD3" w:rsidR="00566A68" w:rsidRPr="00BF1EFB" w:rsidRDefault="00CF7EC5" w:rsidP="0055306F">
            <w:pPr>
              <w:pStyle w:val="FRABodyText"/>
              <w:rPr>
                <w:lang w:val="bg-BG"/>
              </w:rPr>
            </w:pPr>
            <w:r w:rsidRPr="00BF1EFB">
              <w:t>In Bulgaria, p</w:t>
            </w:r>
            <w:r w:rsidR="00B05BFF" w:rsidRPr="00BF1EFB">
              <w:t xml:space="preserve">eople deprived of legal capacity </w:t>
            </w:r>
            <w:r w:rsidR="00933536" w:rsidRPr="00BF1EFB">
              <w:t xml:space="preserve">do not have the right to </w:t>
            </w:r>
            <w:r w:rsidR="009B6BDF">
              <w:t xml:space="preserve">vote </w:t>
            </w:r>
            <w:r w:rsidR="00AA20AF">
              <w:t>in</w:t>
            </w:r>
            <w:r w:rsidR="00933536" w:rsidRPr="00BF1EFB">
              <w:t xml:space="preserve"> European Parliament</w:t>
            </w:r>
            <w:r w:rsidR="00AA20AF">
              <w:t xml:space="preserve"> elections</w:t>
            </w:r>
            <w:r w:rsidR="00933536" w:rsidRPr="00BF1EFB">
              <w:t xml:space="preserve">, </w:t>
            </w:r>
            <w:r w:rsidR="00AA20AF">
              <w:t xml:space="preserve">national parliamentary </w:t>
            </w:r>
            <w:r w:rsidR="00AA20AF">
              <w:lastRenderedPageBreak/>
              <w:t xml:space="preserve">elections, local elections </w:t>
            </w:r>
            <w:r w:rsidR="00933536" w:rsidRPr="00BF1EFB">
              <w:t>and referendums.</w:t>
            </w:r>
            <w:r w:rsidR="00030679" w:rsidRPr="00BF1EFB">
              <w:rPr>
                <w:rStyle w:val="FootnoteReference"/>
                <w:rFonts w:ascii="Verdana" w:hAnsi="Verdana"/>
                <w:sz w:val="20"/>
                <w:szCs w:val="20"/>
              </w:rPr>
              <w:footnoteReference w:id="3"/>
            </w:r>
            <w:r w:rsidR="00933536" w:rsidRPr="00BF1EFB">
              <w:t xml:space="preserve"> People deprived of legal capacity by final court decision </w:t>
            </w:r>
            <w:r w:rsidR="00B05BFF" w:rsidRPr="00BF1EFB">
              <w:t xml:space="preserve">are </w:t>
            </w:r>
            <w:r w:rsidR="00AA20AF">
              <w:t>deleted</w:t>
            </w:r>
            <w:r w:rsidR="00B05BFF" w:rsidRPr="00BF1EFB">
              <w:t xml:space="preserve"> from voting lists.</w:t>
            </w:r>
            <w:r w:rsidR="009266BD" w:rsidRPr="00BF1EFB">
              <w:rPr>
                <w:rStyle w:val="FootnoteReference"/>
                <w:rFonts w:ascii="Verdana" w:hAnsi="Verdana"/>
                <w:sz w:val="20"/>
                <w:szCs w:val="20"/>
              </w:rPr>
              <w:footnoteReference w:id="4"/>
            </w:r>
            <w:r w:rsidR="00B05BFF" w:rsidRPr="00BF1EFB">
              <w:t xml:space="preserve"> </w:t>
            </w:r>
          </w:p>
        </w:tc>
      </w:tr>
      <w:tr w:rsidR="00CC2CCC" w:rsidRPr="00BF1EFB" w14:paraId="2B8356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C40E126" w14:textId="34B213C0" w:rsidR="00566A68" w:rsidRPr="00BF1EFB" w:rsidRDefault="00566A68" w:rsidP="0055306F">
            <w:pPr>
              <w:pStyle w:val="FRABodyText"/>
            </w:pPr>
            <w:r w:rsidRPr="00BF1EFB">
              <w:lastRenderedPageBreak/>
              <w:t>Is there a requirement under law to register to vote?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B9D528" w14:textId="77777777" w:rsidR="00566A68" w:rsidRPr="00BF1EFB" w:rsidRDefault="00566A68" w:rsidP="0055306F">
            <w:pPr>
              <w:pStyle w:val="FRABodyText"/>
            </w:pPr>
            <w:r w:rsidRPr="00BF1EFB">
              <w:t xml:space="preserve">No, automatic registration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332E48" w14:textId="714BEA87" w:rsidR="00566A68" w:rsidRPr="004F1BFA" w:rsidRDefault="00B262FF" w:rsidP="00AA20AF">
            <w:pPr>
              <w:jc w:val="both"/>
              <w:rPr>
                <w:rFonts w:asciiTheme="minorHAnsi" w:hAnsiTheme="minorHAnsi" w:cstheme="minorHAnsi"/>
                <w:szCs w:val="24"/>
                <w:lang w:eastAsia="en-IE" w:bidi="en-US"/>
              </w:rPr>
            </w:pPr>
            <w:r w:rsidRPr="004F1BFA">
              <w:rPr>
                <w:rFonts w:asciiTheme="minorHAnsi" w:hAnsiTheme="minorHAnsi" w:cstheme="minorHAnsi"/>
                <w:szCs w:val="24"/>
                <w:lang w:eastAsia="en-IE" w:bidi="en-US"/>
              </w:rPr>
              <w:t xml:space="preserve">Each municipality </w:t>
            </w:r>
            <w:r w:rsidR="00AA20AF" w:rsidRPr="004F1BFA">
              <w:rPr>
                <w:rFonts w:asciiTheme="minorHAnsi" w:hAnsiTheme="minorHAnsi" w:cstheme="minorHAnsi"/>
                <w:szCs w:val="24"/>
                <w:lang w:val="en-US" w:eastAsia="en-IE" w:bidi="en-US"/>
              </w:rPr>
              <w:t>draws up electoral</w:t>
            </w:r>
            <w:r w:rsidR="00D8204A" w:rsidRPr="004F1BFA">
              <w:rPr>
                <w:rFonts w:asciiTheme="minorHAnsi" w:hAnsiTheme="minorHAnsi" w:cstheme="minorHAnsi"/>
                <w:szCs w:val="24"/>
                <w:lang w:eastAsia="en-IE" w:bidi="en-US"/>
              </w:rPr>
              <w:t xml:space="preserve"> lists of people with voting rights whose permanent address is on </w:t>
            </w:r>
            <w:r w:rsidR="00AA20AF" w:rsidRPr="004F1BFA">
              <w:rPr>
                <w:rFonts w:asciiTheme="minorHAnsi" w:hAnsiTheme="minorHAnsi" w:cstheme="minorHAnsi"/>
                <w:szCs w:val="24"/>
                <w:lang w:eastAsia="en-IE" w:bidi="en-US"/>
              </w:rPr>
              <w:t>their</w:t>
            </w:r>
            <w:r w:rsidR="00D8204A" w:rsidRPr="004F1BFA">
              <w:rPr>
                <w:rFonts w:asciiTheme="minorHAnsi" w:hAnsiTheme="minorHAnsi" w:cstheme="minorHAnsi"/>
                <w:szCs w:val="24"/>
                <w:lang w:eastAsia="en-IE" w:bidi="en-US"/>
              </w:rPr>
              <w:t xml:space="preserve"> territory.</w:t>
            </w:r>
            <w:r w:rsidR="00D8204A" w:rsidRPr="004F1BFA">
              <w:rPr>
                <w:rStyle w:val="FootnoteReference"/>
                <w:rFonts w:asciiTheme="minorHAnsi" w:hAnsiTheme="minorHAnsi" w:cstheme="minorHAnsi"/>
                <w:szCs w:val="24"/>
                <w:lang w:eastAsia="en-IE" w:bidi="en-US"/>
              </w:rPr>
              <w:footnoteReference w:id="5"/>
            </w:r>
            <w:r w:rsidR="0054331F" w:rsidRPr="004F1BFA">
              <w:rPr>
                <w:rFonts w:asciiTheme="minorHAnsi" w:hAnsiTheme="minorHAnsi" w:cstheme="minorHAnsi"/>
                <w:szCs w:val="24"/>
                <w:lang w:eastAsia="en-IE" w:bidi="en-US"/>
              </w:rPr>
              <w:t xml:space="preserve"> </w:t>
            </w:r>
            <w:r w:rsidR="00615FC0" w:rsidRPr="004F1BFA">
              <w:rPr>
                <w:rFonts w:asciiTheme="minorHAnsi" w:hAnsiTheme="minorHAnsi" w:cstheme="minorHAnsi"/>
                <w:szCs w:val="24"/>
                <w:lang w:eastAsia="en-IE" w:bidi="en-US"/>
              </w:rPr>
              <w:t xml:space="preserve">The lists are </w:t>
            </w:r>
            <w:r w:rsidR="00AA20AF" w:rsidRPr="004F1BFA">
              <w:rPr>
                <w:rFonts w:asciiTheme="minorHAnsi" w:hAnsiTheme="minorHAnsi" w:cstheme="minorHAnsi"/>
                <w:szCs w:val="24"/>
                <w:lang w:eastAsia="en-IE" w:bidi="en-US"/>
              </w:rPr>
              <w:t>made public</w:t>
            </w:r>
            <w:r w:rsidR="00615FC0" w:rsidRPr="004F1BFA">
              <w:rPr>
                <w:rFonts w:asciiTheme="minorHAnsi" w:hAnsiTheme="minorHAnsi" w:cstheme="minorHAnsi"/>
                <w:szCs w:val="24"/>
                <w:lang w:eastAsia="en-IE" w:bidi="en-US"/>
              </w:rPr>
              <w:t xml:space="preserve"> and </w:t>
            </w:r>
            <w:r w:rsidR="00AA20AF" w:rsidRPr="004F1BFA">
              <w:rPr>
                <w:rFonts w:asciiTheme="minorHAnsi" w:hAnsiTheme="minorHAnsi" w:cstheme="minorHAnsi"/>
                <w:szCs w:val="24"/>
                <w:lang w:eastAsia="en-IE" w:bidi="en-US"/>
              </w:rPr>
              <w:t>anyone</w:t>
            </w:r>
            <w:r w:rsidR="00615FC0" w:rsidRPr="004F1BFA">
              <w:rPr>
                <w:rFonts w:asciiTheme="minorHAnsi" w:hAnsiTheme="minorHAnsi" w:cstheme="minorHAnsi"/>
                <w:szCs w:val="24"/>
                <w:lang w:eastAsia="en-IE" w:bidi="en-US"/>
              </w:rPr>
              <w:t xml:space="preserve"> who </w:t>
            </w:r>
            <w:r w:rsidR="007A2ECC" w:rsidRPr="004F1BFA">
              <w:rPr>
                <w:rFonts w:asciiTheme="minorHAnsi" w:hAnsiTheme="minorHAnsi" w:cstheme="minorHAnsi"/>
                <w:szCs w:val="24"/>
                <w:lang w:eastAsia="en-IE" w:bidi="en-US"/>
              </w:rPr>
              <w:t xml:space="preserve">is not on the list but wants to be added </w:t>
            </w:r>
            <w:r w:rsidR="00615FC0" w:rsidRPr="004F1BFA">
              <w:rPr>
                <w:rFonts w:asciiTheme="minorHAnsi" w:hAnsiTheme="minorHAnsi" w:cstheme="minorHAnsi"/>
                <w:szCs w:val="24"/>
                <w:lang w:eastAsia="en-IE" w:bidi="en-US"/>
              </w:rPr>
              <w:t xml:space="preserve">should contact the local authorities and prove their right to be </w:t>
            </w:r>
            <w:r w:rsidR="007A2ECC" w:rsidRPr="004F1BFA">
              <w:rPr>
                <w:rFonts w:asciiTheme="minorHAnsi" w:hAnsiTheme="minorHAnsi" w:cstheme="minorHAnsi"/>
                <w:szCs w:val="24"/>
                <w:lang w:eastAsia="en-IE" w:bidi="en-US"/>
              </w:rPr>
              <w:t>on the list</w:t>
            </w:r>
            <w:r w:rsidR="00615FC0" w:rsidRPr="004F1BFA">
              <w:rPr>
                <w:rFonts w:asciiTheme="minorHAnsi" w:hAnsiTheme="minorHAnsi" w:cstheme="minorHAnsi"/>
                <w:szCs w:val="24"/>
                <w:lang w:eastAsia="en-IE" w:bidi="en-US"/>
              </w:rPr>
              <w:t xml:space="preserve"> (by </w:t>
            </w:r>
            <w:r w:rsidR="007A2ECC" w:rsidRPr="004F1BFA">
              <w:rPr>
                <w:rFonts w:asciiTheme="minorHAnsi" w:hAnsiTheme="minorHAnsi" w:cstheme="minorHAnsi"/>
                <w:szCs w:val="24"/>
                <w:lang w:eastAsia="en-IE" w:bidi="en-US"/>
              </w:rPr>
              <w:t>presenting evidence for</w:t>
            </w:r>
            <w:r w:rsidR="00615FC0" w:rsidRPr="004F1BFA">
              <w:rPr>
                <w:rFonts w:asciiTheme="minorHAnsi" w:hAnsiTheme="minorHAnsi" w:cstheme="minorHAnsi"/>
                <w:szCs w:val="24"/>
                <w:lang w:eastAsia="en-IE" w:bidi="en-US"/>
              </w:rPr>
              <w:t xml:space="preserve"> </w:t>
            </w:r>
            <w:r w:rsidR="007A2ECC" w:rsidRPr="004F1BFA">
              <w:rPr>
                <w:rFonts w:asciiTheme="minorHAnsi" w:hAnsiTheme="minorHAnsi" w:cstheme="minorHAnsi"/>
                <w:szCs w:val="24"/>
                <w:lang w:eastAsia="en-IE" w:bidi="en-US"/>
              </w:rPr>
              <w:t xml:space="preserve">their </w:t>
            </w:r>
            <w:r w:rsidR="00615FC0" w:rsidRPr="004F1BFA">
              <w:rPr>
                <w:rFonts w:asciiTheme="minorHAnsi" w:hAnsiTheme="minorHAnsi" w:cstheme="minorHAnsi"/>
                <w:szCs w:val="24"/>
                <w:lang w:eastAsia="en-IE" w:bidi="en-US"/>
              </w:rPr>
              <w:t xml:space="preserve">permanent residence, </w:t>
            </w:r>
            <w:r w:rsidR="007A2ECC" w:rsidRPr="004F1BFA">
              <w:rPr>
                <w:rFonts w:asciiTheme="minorHAnsi" w:hAnsiTheme="minorHAnsi" w:cstheme="minorHAnsi"/>
                <w:szCs w:val="24"/>
                <w:lang w:eastAsia="en-IE" w:bidi="en-US"/>
              </w:rPr>
              <w:t>for restoring</w:t>
            </w:r>
            <w:r w:rsidR="00615FC0" w:rsidRPr="004F1BFA">
              <w:rPr>
                <w:rFonts w:asciiTheme="minorHAnsi" w:hAnsiTheme="minorHAnsi" w:cstheme="minorHAnsi"/>
                <w:szCs w:val="24"/>
                <w:lang w:eastAsia="en-IE" w:bidi="en-US"/>
              </w:rPr>
              <w:t xml:space="preserve"> </w:t>
            </w:r>
            <w:r w:rsidR="007A2ECC" w:rsidRPr="004F1BFA">
              <w:rPr>
                <w:rFonts w:asciiTheme="minorHAnsi" w:hAnsiTheme="minorHAnsi" w:cstheme="minorHAnsi"/>
                <w:szCs w:val="24"/>
                <w:lang w:eastAsia="en-IE" w:bidi="en-US"/>
              </w:rPr>
              <w:t xml:space="preserve">their legal </w:t>
            </w:r>
            <w:r w:rsidR="00615FC0" w:rsidRPr="004F1BFA">
              <w:rPr>
                <w:rFonts w:asciiTheme="minorHAnsi" w:hAnsiTheme="minorHAnsi" w:cstheme="minorHAnsi"/>
                <w:szCs w:val="24"/>
                <w:lang w:eastAsia="en-IE" w:bidi="en-US"/>
              </w:rPr>
              <w:t xml:space="preserve">capacity or </w:t>
            </w:r>
            <w:r w:rsidR="007A2ECC" w:rsidRPr="004F1BFA">
              <w:rPr>
                <w:rFonts w:asciiTheme="minorHAnsi" w:hAnsiTheme="minorHAnsi" w:cstheme="minorHAnsi"/>
                <w:szCs w:val="24"/>
                <w:lang w:eastAsia="en-IE" w:bidi="en-US"/>
              </w:rPr>
              <w:t xml:space="preserve">for </w:t>
            </w:r>
            <w:r w:rsidR="007A2ECC" w:rsidRPr="004F1BFA">
              <w:rPr>
                <w:rFonts w:asciiTheme="minorHAnsi" w:hAnsiTheme="minorHAnsi" w:cstheme="minorHAnsi"/>
                <w:szCs w:val="24"/>
                <w:lang w:val="en-US" w:eastAsia="en-IE" w:bidi="en-US"/>
              </w:rPr>
              <w:t xml:space="preserve">completion </w:t>
            </w:r>
            <w:r w:rsidR="00615FC0" w:rsidRPr="004F1BFA">
              <w:rPr>
                <w:rFonts w:asciiTheme="minorHAnsi" w:hAnsiTheme="minorHAnsi" w:cstheme="minorHAnsi"/>
                <w:szCs w:val="24"/>
                <w:lang w:eastAsia="en-IE" w:bidi="en-US"/>
              </w:rPr>
              <w:t xml:space="preserve">of serving a sentence). </w:t>
            </w:r>
            <w:r w:rsidR="007A2ECC" w:rsidRPr="004F1BFA">
              <w:rPr>
                <w:rFonts w:asciiTheme="minorHAnsi" w:hAnsiTheme="minorHAnsi" w:cstheme="minorHAnsi"/>
                <w:szCs w:val="24"/>
                <w:lang w:eastAsia="en-IE" w:bidi="en-US"/>
              </w:rPr>
              <w:t>People</w:t>
            </w:r>
            <w:r w:rsidR="00615FC0" w:rsidRPr="004F1BFA">
              <w:rPr>
                <w:rFonts w:asciiTheme="minorHAnsi" w:hAnsiTheme="minorHAnsi" w:cstheme="minorHAnsi"/>
                <w:szCs w:val="24"/>
                <w:lang w:eastAsia="en-IE" w:bidi="en-US"/>
              </w:rPr>
              <w:t xml:space="preserve"> who wish to vote in the municipality of their current address (</w:t>
            </w:r>
            <w:r w:rsidR="007A2ECC" w:rsidRPr="004F1BFA">
              <w:rPr>
                <w:rFonts w:asciiTheme="minorHAnsi" w:hAnsiTheme="minorHAnsi" w:cstheme="minorHAnsi"/>
                <w:szCs w:val="24"/>
                <w:lang w:val="en-US" w:eastAsia="en-IE" w:bidi="en-US"/>
              </w:rPr>
              <w:t xml:space="preserve">if their current address </w:t>
            </w:r>
            <w:r w:rsidR="007A2ECC" w:rsidRPr="004F1BFA">
              <w:rPr>
                <w:rFonts w:asciiTheme="minorHAnsi" w:hAnsiTheme="minorHAnsi" w:cstheme="minorHAnsi"/>
                <w:szCs w:val="24"/>
                <w:lang w:eastAsia="en-IE" w:bidi="en-US"/>
              </w:rPr>
              <w:t xml:space="preserve">is </w:t>
            </w:r>
            <w:r w:rsidR="00615FC0" w:rsidRPr="004F1BFA">
              <w:rPr>
                <w:rFonts w:asciiTheme="minorHAnsi" w:hAnsiTheme="minorHAnsi" w:cstheme="minorHAnsi"/>
                <w:szCs w:val="24"/>
                <w:lang w:eastAsia="en-IE" w:bidi="en-US"/>
              </w:rPr>
              <w:t>different from their permanent address) should file a request to the local authorities to be moved to the electoral list of this municipality.</w:t>
            </w:r>
            <w:r w:rsidR="00615FC0" w:rsidRPr="004F1BFA">
              <w:rPr>
                <w:rStyle w:val="FootnoteReference"/>
                <w:rFonts w:asciiTheme="minorHAnsi" w:hAnsiTheme="minorHAnsi" w:cstheme="minorHAnsi"/>
                <w:szCs w:val="24"/>
                <w:lang w:eastAsia="en-IE" w:bidi="en-US"/>
              </w:rPr>
              <w:footnoteReference w:id="6"/>
            </w:r>
          </w:p>
        </w:tc>
      </w:tr>
      <w:tr w:rsidR="00CC2CCC" w:rsidRPr="00BF1EFB" w14:paraId="7048774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BF1EFB" w:rsidRDefault="00566A68" w:rsidP="0055306F">
            <w:pPr>
              <w:pStyle w:val="FRABodyText"/>
            </w:pPr>
            <w:r w:rsidRPr="00BF1EFB">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ACF9B89" w14:textId="08712BDE" w:rsidR="00566A68" w:rsidRPr="00BF1EFB" w:rsidRDefault="00566A68" w:rsidP="0055306F">
            <w:pPr>
              <w:pStyle w:val="FRABodyText"/>
            </w:pPr>
            <w:r w:rsidRPr="00BF1EFB">
              <w:t xml:space="preserve">Yes, disability-specific alternatives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8EA478" w14:textId="5A7592E5" w:rsidR="00566A68" w:rsidRPr="004F1BFA" w:rsidRDefault="00CE1546" w:rsidP="00C55AF7">
            <w:pPr>
              <w:jc w:val="both"/>
              <w:rPr>
                <w:rFonts w:asciiTheme="minorHAnsi" w:hAnsiTheme="minorHAnsi" w:cstheme="minorHAnsi"/>
                <w:szCs w:val="24"/>
                <w:lang w:eastAsia="en-IE" w:bidi="en-US"/>
              </w:rPr>
            </w:pPr>
            <w:r w:rsidRPr="004F1BFA">
              <w:rPr>
                <w:rFonts w:asciiTheme="minorHAnsi" w:hAnsiTheme="minorHAnsi" w:cstheme="minorHAnsi"/>
                <w:szCs w:val="24"/>
                <w:lang w:eastAsia="en-IE" w:bidi="en-US"/>
              </w:rPr>
              <w:t>People with permanent disabilities</w:t>
            </w:r>
            <w:r w:rsidR="00C55AF7" w:rsidRPr="004F1BFA">
              <w:rPr>
                <w:rFonts w:asciiTheme="minorHAnsi" w:hAnsiTheme="minorHAnsi" w:cstheme="minorHAnsi"/>
                <w:szCs w:val="24"/>
                <w:lang w:eastAsia="en-IE" w:bidi="en-US"/>
              </w:rPr>
              <w:t xml:space="preserve"> (people for whom medical expertise has established a type and degree of disability or a degree of permanently reduced working capacity of 50 % or more)</w:t>
            </w:r>
            <w:r w:rsidRPr="004F1BFA">
              <w:rPr>
                <w:rStyle w:val="FootnoteReference"/>
                <w:rFonts w:asciiTheme="minorHAnsi" w:hAnsiTheme="minorHAnsi" w:cstheme="minorHAnsi"/>
                <w:szCs w:val="24"/>
                <w:lang w:eastAsia="en-IE" w:bidi="en-US"/>
              </w:rPr>
              <w:footnoteReference w:id="7"/>
            </w:r>
            <w:r w:rsidRPr="004F1BFA">
              <w:rPr>
                <w:rFonts w:asciiTheme="minorHAnsi" w:hAnsiTheme="minorHAnsi" w:cstheme="minorHAnsi"/>
                <w:szCs w:val="24"/>
                <w:lang w:eastAsia="en-IE" w:bidi="en-US"/>
              </w:rPr>
              <w:t xml:space="preserve"> whose </w:t>
            </w:r>
            <w:r w:rsidRPr="004F1BFA">
              <w:rPr>
                <w:rFonts w:asciiTheme="minorHAnsi" w:hAnsiTheme="minorHAnsi" w:cstheme="minorHAnsi"/>
                <w:szCs w:val="24"/>
                <w:lang w:eastAsia="en-IE" w:bidi="en-US"/>
              </w:rPr>
              <w:lastRenderedPageBreak/>
              <w:t xml:space="preserve">disability does not allow them to exercise their voting right in a polling station can </w:t>
            </w:r>
            <w:r w:rsidR="00386F51" w:rsidRPr="004F1BFA">
              <w:rPr>
                <w:rFonts w:asciiTheme="minorHAnsi" w:hAnsiTheme="minorHAnsi" w:cstheme="minorHAnsi"/>
                <w:szCs w:val="24"/>
                <w:lang w:eastAsia="en-IE" w:bidi="en-US"/>
              </w:rPr>
              <w:t xml:space="preserve">vote </w:t>
            </w:r>
            <w:r w:rsidR="007A2ECC" w:rsidRPr="004F1BFA">
              <w:rPr>
                <w:rFonts w:asciiTheme="minorHAnsi" w:hAnsiTheme="minorHAnsi" w:cstheme="minorHAnsi"/>
                <w:szCs w:val="24"/>
                <w:lang w:eastAsia="en-IE" w:bidi="en-US"/>
              </w:rPr>
              <w:t>using</w:t>
            </w:r>
            <w:r w:rsidR="00386F51" w:rsidRPr="004F1BFA">
              <w:rPr>
                <w:rFonts w:asciiTheme="minorHAnsi" w:hAnsiTheme="minorHAnsi" w:cstheme="minorHAnsi"/>
                <w:szCs w:val="24"/>
                <w:lang w:eastAsia="en-IE" w:bidi="en-US"/>
              </w:rPr>
              <w:t xml:space="preserve"> a mobile polling box at home. </w:t>
            </w:r>
            <w:r w:rsidR="007A2ECC" w:rsidRPr="004F1BFA">
              <w:rPr>
                <w:rFonts w:asciiTheme="minorHAnsi" w:hAnsiTheme="minorHAnsi" w:cstheme="minorHAnsi"/>
                <w:szCs w:val="24"/>
                <w:lang w:eastAsia="en-IE" w:bidi="en-US"/>
              </w:rPr>
              <w:t>T</w:t>
            </w:r>
            <w:r w:rsidR="00386F51" w:rsidRPr="004F1BFA">
              <w:rPr>
                <w:rFonts w:asciiTheme="minorHAnsi" w:hAnsiTheme="minorHAnsi" w:cstheme="minorHAnsi"/>
                <w:szCs w:val="24"/>
                <w:lang w:eastAsia="en-IE" w:bidi="en-US"/>
              </w:rPr>
              <w:t xml:space="preserve">o </w:t>
            </w:r>
            <w:r w:rsidR="007A2ECC" w:rsidRPr="004F1BFA">
              <w:rPr>
                <w:rFonts w:asciiTheme="minorHAnsi" w:hAnsiTheme="minorHAnsi" w:cstheme="minorHAnsi"/>
                <w:szCs w:val="24"/>
                <w:lang w:eastAsia="en-IE" w:bidi="en-US"/>
              </w:rPr>
              <w:t xml:space="preserve">be able to </w:t>
            </w:r>
            <w:r w:rsidR="00386F51" w:rsidRPr="004F1BFA">
              <w:rPr>
                <w:rFonts w:asciiTheme="minorHAnsi" w:hAnsiTheme="minorHAnsi" w:cstheme="minorHAnsi"/>
                <w:szCs w:val="24"/>
                <w:lang w:eastAsia="en-IE" w:bidi="en-US"/>
              </w:rPr>
              <w:t xml:space="preserve">do so, they should file a </w:t>
            </w:r>
            <w:r w:rsidR="007A2ECC" w:rsidRPr="004F1BFA">
              <w:rPr>
                <w:rFonts w:asciiTheme="minorHAnsi" w:hAnsiTheme="minorHAnsi" w:cstheme="minorHAnsi"/>
                <w:szCs w:val="24"/>
                <w:lang w:eastAsia="en-IE" w:bidi="en-US"/>
              </w:rPr>
              <w:t xml:space="preserve">written </w:t>
            </w:r>
            <w:r w:rsidR="00386F51" w:rsidRPr="004F1BFA">
              <w:rPr>
                <w:rFonts w:asciiTheme="minorHAnsi" w:hAnsiTheme="minorHAnsi" w:cstheme="minorHAnsi"/>
                <w:szCs w:val="24"/>
                <w:lang w:eastAsia="en-IE" w:bidi="en-US"/>
              </w:rPr>
              <w:t xml:space="preserve">request 14 days </w:t>
            </w:r>
            <w:r w:rsidR="007A2ECC" w:rsidRPr="004F1BFA">
              <w:rPr>
                <w:rFonts w:asciiTheme="minorHAnsi" w:hAnsiTheme="minorHAnsi" w:cstheme="minorHAnsi"/>
                <w:szCs w:val="24"/>
                <w:lang w:eastAsia="en-IE" w:bidi="en-US"/>
              </w:rPr>
              <w:t>before the elections</w:t>
            </w:r>
            <w:r w:rsidR="00386F51" w:rsidRPr="004F1BFA">
              <w:rPr>
                <w:rFonts w:asciiTheme="minorHAnsi" w:hAnsiTheme="minorHAnsi" w:cstheme="minorHAnsi"/>
                <w:szCs w:val="24"/>
                <w:lang w:eastAsia="en-IE" w:bidi="en-US"/>
              </w:rPr>
              <w:t xml:space="preserve">. </w:t>
            </w:r>
            <w:r w:rsidR="007A2ECC" w:rsidRPr="004F1BFA">
              <w:rPr>
                <w:rFonts w:asciiTheme="minorHAnsi" w:hAnsiTheme="minorHAnsi" w:cstheme="minorHAnsi"/>
                <w:szCs w:val="24"/>
                <w:lang w:eastAsia="en-IE" w:bidi="en-US"/>
              </w:rPr>
              <w:t>P</w:t>
            </w:r>
            <w:r w:rsidR="00386F51" w:rsidRPr="004F1BFA">
              <w:rPr>
                <w:rFonts w:asciiTheme="minorHAnsi" w:hAnsiTheme="minorHAnsi" w:cstheme="minorHAnsi"/>
                <w:szCs w:val="24"/>
                <w:lang w:eastAsia="en-IE" w:bidi="en-US"/>
              </w:rPr>
              <w:t>eople with permanent disabilities</w:t>
            </w:r>
            <w:r w:rsidR="00C55AF7" w:rsidRPr="004F1BFA">
              <w:rPr>
                <w:rFonts w:asciiTheme="minorHAnsi" w:hAnsiTheme="minorHAnsi" w:cstheme="minorHAnsi"/>
                <w:szCs w:val="24"/>
                <w:lang w:eastAsia="en-IE" w:bidi="en-US"/>
              </w:rPr>
              <w:t>,</w:t>
            </w:r>
            <w:r w:rsidR="00386F51" w:rsidRPr="004F1BFA">
              <w:rPr>
                <w:rFonts w:asciiTheme="minorHAnsi" w:hAnsiTheme="minorHAnsi" w:cstheme="minorHAnsi"/>
                <w:szCs w:val="24"/>
                <w:lang w:eastAsia="en-IE" w:bidi="en-US"/>
              </w:rPr>
              <w:t xml:space="preserve"> </w:t>
            </w:r>
            <w:r w:rsidR="007A2ECC" w:rsidRPr="004F1BFA">
              <w:rPr>
                <w:rFonts w:asciiTheme="minorHAnsi" w:hAnsiTheme="minorHAnsi" w:cstheme="minorHAnsi"/>
                <w:szCs w:val="24"/>
                <w:lang w:eastAsia="en-IE" w:bidi="en-US"/>
              </w:rPr>
              <w:t xml:space="preserve">who </w:t>
            </w:r>
            <w:r w:rsidR="00386F51" w:rsidRPr="004F1BFA">
              <w:rPr>
                <w:rFonts w:asciiTheme="minorHAnsi" w:hAnsiTheme="minorHAnsi" w:cstheme="minorHAnsi"/>
                <w:szCs w:val="24"/>
                <w:lang w:eastAsia="en-IE" w:bidi="en-US"/>
              </w:rPr>
              <w:t xml:space="preserve">have </w:t>
            </w:r>
            <w:r w:rsidR="00F7156C" w:rsidRPr="004F1BFA">
              <w:rPr>
                <w:rFonts w:asciiTheme="minorHAnsi" w:hAnsiTheme="minorHAnsi" w:cstheme="minorHAnsi"/>
                <w:szCs w:val="24"/>
                <w:lang w:eastAsia="en-IE" w:bidi="en-US"/>
              </w:rPr>
              <w:t>missed the 14-day deadline</w:t>
            </w:r>
            <w:r w:rsidR="00C55AF7" w:rsidRPr="004F1BFA">
              <w:rPr>
                <w:rFonts w:asciiTheme="minorHAnsi" w:hAnsiTheme="minorHAnsi" w:cstheme="minorHAnsi"/>
                <w:szCs w:val="24"/>
                <w:lang w:eastAsia="en-IE" w:bidi="en-US"/>
              </w:rPr>
              <w:t>,</w:t>
            </w:r>
            <w:r w:rsidR="00F7156C" w:rsidRPr="004F1BFA">
              <w:rPr>
                <w:rFonts w:asciiTheme="minorHAnsi" w:hAnsiTheme="minorHAnsi" w:cstheme="minorHAnsi"/>
                <w:szCs w:val="24"/>
                <w:lang w:eastAsia="en-IE" w:bidi="en-US"/>
              </w:rPr>
              <w:t xml:space="preserve"> can still </w:t>
            </w:r>
            <w:r w:rsidR="00386F51" w:rsidRPr="004F1BFA">
              <w:rPr>
                <w:rFonts w:asciiTheme="minorHAnsi" w:hAnsiTheme="minorHAnsi" w:cstheme="minorHAnsi"/>
                <w:szCs w:val="24"/>
                <w:lang w:eastAsia="en-IE" w:bidi="en-US"/>
              </w:rPr>
              <w:t xml:space="preserve">request a mobile polling box </w:t>
            </w:r>
            <w:r w:rsidR="00F7156C" w:rsidRPr="004F1BFA">
              <w:rPr>
                <w:rFonts w:asciiTheme="minorHAnsi" w:hAnsiTheme="minorHAnsi" w:cstheme="minorHAnsi"/>
                <w:szCs w:val="24"/>
                <w:lang w:eastAsia="en-IE" w:bidi="en-US"/>
              </w:rPr>
              <w:t xml:space="preserve">up to </w:t>
            </w:r>
            <w:r w:rsidR="00386F51" w:rsidRPr="004F1BFA">
              <w:rPr>
                <w:rFonts w:asciiTheme="minorHAnsi" w:hAnsiTheme="minorHAnsi" w:cstheme="minorHAnsi"/>
                <w:szCs w:val="24"/>
                <w:lang w:eastAsia="en-IE" w:bidi="en-US"/>
              </w:rPr>
              <w:t xml:space="preserve">five days </w:t>
            </w:r>
            <w:r w:rsidR="00F7156C" w:rsidRPr="004F1BFA">
              <w:rPr>
                <w:rFonts w:asciiTheme="minorHAnsi" w:hAnsiTheme="minorHAnsi" w:cstheme="minorHAnsi"/>
                <w:szCs w:val="24"/>
                <w:lang w:eastAsia="en-IE" w:bidi="en-US"/>
              </w:rPr>
              <w:t xml:space="preserve">before </w:t>
            </w:r>
            <w:r w:rsidR="00386F51" w:rsidRPr="004F1BFA">
              <w:rPr>
                <w:rFonts w:asciiTheme="minorHAnsi" w:hAnsiTheme="minorHAnsi" w:cstheme="minorHAnsi"/>
                <w:szCs w:val="24"/>
                <w:lang w:eastAsia="en-IE" w:bidi="en-US"/>
              </w:rPr>
              <w:t>the election</w:t>
            </w:r>
            <w:r w:rsidR="00F7156C" w:rsidRPr="004F1BFA">
              <w:rPr>
                <w:rFonts w:asciiTheme="minorHAnsi" w:hAnsiTheme="minorHAnsi" w:cstheme="minorHAnsi"/>
                <w:szCs w:val="24"/>
                <w:lang w:eastAsia="en-IE" w:bidi="en-US"/>
              </w:rPr>
              <w:t>s</w:t>
            </w:r>
            <w:r w:rsidR="00C55AF7" w:rsidRPr="004F1BFA">
              <w:rPr>
                <w:rFonts w:asciiTheme="minorHAnsi" w:hAnsiTheme="minorHAnsi" w:cstheme="minorHAnsi"/>
                <w:szCs w:val="24"/>
                <w:lang w:eastAsia="en-IE" w:bidi="en-US"/>
              </w:rPr>
              <w:t>,</w:t>
            </w:r>
            <w:r w:rsidR="00F7156C" w:rsidRPr="004F1BFA">
              <w:rPr>
                <w:rFonts w:asciiTheme="minorHAnsi" w:hAnsiTheme="minorHAnsi" w:cstheme="minorHAnsi"/>
                <w:szCs w:val="24"/>
                <w:lang w:eastAsia="en-IE" w:bidi="en-US"/>
              </w:rPr>
              <w:t xml:space="preserve"> if</w:t>
            </w:r>
            <w:r w:rsidR="00386F51" w:rsidRPr="004F1BFA">
              <w:rPr>
                <w:rFonts w:asciiTheme="minorHAnsi" w:hAnsiTheme="minorHAnsi" w:cstheme="minorHAnsi"/>
                <w:szCs w:val="24"/>
                <w:lang w:eastAsia="en-IE" w:bidi="en-US"/>
              </w:rPr>
              <w:t xml:space="preserve"> </w:t>
            </w:r>
            <w:r w:rsidR="00F7156C" w:rsidRPr="004F1BFA">
              <w:rPr>
                <w:rFonts w:asciiTheme="minorHAnsi" w:hAnsiTheme="minorHAnsi" w:cstheme="minorHAnsi"/>
                <w:szCs w:val="24"/>
                <w:lang w:eastAsia="en-IE" w:bidi="en-US"/>
              </w:rPr>
              <w:t xml:space="preserve">the use of </w:t>
            </w:r>
            <w:r w:rsidR="00386F51" w:rsidRPr="004F1BFA">
              <w:rPr>
                <w:rFonts w:asciiTheme="minorHAnsi" w:hAnsiTheme="minorHAnsi" w:cstheme="minorHAnsi"/>
                <w:szCs w:val="24"/>
                <w:lang w:eastAsia="en-IE" w:bidi="en-US"/>
              </w:rPr>
              <w:t xml:space="preserve">a mobile polling box </w:t>
            </w:r>
            <w:r w:rsidR="00F7156C" w:rsidRPr="004F1BFA">
              <w:rPr>
                <w:rFonts w:asciiTheme="minorHAnsi" w:hAnsiTheme="minorHAnsi" w:cstheme="minorHAnsi"/>
                <w:szCs w:val="24"/>
                <w:lang w:eastAsia="en-IE" w:bidi="en-US"/>
              </w:rPr>
              <w:t>on</w:t>
            </w:r>
            <w:r w:rsidR="00386F51" w:rsidRPr="004F1BFA">
              <w:rPr>
                <w:rFonts w:asciiTheme="minorHAnsi" w:hAnsiTheme="minorHAnsi" w:cstheme="minorHAnsi"/>
                <w:szCs w:val="24"/>
                <w:lang w:eastAsia="en-IE" w:bidi="en-US"/>
              </w:rPr>
              <w:t xml:space="preserve"> the territory </w:t>
            </w:r>
            <w:r w:rsidR="00F7156C" w:rsidRPr="004F1BFA">
              <w:rPr>
                <w:rFonts w:asciiTheme="minorHAnsi" w:hAnsiTheme="minorHAnsi" w:cstheme="minorHAnsi"/>
                <w:szCs w:val="24"/>
                <w:lang w:eastAsia="en-IE" w:bidi="en-US"/>
              </w:rPr>
              <w:t xml:space="preserve">where </w:t>
            </w:r>
            <w:r w:rsidR="00386F51" w:rsidRPr="004F1BFA">
              <w:rPr>
                <w:rFonts w:asciiTheme="minorHAnsi" w:hAnsiTheme="minorHAnsi" w:cstheme="minorHAnsi"/>
                <w:szCs w:val="24"/>
                <w:lang w:eastAsia="en-IE" w:bidi="en-US"/>
              </w:rPr>
              <w:t xml:space="preserve">they live </w:t>
            </w:r>
            <w:r w:rsidR="00F7156C" w:rsidRPr="004F1BFA">
              <w:rPr>
                <w:rFonts w:asciiTheme="minorHAnsi" w:hAnsiTheme="minorHAnsi" w:cstheme="minorHAnsi"/>
                <w:szCs w:val="24"/>
                <w:lang w:eastAsia="en-IE" w:bidi="en-US"/>
              </w:rPr>
              <w:t>has already been arranged</w:t>
            </w:r>
            <w:r w:rsidR="00386F51" w:rsidRPr="004F1BFA">
              <w:rPr>
                <w:rFonts w:asciiTheme="minorHAnsi" w:hAnsiTheme="minorHAnsi" w:cstheme="minorHAnsi"/>
                <w:szCs w:val="24"/>
                <w:lang w:eastAsia="en-IE" w:bidi="en-US"/>
              </w:rPr>
              <w:t>.</w:t>
            </w:r>
            <w:r w:rsidR="00386F51" w:rsidRPr="004F1BFA">
              <w:rPr>
                <w:rStyle w:val="FootnoteReference"/>
                <w:rFonts w:asciiTheme="minorHAnsi" w:hAnsiTheme="minorHAnsi" w:cstheme="minorHAnsi"/>
                <w:szCs w:val="24"/>
                <w:lang w:eastAsia="en-IE" w:bidi="en-US"/>
              </w:rPr>
              <w:footnoteReference w:id="8"/>
            </w:r>
            <w:r w:rsidR="00386F51" w:rsidRPr="004F1BFA">
              <w:rPr>
                <w:rFonts w:asciiTheme="minorHAnsi" w:hAnsiTheme="minorHAnsi" w:cstheme="minorHAnsi"/>
                <w:szCs w:val="24"/>
                <w:lang w:eastAsia="en-IE" w:bidi="en-US"/>
              </w:rPr>
              <w:t xml:space="preserve"> The local administration verifies ex officio the </w:t>
            </w:r>
            <w:r w:rsidR="00F7156C" w:rsidRPr="004F1BFA">
              <w:rPr>
                <w:rFonts w:asciiTheme="minorHAnsi" w:hAnsiTheme="minorHAnsi" w:cstheme="minorHAnsi"/>
                <w:szCs w:val="24"/>
                <w:lang w:eastAsia="en-IE" w:bidi="en-US"/>
              </w:rPr>
              <w:t xml:space="preserve">applicant’s </w:t>
            </w:r>
            <w:r w:rsidR="00386F51" w:rsidRPr="004F1BFA">
              <w:rPr>
                <w:rFonts w:asciiTheme="minorHAnsi" w:hAnsiTheme="minorHAnsi" w:cstheme="minorHAnsi"/>
                <w:szCs w:val="24"/>
                <w:lang w:eastAsia="en-IE" w:bidi="en-US"/>
              </w:rPr>
              <w:t xml:space="preserve">eligibility (disability certificate) or requires </w:t>
            </w:r>
            <w:r w:rsidR="00F7156C" w:rsidRPr="004F1BFA">
              <w:rPr>
                <w:rFonts w:asciiTheme="minorHAnsi" w:hAnsiTheme="minorHAnsi" w:cstheme="minorHAnsi"/>
                <w:szCs w:val="24"/>
                <w:lang w:eastAsia="en-IE" w:bidi="en-US"/>
              </w:rPr>
              <w:t xml:space="preserve">the applicant to present such a </w:t>
            </w:r>
            <w:r w:rsidR="00386F51" w:rsidRPr="004F1BFA">
              <w:rPr>
                <w:rFonts w:asciiTheme="minorHAnsi" w:hAnsiTheme="minorHAnsi" w:cstheme="minorHAnsi"/>
                <w:szCs w:val="24"/>
                <w:lang w:eastAsia="en-IE" w:bidi="en-US"/>
              </w:rPr>
              <w:t xml:space="preserve">certificate </w:t>
            </w:r>
            <w:r w:rsidR="00F7156C" w:rsidRPr="004F1BFA">
              <w:rPr>
                <w:rFonts w:asciiTheme="minorHAnsi" w:hAnsiTheme="minorHAnsi" w:cstheme="minorHAnsi"/>
                <w:szCs w:val="24"/>
                <w:lang w:eastAsia="en-IE" w:bidi="en-US"/>
              </w:rPr>
              <w:t xml:space="preserve">if the </w:t>
            </w:r>
            <w:r w:rsidR="00F160E5" w:rsidRPr="004F1BFA">
              <w:rPr>
                <w:rFonts w:asciiTheme="minorHAnsi" w:hAnsiTheme="minorHAnsi" w:cstheme="minorHAnsi"/>
                <w:szCs w:val="24"/>
                <w:lang w:eastAsia="en-IE" w:bidi="en-US"/>
              </w:rPr>
              <w:t xml:space="preserve">ex officio verification </w:t>
            </w:r>
            <w:r w:rsidR="00F7156C" w:rsidRPr="004F1BFA">
              <w:rPr>
                <w:rFonts w:asciiTheme="minorHAnsi" w:hAnsiTheme="minorHAnsi" w:cstheme="minorHAnsi"/>
                <w:szCs w:val="24"/>
                <w:lang w:eastAsia="en-IE" w:bidi="en-US"/>
              </w:rPr>
              <w:t>wa</w:t>
            </w:r>
            <w:r w:rsidR="00F160E5" w:rsidRPr="004F1BFA">
              <w:rPr>
                <w:rFonts w:asciiTheme="minorHAnsi" w:hAnsiTheme="minorHAnsi" w:cstheme="minorHAnsi"/>
                <w:szCs w:val="24"/>
                <w:lang w:eastAsia="en-IE" w:bidi="en-US"/>
              </w:rPr>
              <w:t>s not successful.</w:t>
            </w:r>
            <w:r w:rsidR="00F160E5" w:rsidRPr="004F1BFA">
              <w:rPr>
                <w:rStyle w:val="FootnoteReference"/>
                <w:rFonts w:asciiTheme="minorHAnsi" w:hAnsiTheme="minorHAnsi" w:cstheme="minorHAnsi"/>
                <w:szCs w:val="24"/>
                <w:lang w:eastAsia="en-IE" w:bidi="en-US"/>
              </w:rPr>
              <w:footnoteReference w:id="9"/>
            </w:r>
            <w:r w:rsidR="00F160E5" w:rsidRPr="004F1BFA">
              <w:rPr>
                <w:rFonts w:asciiTheme="minorHAnsi" w:hAnsiTheme="minorHAnsi" w:cstheme="minorHAnsi"/>
                <w:szCs w:val="24"/>
                <w:lang w:eastAsia="en-IE" w:bidi="en-US"/>
              </w:rPr>
              <w:t xml:space="preserve"> </w:t>
            </w:r>
            <w:r w:rsidR="00823909" w:rsidRPr="004F1BFA">
              <w:rPr>
                <w:rFonts w:asciiTheme="minorHAnsi" w:hAnsiTheme="minorHAnsi" w:cstheme="minorHAnsi"/>
                <w:szCs w:val="24"/>
                <w:lang w:eastAsia="en-IE" w:bidi="en-US"/>
              </w:rPr>
              <w:t>The Central Electoral Commission</w:t>
            </w:r>
            <w:r w:rsidR="00F7156C" w:rsidRPr="004F1BFA">
              <w:rPr>
                <w:rFonts w:asciiTheme="minorHAnsi" w:hAnsiTheme="minorHAnsi" w:cstheme="minorHAnsi"/>
                <w:szCs w:val="24"/>
                <w:lang w:val="en-US" w:eastAsia="en-IE" w:bidi="en-US"/>
              </w:rPr>
              <w:t xml:space="preserve"> (CEC)</w:t>
            </w:r>
            <w:r w:rsidR="00823909" w:rsidRPr="004F1BFA">
              <w:rPr>
                <w:rFonts w:asciiTheme="minorHAnsi" w:hAnsiTheme="minorHAnsi" w:cstheme="minorHAnsi"/>
                <w:szCs w:val="24"/>
                <w:lang w:eastAsia="en-IE" w:bidi="en-US"/>
              </w:rPr>
              <w:t xml:space="preserve"> (</w:t>
            </w:r>
            <w:r w:rsidR="00823909" w:rsidRPr="004F1BFA">
              <w:rPr>
                <w:rFonts w:asciiTheme="minorHAnsi" w:hAnsiTheme="minorHAnsi" w:cstheme="minorHAnsi"/>
                <w:i/>
                <w:szCs w:val="24"/>
                <w:lang w:val="bg-BG" w:eastAsia="en-IE" w:bidi="en-US"/>
              </w:rPr>
              <w:t>Централна избирателна комисия</w:t>
            </w:r>
            <w:r w:rsidR="00F7156C" w:rsidRPr="004F1BFA">
              <w:rPr>
                <w:rFonts w:asciiTheme="minorHAnsi" w:hAnsiTheme="minorHAnsi" w:cstheme="minorHAnsi"/>
                <w:iCs/>
                <w:szCs w:val="24"/>
                <w:lang w:val="bg-BG" w:eastAsia="en-IE" w:bidi="en-US"/>
              </w:rPr>
              <w:t>, ЦИК</w:t>
            </w:r>
            <w:r w:rsidR="00823909" w:rsidRPr="004F1BFA">
              <w:rPr>
                <w:rFonts w:asciiTheme="minorHAnsi" w:hAnsiTheme="minorHAnsi" w:cstheme="minorHAnsi"/>
                <w:szCs w:val="24"/>
                <w:lang w:val="bg-BG" w:eastAsia="en-IE" w:bidi="en-US"/>
              </w:rPr>
              <w:t>)</w:t>
            </w:r>
            <w:r w:rsidR="00823909" w:rsidRPr="004F1BFA">
              <w:rPr>
                <w:rFonts w:asciiTheme="minorHAnsi" w:hAnsiTheme="minorHAnsi" w:cstheme="minorHAnsi"/>
                <w:szCs w:val="24"/>
                <w:lang w:eastAsia="en-IE" w:bidi="en-US"/>
              </w:rPr>
              <w:t xml:space="preserve"> issues a decision defining the terms for </w:t>
            </w:r>
            <w:r w:rsidR="00C55AF7" w:rsidRPr="004F1BFA">
              <w:rPr>
                <w:rFonts w:asciiTheme="minorHAnsi" w:hAnsiTheme="minorHAnsi" w:cstheme="minorHAnsi"/>
                <w:szCs w:val="24"/>
                <w:lang w:eastAsia="en-IE" w:bidi="en-US"/>
              </w:rPr>
              <w:t xml:space="preserve">allowing the </w:t>
            </w:r>
            <w:r w:rsidR="00F7156C" w:rsidRPr="004F1BFA">
              <w:rPr>
                <w:rFonts w:asciiTheme="minorHAnsi" w:hAnsiTheme="minorHAnsi" w:cstheme="minorHAnsi"/>
                <w:szCs w:val="24"/>
                <w:lang w:eastAsia="en-IE" w:bidi="en-US"/>
              </w:rPr>
              <w:t>us</w:t>
            </w:r>
            <w:r w:rsidR="00C55AF7" w:rsidRPr="004F1BFA">
              <w:rPr>
                <w:rFonts w:asciiTheme="minorHAnsi" w:hAnsiTheme="minorHAnsi" w:cstheme="minorHAnsi"/>
                <w:szCs w:val="24"/>
                <w:lang w:eastAsia="en-IE" w:bidi="en-US"/>
              </w:rPr>
              <w:t>e of</w:t>
            </w:r>
            <w:r w:rsidR="00F160E5" w:rsidRPr="004F1BFA">
              <w:rPr>
                <w:rFonts w:asciiTheme="minorHAnsi" w:hAnsiTheme="minorHAnsi" w:cstheme="minorHAnsi"/>
                <w:szCs w:val="24"/>
                <w:lang w:eastAsia="en-IE" w:bidi="en-US"/>
              </w:rPr>
              <w:t xml:space="preserve"> mobile polling box</w:t>
            </w:r>
            <w:r w:rsidR="00F7156C" w:rsidRPr="004F1BFA">
              <w:rPr>
                <w:rFonts w:asciiTheme="minorHAnsi" w:hAnsiTheme="minorHAnsi" w:cstheme="minorHAnsi"/>
                <w:szCs w:val="24"/>
                <w:lang w:eastAsia="en-IE" w:bidi="en-US"/>
              </w:rPr>
              <w:t>es</w:t>
            </w:r>
            <w:r w:rsidR="00823909" w:rsidRPr="004F1BFA">
              <w:rPr>
                <w:rFonts w:asciiTheme="minorHAnsi" w:hAnsiTheme="minorHAnsi" w:cstheme="minorHAnsi"/>
                <w:szCs w:val="24"/>
                <w:lang w:eastAsia="en-IE" w:bidi="en-US"/>
              </w:rPr>
              <w:t xml:space="preserve"> for each particular round of elections.</w:t>
            </w:r>
            <w:r w:rsidR="00F160E5" w:rsidRPr="004F1BFA">
              <w:rPr>
                <w:rFonts w:asciiTheme="minorHAnsi" w:hAnsiTheme="minorHAnsi" w:cstheme="minorHAnsi"/>
                <w:szCs w:val="24"/>
                <w:lang w:eastAsia="en-IE" w:bidi="en-US"/>
              </w:rPr>
              <w:t xml:space="preserve"> </w:t>
            </w:r>
            <w:r w:rsidR="00823909" w:rsidRPr="004F1BFA">
              <w:rPr>
                <w:rFonts w:asciiTheme="minorHAnsi" w:hAnsiTheme="minorHAnsi" w:cstheme="minorHAnsi"/>
                <w:szCs w:val="24"/>
                <w:lang w:eastAsia="en-IE" w:bidi="en-US"/>
              </w:rPr>
              <w:t xml:space="preserve">For example, </w:t>
            </w:r>
            <w:r w:rsidR="00F160E5" w:rsidRPr="004F1BFA">
              <w:rPr>
                <w:rFonts w:asciiTheme="minorHAnsi" w:hAnsiTheme="minorHAnsi" w:cstheme="minorHAnsi"/>
                <w:szCs w:val="24"/>
                <w:lang w:eastAsia="en-IE" w:bidi="en-US"/>
              </w:rPr>
              <w:t>for the</w:t>
            </w:r>
            <w:r w:rsidR="00C55AF7" w:rsidRPr="004F1BFA">
              <w:rPr>
                <w:rFonts w:asciiTheme="minorHAnsi" w:hAnsiTheme="minorHAnsi" w:cstheme="minorHAnsi"/>
                <w:szCs w:val="24"/>
                <w:lang w:eastAsia="en-IE" w:bidi="en-US"/>
              </w:rPr>
              <w:t xml:space="preserve"> last</w:t>
            </w:r>
            <w:r w:rsidR="00F160E5" w:rsidRPr="004F1BFA">
              <w:rPr>
                <w:rFonts w:asciiTheme="minorHAnsi" w:hAnsiTheme="minorHAnsi" w:cstheme="minorHAnsi"/>
                <w:szCs w:val="24"/>
                <w:lang w:eastAsia="en-IE" w:bidi="en-US"/>
              </w:rPr>
              <w:t xml:space="preserve"> local elections</w:t>
            </w:r>
            <w:r w:rsidR="00C55AF7" w:rsidRPr="004F1BFA">
              <w:rPr>
                <w:rFonts w:asciiTheme="minorHAnsi" w:hAnsiTheme="minorHAnsi" w:cstheme="minorHAnsi"/>
                <w:szCs w:val="24"/>
                <w:lang w:eastAsia="en-IE" w:bidi="en-US"/>
              </w:rPr>
              <w:t>,</w:t>
            </w:r>
            <w:r w:rsidR="00823909" w:rsidRPr="004F1BFA">
              <w:rPr>
                <w:rFonts w:asciiTheme="minorHAnsi" w:hAnsiTheme="minorHAnsi" w:cstheme="minorHAnsi"/>
                <w:szCs w:val="24"/>
                <w:lang w:eastAsia="en-IE" w:bidi="en-US"/>
              </w:rPr>
              <w:t xml:space="preserve"> held in October 2023,</w:t>
            </w:r>
            <w:r w:rsidR="00F160E5" w:rsidRPr="004F1BFA">
              <w:rPr>
                <w:rFonts w:asciiTheme="minorHAnsi" w:hAnsiTheme="minorHAnsi" w:cstheme="minorHAnsi"/>
                <w:szCs w:val="24"/>
                <w:lang w:eastAsia="en-IE" w:bidi="en-US"/>
              </w:rPr>
              <w:t xml:space="preserve"> </w:t>
            </w:r>
            <w:r w:rsidR="00823909" w:rsidRPr="004F1BFA">
              <w:rPr>
                <w:rFonts w:asciiTheme="minorHAnsi" w:hAnsiTheme="minorHAnsi" w:cstheme="minorHAnsi"/>
                <w:szCs w:val="24"/>
                <w:lang w:eastAsia="en-IE" w:bidi="en-US"/>
              </w:rPr>
              <w:t xml:space="preserve">mobile polling boxes were </w:t>
            </w:r>
            <w:r w:rsidR="00C55AF7" w:rsidRPr="004F1BFA">
              <w:rPr>
                <w:rFonts w:asciiTheme="minorHAnsi" w:hAnsiTheme="minorHAnsi" w:cstheme="minorHAnsi"/>
                <w:szCs w:val="24"/>
                <w:lang w:eastAsia="en-IE" w:bidi="en-US"/>
              </w:rPr>
              <w:t>made available</w:t>
            </w:r>
            <w:r w:rsidR="00F160E5" w:rsidRPr="004F1BFA">
              <w:rPr>
                <w:rFonts w:asciiTheme="minorHAnsi" w:hAnsiTheme="minorHAnsi" w:cstheme="minorHAnsi"/>
                <w:szCs w:val="24"/>
                <w:lang w:eastAsia="en-IE" w:bidi="en-US"/>
              </w:rPr>
              <w:t xml:space="preserve"> in localities</w:t>
            </w:r>
            <w:r w:rsidR="00C55AF7" w:rsidRPr="004F1BFA">
              <w:rPr>
                <w:rFonts w:asciiTheme="minorHAnsi" w:hAnsiTheme="minorHAnsi" w:cstheme="minorHAnsi"/>
                <w:szCs w:val="24"/>
                <w:lang w:eastAsia="en-IE" w:bidi="en-US"/>
              </w:rPr>
              <w:t>, in which</w:t>
            </w:r>
            <w:r w:rsidR="00F160E5" w:rsidRPr="004F1BFA">
              <w:rPr>
                <w:rFonts w:asciiTheme="minorHAnsi" w:hAnsiTheme="minorHAnsi" w:cstheme="minorHAnsi"/>
                <w:szCs w:val="24"/>
                <w:lang w:eastAsia="en-IE" w:bidi="en-US"/>
              </w:rPr>
              <w:t xml:space="preserve"> 14 days </w:t>
            </w:r>
            <w:r w:rsidR="00C55AF7" w:rsidRPr="004F1BFA">
              <w:rPr>
                <w:rFonts w:asciiTheme="minorHAnsi" w:hAnsiTheme="minorHAnsi" w:cstheme="minorHAnsi"/>
                <w:szCs w:val="24"/>
                <w:lang w:eastAsia="en-IE" w:bidi="en-US"/>
              </w:rPr>
              <w:t xml:space="preserve">before </w:t>
            </w:r>
            <w:r w:rsidR="00F160E5" w:rsidRPr="004F1BFA">
              <w:rPr>
                <w:rFonts w:asciiTheme="minorHAnsi" w:hAnsiTheme="minorHAnsi" w:cstheme="minorHAnsi"/>
                <w:szCs w:val="24"/>
                <w:lang w:eastAsia="en-IE" w:bidi="en-US"/>
              </w:rPr>
              <w:t xml:space="preserve">the election day at least </w:t>
            </w:r>
            <w:r w:rsidR="00C55AF7" w:rsidRPr="004F1BFA">
              <w:rPr>
                <w:rFonts w:asciiTheme="minorHAnsi" w:hAnsiTheme="minorHAnsi" w:cstheme="minorHAnsi"/>
                <w:szCs w:val="24"/>
                <w:lang w:eastAsia="en-IE" w:bidi="en-US"/>
              </w:rPr>
              <w:t>ten</w:t>
            </w:r>
            <w:r w:rsidR="00F160E5" w:rsidRPr="004F1BFA">
              <w:rPr>
                <w:rFonts w:asciiTheme="minorHAnsi" w:hAnsiTheme="minorHAnsi" w:cstheme="minorHAnsi"/>
                <w:szCs w:val="24"/>
                <w:lang w:eastAsia="en-IE" w:bidi="en-US"/>
              </w:rPr>
              <w:t xml:space="preserve"> requests</w:t>
            </w:r>
            <w:r w:rsidR="00C55AF7" w:rsidRPr="004F1BFA">
              <w:rPr>
                <w:rFonts w:asciiTheme="minorHAnsi" w:hAnsiTheme="minorHAnsi" w:cstheme="minorHAnsi"/>
                <w:szCs w:val="24"/>
                <w:lang w:eastAsia="en-IE" w:bidi="en-US"/>
              </w:rPr>
              <w:t xml:space="preserve"> had been submitted</w:t>
            </w:r>
            <w:r w:rsidR="00F160E5" w:rsidRPr="004F1BFA">
              <w:rPr>
                <w:rFonts w:asciiTheme="minorHAnsi" w:hAnsiTheme="minorHAnsi" w:cstheme="minorHAnsi"/>
                <w:szCs w:val="24"/>
                <w:lang w:eastAsia="en-IE" w:bidi="en-US"/>
              </w:rPr>
              <w:t>.</w:t>
            </w:r>
            <w:r w:rsidR="00F160E5" w:rsidRPr="004F1BFA">
              <w:rPr>
                <w:rStyle w:val="FootnoteReference"/>
                <w:rFonts w:asciiTheme="minorHAnsi" w:hAnsiTheme="minorHAnsi" w:cstheme="minorHAnsi"/>
                <w:szCs w:val="24"/>
                <w:lang w:eastAsia="en-IE" w:bidi="en-US"/>
              </w:rPr>
              <w:footnoteReference w:id="10"/>
            </w:r>
          </w:p>
        </w:tc>
      </w:tr>
      <w:tr w:rsidR="00CC2CCC" w:rsidRPr="00BF1EFB" w14:paraId="3D270E81"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BF1EFB" w:rsidRDefault="00566A68" w:rsidP="0055306F">
            <w:pPr>
              <w:pStyle w:val="FRABodyText"/>
            </w:pPr>
            <w:r w:rsidRPr="00BF1EFB">
              <w:lastRenderedPageBreak/>
              <w:t>Is there legislation regulating how people living in long-term institutions may vote?</w:t>
            </w:r>
          </w:p>
          <w:p w14:paraId="7A39CDDF" w14:textId="77777777" w:rsidR="00566A68" w:rsidRPr="00BF1EFB" w:rsidRDefault="00566A68" w:rsidP="0055306F">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69BD827" w14:textId="70BF0658" w:rsidR="00A27E77" w:rsidRPr="00BF1EFB" w:rsidRDefault="00566A68" w:rsidP="0055306F">
            <w:pPr>
              <w:pStyle w:val="FRABodyText"/>
            </w:pPr>
            <w:r w:rsidRPr="00BF1EFB">
              <w:t>Yes, specific legislative provisions</w:t>
            </w:r>
          </w:p>
          <w:p w14:paraId="08670BF7" w14:textId="3AD1824E" w:rsidR="00566A68" w:rsidRPr="00BF1EFB" w:rsidRDefault="00566A68" w:rsidP="0055306F">
            <w:pPr>
              <w:pStyle w:val="FRABodyText"/>
            </w:pPr>
            <w:r w:rsidRPr="00BF1EFB">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56D9337" w14:textId="3A91E5CA" w:rsidR="00A765B3" w:rsidRDefault="005E5557" w:rsidP="0055306F">
            <w:pPr>
              <w:pStyle w:val="FRABodyText"/>
            </w:pPr>
            <w:r>
              <w:t>T</w:t>
            </w:r>
            <w:r w:rsidR="001D1BA3" w:rsidRPr="004F1BFA">
              <w:t>he Electoral Code</w:t>
            </w:r>
            <w:r w:rsidR="00C807C6" w:rsidRPr="004F1BFA">
              <w:t xml:space="preserve"> (</w:t>
            </w:r>
            <w:r w:rsidR="00C807C6" w:rsidRPr="005E5557">
              <w:rPr>
                <w:i/>
                <w:lang w:val="bg-BG"/>
              </w:rPr>
              <w:t>Изборен кодекс</w:t>
            </w:r>
            <w:r w:rsidR="00C807C6" w:rsidRPr="004F1BFA">
              <w:t>)</w:t>
            </w:r>
            <w:r w:rsidR="001D1BA3" w:rsidRPr="004F1BFA">
              <w:t xml:space="preserve"> states that at </w:t>
            </w:r>
            <w:r>
              <w:t xml:space="preserve">national </w:t>
            </w:r>
            <w:r w:rsidR="001D1BA3" w:rsidRPr="004F1BFA">
              <w:t xml:space="preserve">parliamentary elections, European Parliament elections and </w:t>
            </w:r>
            <w:r>
              <w:t>presidential elections</w:t>
            </w:r>
            <w:r w:rsidR="001D1BA3" w:rsidRPr="004F1BFA">
              <w:t xml:space="preserve">, polling stations are </w:t>
            </w:r>
            <w:r>
              <w:t>established</w:t>
            </w:r>
            <w:r w:rsidR="001D1BA3" w:rsidRPr="004F1BFA">
              <w:t xml:space="preserve"> in </w:t>
            </w:r>
            <w:r w:rsidR="004F1CEA" w:rsidRPr="004F1BFA">
              <w:t>hospitals</w:t>
            </w:r>
            <w:r w:rsidR="001D1BA3" w:rsidRPr="004F1BFA">
              <w:t xml:space="preserve">, homes for </w:t>
            </w:r>
            <w:r>
              <w:t>older persons</w:t>
            </w:r>
            <w:r w:rsidR="004F1CEA" w:rsidRPr="004F1BFA">
              <w:t>,</w:t>
            </w:r>
            <w:r w:rsidR="001D1BA3" w:rsidRPr="004F1BFA">
              <w:t xml:space="preserve"> and other </w:t>
            </w:r>
            <w:proofErr w:type="spellStart"/>
            <w:r w:rsidR="001D1BA3" w:rsidRPr="004F1BFA">
              <w:t>specialised</w:t>
            </w:r>
            <w:proofErr w:type="spellEnd"/>
            <w:r w:rsidR="001D1BA3" w:rsidRPr="004F1BFA">
              <w:t xml:space="preserve"> institutions</w:t>
            </w:r>
            <w:r>
              <w:t xml:space="preserve"> </w:t>
            </w:r>
            <w:r w:rsidR="001D1BA3" w:rsidRPr="004F1BFA">
              <w:t>provid</w:t>
            </w:r>
            <w:r>
              <w:t>ing</w:t>
            </w:r>
            <w:r w:rsidR="001D1BA3" w:rsidRPr="004F1BFA">
              <w:t xml:space="preserve"> </w:t>
            </w:r>
            <w:r w:rsidR="00C807C6" w:rsidRPr="004F1BFA">
              <w:t xml:space="preserve">residential </w:t>
            </w:r>
            <w:r w:rsidR="001D1BA3" w:rsidRPr="004F1BFA">
              <w:t xml:space="preserve">social services </w:t>
            </w:r>
            <w:r>
              <w:t>if there are at least ten</w:t>
            </w:r>
            <w:r w:rsidR="001D1BA3" w:rsidRPr="004F1BFA">
              <w:t xml:space="preserve"> voters</w:t>
            </w:r>
            <w:r>
              <w:t xml:space="preserve"> accommodated there</w:t>
            </w:r>
            <w:r w:rsidR="001D1BA3" w:rsidRPr="004F1BFA">
              <w:t xml:space="preserve">. </w:t>
            </w:r>
            <w:r>
              <w:t>For</w:t>
            </w:r>
            <w:r w:rsidR="001D1BA3" w:rsidRPr="004F1BFA">
              <w:t xml:space="preserve"> </w:t>
            </w:r>
            <w:r>
              <w:t xml:space="preserve">local </w:t>
            </w:r>
            <w:r w:rsidR="001D1BA3" w:rsidRPr="004F1BFA">
              <w:t>elections, the</w:t>
            </w:r>
            <w:r w:rsidR="00A765B3">
              <w:t xml:space="preserve"> minimum numbe</w:t>
            </w:r>
            <w:r>
              <w:t>r</w:t>
            </w:r>
            <w:r w:rsidR="00A765B3">
              <w:t xml:space="preserve"> of voters is also ten, but there is an additional requirement that they should have lived in the same locality where the institution is located </w:t>
            </w:r>
            <w:r w:rsidR="001D1BA3" w:rsidRPr="004F1BFA">
              <w:t xml:space="preserve">in the last </w:t>
            </w:r>
            <w:r w:rsidR="00A765B3">
              <w:t>six</w:t>
            </w:r>
            <w:r w:rsidR="001D1BA3" w:rsidRPr="004F1BFA">
              <w:t xml:space="preserve"> months </w:t>
            </w:r>
            <w:r w:rsidR="00A765B3">
              <w:t xml:space="preserve">before </w:t>
            </w:r>
            <w:r w:rsidR="001D1BA3" w:rsidRPr="004F1BFA">
              <w:t>the election</w:t>
            </w:r>
            <w:r w:rsidR="00A765B3">
              <w:t>s</w:t>
            </w:r>
            <w:r w:rsidR="001D1BA3" w:rsidRPr="004F1BFA">
              <w:t>.</w:t>
            </w:r>
            <w:r w:rsidR="001D1BA3" w:rsidRPr="004F1BFA">
              <w:rPr>
                <w:rStyle w:val="FootnoteReference"/>
                <w:rFonts w:ascii="Verdana" w:hAnsi="Verdana"/>
                <w:sz w:val="20"/>
                <w:szCs w:val="20"/>
                <w:lang w:val="en-GB"/>
              </w:rPr>
              <w:footnoteReference w:id="11"/>
            </w:r>
          </w:p>
          <w:p w14:paraId="1EFCE354" w14:textId="77777777" w:rsidR="00A765B3" w:rsidRDefault="00A765B3" w:rsidP="0055306F">
            <w:pPr>
              <w:pStyle w:val="FRABodyText"/>
            </w:pPr>
          </w:p>
          <w:p w14:paraId="7442AE56" w14:textId="0A29436A" w:rsidR="004F1CEA" w:rsidRPr="004F1BFA" w:rsidRDefault="004F1CEA" w:rsidP="0055306F">
            <w:pPr>
              <w:pStyle w:val="FRABodyText"/>
            </w:pPr>
            <w:r w:rsidRPr="004F1BFA">
              <w:t>The Central Electoral Commission</w:t>
            </w:r>
            <w:r w:rsidR="00A765B3">
              <w:t xml:space="preserve"> (CEC)</w:t>
            </w:r>
            <w:r w:rsidRPr="004F1BFA">
              <w:t xml:space="preserve"> </w:t>
            </w:r>
            <w:r w:rsidRPr="00A765B3">
              <w:rPr>
                <w:lang w:val="bg-BG"/>
              </w:rPr>
              <w:t>(</w:t>
            </w:r>
            <w:r w:rsidRPr="00A765B3">
              <w:rPr>
                <w:i/>
                <w:lang w:val="bg-BG"/>
              </w:rPr>
              <w:t>Централна избирателна комисия</w:t>
            </w:r>
            <w:r w:rsidR="00A765B3" w:rsidRPr="00A765B3">
              <w:rPr>
                <w:iCs/>
                <w:lang w:val="bg-BG"/>
              </w:rPr>
              <w:t>, ЦИК</w:t>
            </w:r>
            <w:r w:rsidRPr="00A765B3">
              <w:rPr>
                <w:lang w:val="bg-BG"/>
              </w:rPr>
              <w:t>)</w:t>
            </w:r>
            <w:r w:rsidRPr="004F1BFA">
              <w:t xml:space="preserve"> </w:t>
            </w:r>
            <w:r w:rsidR="00A765B3">
              <w:t>defines</w:t>
            </w:r>
            <w:r w:rsidRPr="004F1BFA">
              <w:t xml:space="preserve"> the concrete procedures for </w:t>
            </w:r>
            <w:r w:rsidR="00A765B3">
              <w:t xml:space="preserve">establishing </w:t>
            </w:r>
            <w:r w:rsidRPr="004F1BFA">
              <w:t>polling stations</w:t>
            </w:r>
            <w:r w:rsidR="00A765B3">
              <w:t xml:space="preserve"> in such places</w:t>
            </w:r>
            <w:r w:rsidRPr="004F1BFA">
              <w:t xml:space="preserve"> for each particular round of elections. For example, for the</w:t>
            </w:r>
            <w:r w:rsidR="00A765B3">
              <w:t xml:space="preserve"> last</w:t>
            </w:r>
            <w:r w:rsidRPr="004F1BFA">
              <w:t xml:space="preserve"> local elections</w:t>
            </w:r>
            <w:r w:rsidR="00A765B3">
              <w:t>,</w:t>
            </w:r>
            <w:r w:rsidRPr="004F1BFA">
              <w:t xml:space="preserve"> held in October 2023, </w:t>
            </w:r>
            <w:r w:rsidR="00A765B3">
              <w:t xml:space="preserve">the </w:t>
            </w:r>
            <w:r w:rsidR="00A765B3" w:rsidRPr="004F1BFA">
              <w:t>Central Electoral Commission</w:t>
            </w:r>
            <w:r w:rsidR="00A765B3">
              <w:t xml:space="preserve"> (CEC)</w:t>
            </w:r>
            <w:r w:rsidR="00A765B3" w:rsidRPr="004F1BFA">
              <w:t xml:space="preserve"> </w:t>
            </w:r>
            <w:r w:rsidR="00A765B3" w:rsidRPr="00A765B3">
              <w:rPr>
                <w:lang w:val="bg-BG"/>
              </w:rPr>
              <w:t>(</w:t>
            </w:r>
            <w:r w:rsidR="00A765B3" w:rsidRPr="00A765B3">
              <w:rPr>
                <w:i/>
                <w:lang w:val="bg-BG"/>
              </w:rPr>
              <w:t>Централна избирателна комисия</w:t>
            </w:r>
            <w:r w:rsidR="00A765B3" w:rsidRPr="00A765B3">
              <w:rPr>
                <w:iCs/>
                <w:lang w:val="bg-BG"/>
              </w:rPr>
              <w:t>, ЦИК</w:t>
            </w:r>
            <w:r w:rsidR="00A765B3" w:rsidRPr="00A765B3">
              <w:rPr>
                <w:lang w:val="bg-BG"/>
              </w:rPr>
              <w:t>)</w:t>
            </w:r>
            <w:r w:rsidR="00A765B3">
              <w:t xml:space="preserve"> determined the </w:t>
            </w:r>
            <w:r w:rsidRPr="004F1BFA">
              <w:t>deadline</w:t>
            </w:r>
            <w:r w:rsidR="00A765B3">
              <w:t>s</w:t>
            </w:r>
            <w:r w:rsidRPr="004F1BFA">
              <w:t xml:space="preserve"> for </w:t>
            </w:r>
            <w:r w:rsidR="00A765B3">
              <w:t>compiling</w:t>
            </w:r>
            <w:r w:rsidRPr="004F1BFA">
              <w:t xml:space="preserve"> the</w:t>
            </w:r>
            <w:r w:rsidR="00A765B3">
              <w:t xml:space="preserve"> electoral</w:t>
            </w:r>
            <w:r w:rsidRPr="004F1BFA">
              <w:t xml:space="preserve"> lists and </w:t>
            </w:r>
            <w:r w:rsidR="00A765B3">
              <w:t xml:space="preserve">the </w:t>
            </w:r>
            <w:r w:rsidRPr="004F1BFA">
              <w:t>conditions</w:t>
            </w:r>
            <w:r w:rsidR="00A765B3">
              <w:t xml:space="preserve"> for adding to the lists</w:t>
            </w:r>
            <w:r w:rsidRPr="004F1BFA">
              <w:t xml:space="preserve"> </w:t>
            </w:r>
            <w:r w:rsidR="00A765B3">
              <w:t xml:space="preserve">the </w:t>
            </w:r>
            <w:r w:rsidRPr="004F1BFA">
              <w:t xml:space="preserve">people admitted to the hospital or institution </w:t>
            </w:r>
            <w:r w:rsidR="00A765B3">
              <w:t>and</w:t>
            </w:r>
            <w:r w:rsidRPr="004F1BFA">
              <w:t xml:space="preserve"> the personnel </w:t>
            </w:r>
            <w:r w:rsidR="00A765B3">
              <w:t>on</w:t>
            </w:r>
            <w:r w:rsidRPr="004F1BFA">
              <w:t xml:space="preserve"> shift </w:t>
            </w:r>
            <w:r w:rsidR="00A765B3">
              <w:t xml:space="preserve">during the </w:t>
            </w:r>
            <w:r w:rsidRPr="004F1BFA">
              <w:t>election day.</w:t>
            </w:r>
            <w:r w:rsidRPr="004F1BFA">
              <w:rPr>
                <w:rStyle w:val="FootnoteReference"/>
                <w:rFonts w:ascii="Verdana" w:hAnsi="Verdana"/>
                <w:sz w:val="20"/>
                <w:szCs w:val="20"/>
                <w:lang w:val="en-GB"/>
              </w:rPr>
              <w:footnoteReference w:id="12"/>
            </w:r>
          </w:p>
        </w:tc>
      </w:tr>
      <w:tr w:rsidR="00CC2CCC" w:rsidRPr="00BF1EFB" w14:paraId="72B066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BF1EFB" w:rsidRDefault="00566A68" w:rsidP="0055306F">
            <w:pPr>
              <w:pStyle w:val="FRABodyText"/>
            </w:pPr>
            <w:r w:rsidRPr="00BF1EFB">
              <w:lastRenderedPageBreak/>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8EAB9" w14:textId="1D10D6A4" w:rsidR="00566A68" w:rsidRPr="00BF1EFB" w:rsidRDefault="00566A68" w:rsidP="0055306F">
            <w:pPr>
              <w:pStyle w:val="FRABodyText"/>
            </w:pPr>
            <w:r w:rsidRPr="00BF1EFB">
              <w:t>Yes, for people with physical and sensory disabilities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B0DF520" w14:textId="3C4F86BF" w:rsidR="00135C76" w:rsidRPr="00BF1EFB" w:rsidRDefault="00F430A6" w:rsidP="0055306F">
            <w:pPr>
              <w:pStyle w:val="FRABodyText"/>
            </w:pPr>
            <w:r>
              <w:t>I</w:t>
            </w:r>
            <w:r w:rsidR="00135C76" w:rsidRPr="00BF1EFB">
              <w:t>n building</w:t>
            </w:r>
            <w:r>
              <w:t>s</w:t>
            </w:r>
            <w:r w:rsidR="00135C76" w:rsidRPr="00BF1EFB">
              <w:t xml:space="preserve"> with more than one floor</w:t>
            </w:r>
            <w:r>
              <w:t>, in which</w:t>
            </w:r>
            <w:r w:rsidR="00135C76" w:rsidRPr="00BF1EFB">
              <w:t xml:space="preserve"> there are polling stations on </w:t>
            </w:r>
            <w:r w:rsidR="001A4965" w:rsidRPr="00BF1EFB">
              <w:t xml:space="preserve">the </w:t>
            </w:r>
            <w:r w:rsidR="00135C76" w:rsidRPr="00BF1EFB">
              <w:t xml:space="preserve">upper floors, the district or municipal election commission should </w:t>
            </w:r>
            <w:r>
              <w:t xml:space="preserve">locate the polling station with </w:t>
            </w:r>
            <w:r w:rsidRPr="00BF1EFB">
              <w:t xml:space="preserve">the smallest number of voters </w:t>
            </w:r>
            <w:r>
              <w:t>on the electoral list</w:t>
            </w:r>
            <w:r w:rsidRPr="00BF1EFB">
              <w:t xml:space="preserve"> on the first floor (ground floor)</w:t>
            </w:r>
            <w:r>
              <w:rPr>
                <w:lang w:val="bg-BG"/>
              </w:rPr>
              <w:t xml:space="preserve"> </w:t>
            </w:r>
            <w:r>
              <w:t>and</w:t>
            </w:r>
            <w:r w:rsidRPr="00BF1EFB">
              <w:t xml:space="preserve"> </w:t>
            </w:r>
            <w:r w:rsidR="00135C76" w:rsidRPr="00BF1EFB">
              <w:t xml:space="preserve">designate </w:t>
            </w:r>
            <w:r>
              <w:t>it</w:t>
            </w:r>
            <w:r w:rsidR="00135C76" w:rsidRPr="00BF1EFB">
              <w:t xml:space="preserve"> for voters with visual impairment</w:t>
            </w:r>
            <w:r>
              <w:t>s</w:t>
            </w:r>
            <w:r w:rsidR="00135C76" w:rsidRPr="00BF1EFB">
              <w:t xml:space="preserve"> or mobility difficulties. In front of such polling station</w:t>
            </w:r>
            <w:r>
              <w:t>s</w:t>
            </w:r>
            <w:r w:rsidR="00135C76" w:rsidRPr="00BF1EFB">
              <w:t xml:space="preserve">, a signboard and other marking signs should be placed to indicate </w:t>
            </w:r>
            <w:r>
              <w:t>their</w:t>
            </w:r>
            <w:r w:rsidR="00135C76" w:rsidRPr="00BF1EFB">
              <w:t xml:space="preserve"> additional purpose.</w:t>
            </w:r>
            <w:r w:rsidR="001A4965" w:rsidRPr="00BF1EFB">
              <w:rPr>
                <w:rStyle w:val="FootnoteReference"/>
                <w:rFonts w:ascii="Verdana" w:hAnsi="Verdana"/>
                <w:sz w:val="20"/>
                <w:szCs w:val="20"/>
              </w:rPr>
              <w:footnoteReference w:id="13"/>
            </w:r>
          </w:p>
          <w:p w14:paraId="5ED55A2C" w14:textId="39F13B94" w:rsidR="00D863E7" w:rsidRPr="00BF1EFB" w:rsidRDefault="00D863E7" w:rsidP="0055306F">
            <w:pPr>
              <w:pStyle w:val="FRABodyText"/>
            </w:pPr>
          </w:p>
          <w:p w14:paraId="76875E53" w14:textId="68F8330E" w:rsidR="00D863E7" w:rsidRPr="00BF1EFB" w:rsidRDefault="00D863E7" w:rsidP="0055306F">
            <w:pPr>
              <w:pStyle w:val="FRABodyText"/>
            </w:pPr>
            <w:r w:rsidRPr="00BF1EFB">
              <w:t xml:space="preserve">The law also </w:t>
            </w:r>
            <w:r w:rsidR="00F430A6">
              <w:t>provides that</w:t>
            </w:r>
            <w:r w:rsidRPr="00BF1EFB">
              <w:t xml:space="preserve"> people with sensory or other disabilities that do not allow them to perform the necessary voting actions themselves, </w:t>
            </w:r>
            <w:r w:rsidR="00F430A6">
              <w:t>may</w:t>
            </w:r>
            <w:r w:rsidRPr="00BF1EFB">
              <w:t xml:space="preserve"> vote with the assistance of a support person of their choice. One support person cannot assist more than two voters with disabilities.</w:t>
            </w:r>
            <w:r w:rsidRPr="00BF1EFB">
              <w:rPr>
                <w:rStyle w:val="FootnoteReference"/>
                <w:rFonts w:ascii="Verdana" w:hAnsi="Verdana"/>
                <w:sz w:val="20"/>
                <w:szCs w:val="20"/>
              </w:rPr>
              <w:t xml:space="preserve"> </w:t>
            </w:r>
            <w:r w:rsidR="00051E5A">
              <w:t>M</w:t>
            </w:r>
            <w:r w:rsidR="008768CF" w:rsidRPr="00BF1EFB">
              <w:t>ember</w:t>
            </w:r>
            <w:r w:rsidR="00051E5A">
              <w:t>s</w:t>
            </w:r>
            <w:r w:rsidR="008768CF" w:rsidRPr="00BF1EFB">
              <w:t xml:space="preserve"> of electoral commission</w:t>
            </w:r>
            <w:r w:rsidR="00051E5A">
              <w:t>s</w:t>
            </w:r>
            <w:r w:rsidR="008768CF" w:rsidRPr="00BF1EFB">
              <w:t>, representativ</w:t>
            </w:r>
            <w:r w:rsidR="00051E5A">
              <w:t>es</w:t>
            </w:r>
            <w:r w:rsidR="008768CF" w:rsidRPr="00BF1EFB">
              <w:t xml:space="preserve"> of part</w:t>
            </w:r>
            <w:r w:rsidR="00051E5A">
              <w:t>ies</w:t>
            </w:r>
            <w:r w:rsidR="008768CF" w:rsidRPr="00BF1EFB">
              <w:t>, coalition</w:t>
            </w:r>
            <w:r w:rsidR="00051E5A">
              <w:t>s and</w:t>
            </w:r>
            <w:r w:rsidR="008768CF" w:rsidRPr="00BF1EFB">
              <w:t xml:space="preserve"> </w:t>
            </w:r>
            <w:r w:rsidR="00051E5A">
              <w:t xml:space="preserve">nominating </w:t>
            </w:r>
            <w:r w:rsidR="008768CF" w:rsidRPr="00BF1EFB">
              <w:t>committee</w:t>
            </w:r>
            <w:r w:rsidR="00051E5A">
              <w:t>s</w:t>
            </w:r>
            <w:r w:rsidR="008768CF" w:rsidRPr="00BF1EFB">
              <w:t>, advocate</w:t>
            </w:r>
            <w:r w:rsidR="00051E5A">
              <w:t>s and</w:t>
            </w:r>
            <w:r w:rsidR="008768CF" w:rsidRPr="00BF1EFB">
              <w:t xml:space="preserve"> observer</w:t>
            </w:r>
            <w:r w:rsidR="00051E5A">
              <w:t>s</w:t>
            </w:r>
            <w:r w:rsidR="008768CF" w:rsidRPr="00BF1EFB">
              <w:t xml:space="preserve"> cannot be </w:t>
            </w:r>
            <w:r w:rsidR="00051E5A" w:rsidRPr="00BF1EFB">
              <w:t>supporting</w:t>
            </w:r>
            <w:r w:rsidR="008768CF" w:rsidRPr="00BF1EFB">
              <w:t xml:space="preserve"> person</w:t>
            </w:r>
            <w:r w:rsidR="00051E5A">
              <w:t>s</w:t>
            </w:r>
            <w:r w:rsidR="008768CF" w:rsidRPr="00BF1EFB">
              <w:t xml:space="preserve"> of people with disabilities.</w:t>
            </w:r>
            <w:r w:rsidRPr="00BF1EFB">
              <w:rPr>
                <w:rStyle w:val="FootnoteReference"/>
                <w:rFonts w:ascii="Verdana" w:hAnsi="Verdana"/>
                <w:sz w:val="20"/>
                <w:szCs w:val="20"/>
              </w:rPr>
              <w:footnoteReference w:id="14"/>
            </w:r>
          </w:p>
          <w:p w14:paraId="28B456B6" w14:textId="296F41A3" w:rsidR="00D863E7" w:rsidRPr="00BF1EFB" w:rsidRDefault="00D863E7" w:rsidP="0055306F">
            <w:pPr>
              <w:pStyle w:val="FRABodyText"/>
            </w:pPr>
          </w:p>
          <w:p w14:paraId="2B57ED32" w14:textId="3785A6D7" w:rsidR="008768CF" w:rsidRPr="00AE7130" w:rsidRDefault="00D863E7" w:rsidP="0055306F">
            <w:pPr>
              <w:pStyle w:val="FRABodyText"/>
            </w:pPr>
            <w:r w:rsidRPr="00AE7130">
              <w:t>The Central Electoral Commission</w:t>
            </w:r>
            <w:r w:rsidR="00051E5A" w:rsidRPr="00AE7130">
              <w:t xml:space="preserve"> (CEC)</w:t>
            </w:r>
            <w:r w:rsidRPr="00AE7130">
              <w:t xml:space="preserve"> </w:t>
            </w:r>
            <w:r w:rsidRPr="00AE7130">
              <w:rPr>
                <w:lang w:val="bg-BG"/>
              </w:rPr>
              <w:t>(</w:t>
            </w:r>
            <w:r w:rsidRPr="00AE7130">
              <w:rPr>
                <w:i/>
                <w:lang w:val="bg-BG"/>
              </w:rPr>
              <w:t>Централна избирателна комисия</w:t>
            </w:r>
            <w:r w:rsidR="00051E5A" w:rsidRPr="00AE7130">
              <w:rPr>
                <w:iCs/>
                <w:lang w:val="bg-BG"/>
              </w:rPr>
              <w:t>, ЦИК</w:t>
            </w:r>
            <w:r w:rsidRPr="00AE7130">
              <w:rPr>
                <w:lang w:val="bg-BG"/>
              </w:rPr>
              <w:t>)</w:t>
            </w:r>
            <w:r w:rsidRPr="00AE7130">
              <w:t xml:space="preserve"> </w:t>
            </w:r>
            <w:r w:rsidR="00051E5A" w:rsidRPr="00AE7130">
              <w:t>defines</w:t>
            </w:r>
            <w:r w:rsidRPr="00AE7130">
              <w:t xml:space="preserve"> the concrete </w:t>
            </w:r>
            <w:r w:rsidR="00051E5A" w:rsidRPr="00AE7130">
              <w:t xml:space="preserve">voting </w:t>
            </w:r>
            <w:r w:rsidRPr="00AE7130">
              <w:t xml:space="preserve">procedures of people </w:t>
            </w:r>
            <w:r w:rsidRPr="00AE7130">
              <w:lastRenderedPageBreak/>
              <w:t>with disabilities and</w:t>
            </w:r>
            <w:r w:rsidR="00051E5A" w:rsidRPr="00AE7130">
              <w:t xml:space="preserve"> other voters</w:t>
            </w:r>
            <w:r w:rsidRPr="00AE7130">
              <w:t xml:space="preserve"> in need of support for each particular round of elections and </w:t>
            </w:r>
            <w:r w:rsidR="00AE7130" w:rsidRPr="00AE7130">
              <w:t>specifies</w:t>
            </w:r>
            <w:r w:rsidRPr="00AE7130">
              <w:t xml:space="preserve"> the measures to enable voters with visual impairments or mobility difficulties to vote. For example, for the</w:t>
            </w:r>
            <w:r w:rsidR="00051E5A" w:rsidRPr="00AE7130">
              <w:t xml:space="preserve"> last</w:t>
            </w:r>
            <w:r w:rsidRPr="00AE7130">
              <w:t xml:space="preserve"> local elections</w:t>
            </w:r>
            <w:r w:rsidR="00051E5A" w:rsidRPr="00AE7130">
              <w:t>,</w:t>
            </w:r>
            <w:r w:rsidRPr="00AE7130">
              <w:t xml:space="preserve"> held in October 2023, </w:t>
            </w:r>
            <w:r w:rsidR="008768CF" w:rsidRPr="00AE7130">
              <w:t xml:space="preserve">local electoral commissions and local authorities </w:t>
            </w:r>
            <w:r w:rsidR="00AE7130" w:rsidRPr="00AE7130">
              <w:t xml:space="preserve">were instructed </w:t>
            </w:r>
            <w:r w:rsidR="008768CF" w:rsidRPr="00AE7130">
              <w:t xml:space="preserve">to </w:t>
            </w:r>
            <w:r w:rsidR="00AE7130" w:rsidRPr="00AE7130">
              <w:t>ensure that</w:t>
            </w:r>
            <w:r w:rsidR="008768CF" w:rsidRPr="00AE7130">
              <w:t xml:space="preserve"> voting stations and voting tables are accessible</w:t>
            </w:r>
            <w:r w:rsidR="00AE7130" w:rsidRPr="00AE7130">
              <w:t>,</w:t>
            </w:r>
            <w:r w:rsidR="008768CF" w:rsidRPr="00AE7130">
              <w:t xml:space="preserve"> there are available parking slots</w:t>
            </w:r>
            <w:r w:rsidR="00AE7130" w:rsidRPr="00AE7130">
              <w:t>,</w:t>
            </w:r>
            <w:r w:rsidR="008768CF" w:rsidRPr="00AE7130">
              <w:t xml:space="preserve"> and citizens are informed </w:t>
            </w:r>
            <w:r w:rsidR="00AE7130" w:rsidRPr="00AE7130">
              <w:t>through the</w:t>
            </w:r>
            <w:r w:rsidR="008768CF" w:rsidRPr="00AE7130">
              <w:t xml:space="preserve"> media about the location of dedicated polling stations and </w:t>
            </w:r>
            <w:r w:rsidR="00AE7130" w:rsidRPr="00AE7130">
              <w:t xml:space="preserve">the </w:t>
            </w:r>
            <w:r w:rsidR="008768CF" w:rsidRPr="00AE7130">
              <w:t xml:space="preserve">contacts of </w:t>
            </w:r>
            <w:r w:rsidR="00AE7130" w:rsidRPr="00AE7130">
              <w:t xml:space="preserve">support </w:t>
            </w:r>
            <w:proofErr w:type="spellStart"/>
            <w:r w:rsidR="008768CF" w:rsidRPr="00AE7130">
              <w:t>organisation</w:t>
            </w:r>
            <w:r w:rsidR="00AE7130" w:rsidRPr="00AE7130">
              <w:t>s</w:t>
            </w:r>
            <w:proofErr w:type="spellEnd"/>
            <w:r w:rsidR="00472B79" w:rsidRPr="00AE7130">
              <w:t>.</w:t>
            </w:r>
            <w:r w:rsidR="00AE7130">
              <w:rPr>
                <w:rFonts w:ascii="Verdana" w:hAnsi="Verdana"/>
                <w:sz w:val="20"/>
                <w:szCs w:val="20"/>
              </w:rPr>
              <w:t xml:space="preserve"> For the same elections, </w:t>
            </w:r>
            <w:r w:rsidR="008768CF" w:rsidRPr="00BF1EFB">
              <w:t>municipal administrations</w:t>
            </w:r>
            <w:r w:rsidR="00AE7130">
              <w:t xml:space="preserve"> were advised</w:t>
            </w:r>
            <w:r w:rsidR="008768CF" w:rsidRPr="00BF1EFB">
              <w:t xml:space="preserve">, in coordination with the municipal election commissions, </w:t>
            </w:r>
            <w:r w:rsidR="00AE7130">
              <w:t>to</w:t>
            </w:r>
            <w:r w:rsidR="008768CF" w:rsidRPr="00BF1EFB">
              <w:t xml:space="preserve"> </w:t>
            </w:r>
            <w:r w:rsidR="00AE7130">
              <w:t>place,</w:t>
            </w:r>
            <w:r w:rsidR="008768CF" w:rsidRPr="00BF1EFB">
              <w:t xml:space="preserve"> where possible</w:t>
            </w:r>
            <w:r w:rsidR="00AE7130">
              <w:t>,</w:t>
            </w:r>
            <w:r w:rsidR="008768CF" w:rsidRPr="00BF1EFB">
              <w:t xml:space="preserve"> an audio player and a Braille template with </w:t>
            </w:r>
            <w:r w:rsidR="00AE7130">
              <w:t>the</w:t>
            </w:r>
            <w:r w:rsidR="008768CF" w:rsidRPr="00BF1EFB">
              <w:t xml:space="preserve"> list of candidate</w:t>
            </w:r>
            <w:r w:rsidR="00AE7130">
              <w:t>s</w:t>
            </w:r>
            <w:r w:rsidR="008768CF" w:rsidRPr="00BF1EFB">
              <w:t xml:space="preserve"> in front of the polling stations </w:t>
            </w:r>
            <w:r w:rsidR="00AE7130">
              <w:t xml:space="preserve">designated </w:t>
            </w:r>
            <w:r w:rsidR="008768CF" w:rsidRPr="00BF1EFB">
              <w:t>for voters with physical or sensory disabilities.</w:t>
            </w:r>
            <w:r w:rsidR="00AE7130" w:rsidRPr="00AE7130">
              <w:rPr>
                <w:rStyle w:val="FootnoteReference"/>
                <w:rFonts w:ascii="Verdana" w:hAnsi="Verdana"/>
                <w:sz w:val="20"/>
                <w:szCs w:val="20"/>
                <w:lang w:val="en-GB"/>
              </w:rPr>
              <w:footnoteReference w:id="15"/>
            </w:r>
          </w:p>
          <w:p w14:paraId="6381E7BA" w14:textId="5C7319F7" w:rsidR="00472B79" w:rsidRPr="00BF1EFB" w:rsidRDefault="00472B79" w:rsidP="0055306F">
            <w:pPr>
              <w:pStyle w:val="FRABodyText"/>
            </w:pPr>
          </w:p>
          <w:p w14:paraId="1021907B" w14:textId="35FA3ECC" w:rsidR="00D6794C" w:rsidRPr="00BF1EFB" w:rsidRDefault="00931E13" w:rsidP="0055306F">
            <w:pPr>
              <w:pStyle w:val="FRABodyText"/>
            </w:pPr>
            <w:r>
              <w:t>Despite these measures</w:t>
            </w:r>
            <w:r w:rsidR="0069594B" w:rsidRPr="00BF1EFB">
              <w:t>, the Ombudsman of the Republic of Bulgaria (</w:t>
            </w:r>
            <w:r w:rsidR="0069594B" w:rsidRPr="00BF1EFB">
              <w:rPr>
                <w:i/>
                <w:lang w:val="bg-BG"/>
              </w:rPr>
              <w:t>Омбудсман на Република България</w:t>
            </w:r>
            <w:r w:rsidR="0069594B" w:rsidRPr="00BF1EFB">
              <w:rPr>
                <w:lang w:val="bg-BG"/>
              </w:rPr>
              <w:t xml:space="preserve">) </w:t>
            </w:r>
            <w:r w:rsidR="001A4965" w:rsidRPr="00BF1EFB">
              <w:t xml:space="preserve">reports </w:t>
            </w:r>
            <w:r>
              <w:t xml:space="preserve">that </w:t>
            </w:r>
            <w:r w:rsidR="001A4965" w:rsidRPr="00BF1EFB">
              <w:t xml:space="preserve">people with visual disabilities </w:t>
            </w:r>
            <w:r>
              <w:t xml:space="preserve">face certain obstacles </w:t>
            </w:r>
            <w:r w:rsidR="001A4965" w:rsidRPr="00BF1EFB">
              <w:t xml:space="preserve">in accessing voting instructions, particularly concerning machine-assisted voting, </w:t>
            </w:r>
            <w:r>
              <w:t>while</w:t>
            </w:r>
            <w:r w:rsidR="001A4965" w:rsidRPr="00BF1EFB">
              <w:t xml:space="preserve"> </w:t>
            </w:r>
            <w:r w:rsidR="001A4965" w:rsidRPr="00BF1EFB">
              <w:lastRenderedPageBreak/>
              <w:t xml:space="preserve">the lack of sound signals from </w:t>
            </w:r>
            <w:r>
              <w:t xml:space="preserve">the </w:t>
            </w:r>
            <w:r w:rsidR="001A4965" w:rsidRPr="00BF1EFB">
              <w:t>voting devices sometimes leads to fail</w:t>
            </w:r>
            <w:r>
              <w:t>ed</w:t>
            </w:r>
            <w:r w:rsidR="001A4965" w:rsidRPr="00BF1EFB">
              <w:t xml:space="preserve"> vote</w:t>
            </w:r>
            <w:r>
              <w:t>s</w:t>
            </w:r>
            <w:r w:rsidR="001A4965" w:rsidRPr="00BF1EFB">
              <w:t>.</w:t>
            </w:r>
            <w:r w:rsidR="001A4965" w:rsidRPr="00BF1EFB">
              <w:rPr>
                <w:rStyle w:val="FootnoteReference"/>
                <w:rFonts w:ascii="Verdana" w:hAnsi="Verdana"/>
                <w:sz w:val="20"/>
                <w:szCs w:val="20"/>
              </w:rPr>
              <w:footnoteReference w:id="16"/>
            </w:r>
          </w:p>
        </w:tc>
      </w:tr>
      <w:tr w:rsidR="00CC2CCC" w:rsidRPr="00BF1EFB" w14:paraId="21C50DE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9077BC" w:rsidRDefault="00566A68" w:rsidP="0055306F">
            <w:pPr>
              <w:pStyle w:val="FRABodyText"/>
            </w:pPr>
            <w:r w:rsidRPr="009077BC">
              <w:lastRenderedPageBreak/>
              <w:t>Are all persons with disabilities legally able to access complaints mechanisms if they have not 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8011" w14:textId="77777777" w:rsidR="00566A68" w:rsidRPr="009077BC" w:rsidRDefault="00566A68" w:rsidP="0055306F">
            <w:pPr>
              <w:pStyle w:val="FRABodyText"/>
            </w:pPr>
            <w:r w:rsidRPr="009077BC">
              <w:t>No, only persons with legal capacity</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8AAED2" w14:textId="245781C4" w:rsidR="00700721" w:rsidRPr="009077BC" w:rsidRDefault="009077BC" w:rsidP="0055306F">
            <w:pPr>
              <w:pStyle w:val="FRABodyText"/>
            </w:pPr>
            <w:r w:rsidRPr="009077BC">
              <w:t xml:space="preserve">People with disabilities, with the exception of those deprived of legal capacity, can submit complaints to the competent bodies responsible for </w:t>
            </w:r>
            <w:proofErr w:type="spellStart"/>
            <w:r w:rsidRPr="009077BC">
              <w:t>organising</w:t>
            </w:r>
            <w:proofErr w:type="spellEnd"/>
            <w:r w:rsidRPr="009077BC">
              <w:t xml:space="preserve"> </w:t>
            </w:r>
            <w:r>
              <w:t xml:space="preserve">the elections. </w:t>
            </w:r>
            <w:r w:rsidR="00700721" w:rsidRPr="009077BC">
              <w:t xml:space="preserve">These competent bodies are respectively the </w:t>
            </w:r>
            <w:r>
              <w:t>p</w:t>
            </w:r>
            <w:r w:rsidR="00700721" w:rsidRPr="009077BC">
              <w:t xml:space="preserve">olling </w:t>
            </w:r>
            <w:r>
              <w:t>s</w:t>
            </w:r>
            <w:r w:rsidR="00700721" w:rsidRPr="009077BC">
              <w:t>tation</w:t>
            </w:r>
            <w:r>
              <w:t>s</w:t>
            </w:r>
            <w:r w:rsidR="00700721" w:rsidRPr="009077BC">
              <w:t xml:space="preserve">, </w:t>
            </w:r>
            <w:r>
              <w:t>the r</w:t>
            </w:r>
            <w:r w:rsidR="00700721" w:rsidRPr="009077BC">
              <w:t>egional/</w:t>
            </w:r>
            <w:r>
              <w:t>m</w:t>
            </w:r>
            <w:r w:rsidR="00700721" w:rsidRPr="009077BC">
              <w:t xml:space="preserve">unicipal </w:t>
            </w:r>
            <w:r>
              <w:t>e</w:t>
            </w:r>
            <w:r w:rsidR="00700721" w:rsidRPr="009077BC">
              <w:t xml:space="preserve">lectoral </w:t>
            </w:r>
            <w:r>
              <w:t>c</w:t>
            </w:r>
            <w:r w:rsidR="00700721" w:rsidRPr="009077BC">
              <w:t>ommissions and the Central Electoral Commission</w:t>
            </w:r>
            <w:r>
              <w:t xml:space="preserve"> (CEC) (</w:t>
            </w:r>
            <w:r>
              <w:rPr>
                <w:i/>
                <w:iCs/>
                <w:lang w:val="bg-BG"/>
              </w:rPr>
              <w:t>Централна избирателна комисия</w:t>
            </w:r>
            <w:r>
              <w:rPr>
                <w:lang w:val="bg-BG"/>
              </w:rPr>
              <w:t>, ЦИК</w:t>
            </w:r>
            <w:r>
              <w:t>)</w:t>
            </w:r>
            <w:r w:rsidR="00700721" w:rsidRPr="009077BC">
              <w:t>.</w:t>
            </w:r>
          </w:p>
          <w:p w14:paraId="3DE44C65" w14:textId="77777777" w:rsidR="00700721" w:rsidRPr="009077BC" w:rsidRDefault="00700721" w:rsidP="0055306F">
            <w:pPr>
              <w:pStyle w:val="FRABodyText"/>
            </w:pPr>
          </w:p>
          <w:p w14:paraId="0FB4AFB3" w14:textId="19E51954" w:rsidR="00566A68" w:rsidRPr="00BF1EFB" w:rsidRDefault="006E0D9F" w:rsidP="0055306F">
            <w:pPr>
              <w:pStyle w:val="FRABodyText"/>
            </w:pPr>
            <w:r w:rsidRPr="009077BC">
              <w:t xml:space="preserve">People deprived of legal capacity </w:t>
            </w:r>
            <w:r w:rsidR="009077BC">
              <w:t>are not able</w:t>
            </w:r>
            <w:r w:rsidRPr="009077BC">
              <w:t xml:space="preserve"> </w:t>
            </w:r>
            <w:r w:rsidR="009077BC">
              <w:t xml:space="preserve">to </w:t>
            </w:r>
            <w:r w:rsidRPr="009077BC">
              <w:t xml:space="preserve">access </w:t>
            </w:r>
            <w:r w:rsidR="009077BC">
              <w:t xml:space="preserve">the </w:t>
            </w:r>
            <w:r w:rsidRPr="009077BC">
              <w:t xml:space="preserve">complaints mechanisms </w:t>
            </w:r>
            <w:r w:rsidR="009077BC">
              <w:t xml:space="preserve">because </w:t>
            </w:r>
            <w:r w:rsidR="00EE2654" w:rsidRPr="009077BC">
              <w:t xml:space="preserve">having the right to vote is a </w:t>
            </w:r>
            <w:r w:rsidR="00F95ECB">
              <w:t xml:space="preserve">mandatory </w:t>
            </w:r>
            <w:r w:rsidR="00EE2654" w:rsidRPr="009077BC">
              <w:t xml:space="preserve">condition for accessing the </w:t>
            </w:r>
            <w:r w:rsidR="00FE255C" w:rsidRPr="009077BC">
              <w:t>review mechanism</w:t>
            </w:r>
            <w:r w:rsidR="00EE2654" w:rsidRPr="009077BC">
              <w:t xml:space="preserve"> </w:t>
            </w:r>
            <w:r w:rsidR="00F95ECB">
              <w:t>in case of</w:t>
            </w:r>
            <w:r w:rsidR="00EE2654" w:rsidRPr="009077BC">
              <w:t xml:space="preserve"> exclusion from the </w:t>
            </w:r>
            <w:r w:rsidR="00F95ECB">
              <w:t>electoral</w:t>
            </w:r>
            <w:r w:rsidR="00EE2654" w:rsidRPr="009077BC">
              <w:t xml:space="preserve"> lists.</w:t>
            </w:r>
            <w:r w:rsidR="00EE2654" w:rsidRPr="009077BC">
              <w:rPr>
                <w:rStyle w:val="FootnoteReference"/>
                <w:rFonts w:ascii="Verdana" w:hAnsi="Verdana"/>
                <w:sz w:val="20"/>
                <w:szCs w:val="20"/>
              </w:rPr>
              <w:footnoteReference w:id="17"/>
            </w:r>
            <w:r w:rsidR="00141024" w:rsidRPr="00BF1EFB">
              <w:t xml:space="preserve"> </w:t>
            </w:r>
          </w:p>
        </w:tc>
      </w:tr>
      <w:tr w:rsidR="00CC2CCC" w:rsidRPr="00BF1EFB" w14:paraId="533AB95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BF1EFB" w:rsidRDefault="00566A68" w:rsidP="0055306F">
            <w:pPr>
              <w:pStyle w:val="FRABodyText"/>
            </w:pPr>
            <w:r w:rsidRPr="00BF1EFB">
              <w:t>Is information on complaints mechanisms regarding political participation 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437412D2" w:rsidR="00566A68" w:rsidRPr="00BF1EFB" w:rsidRDefault="00566A68" w:rsidP="0055306F">
            <w:pPr>
              <w:pStyle w:val="FRABodyText"/>
            </w:pPr>
            <w:r w:rsidRPr="00BF1EFB">
              <w:t xml:space="preserve">Partially – some accessibility measures are in place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3BA239B" w14:textId="6A9534ED" w:rsidR="002B611F" w:rsidRPr="00BF1EFB" w:rsidRDefault="002B611F" w:rsidP="0055306F">
            <w:pPr>
              <w:pStyle w:val="FRABodyText"/>
            </w:pPr>
            <w:r w:rsidRPr="00BF1EFB">
              <w:t>The Electoral Code (</w:t>
            </w:r>
            <w:r w:rsidRPr="00BF1EFB">
              <w:rPr>
                <w:i/>
                <w:lang w:val="bg-BG"/>
              </w:rPr>
              <w:t>Изборен кодекс</w:t>
            </w:r>
            <w:r w:rsidRPr="00BF1EFB">
              <w:rPr>
                <w:lang w:val="bg-BG"/>
              </w:rPr>
              <w:t>)</w:t>
            </w:r>
            <w:r w:rsidR="0087751E">
              <w:t xml:space="preserve"> provides that complaints can be submitted </w:t>
            </w:r>
            <w:r w:rsidRPr="00BF1EFB">
              <w:t>by email, by telephone, by regular mail and on-site at the premises of the Central Electoral Commission</w:t>
            </w:r>
            <w:r w:rsidRPr="00BF1EFB">
              <w:rPr>
                <w:lang w:val="bg-BG"/>
              </w:rPr>
              <w:t xml:space="preserve"> </w:t>
            </w:r>
            <w:r w:rsidR="0087751E">
              <w:t>(</w:t>
            </w:r>
            <w:r w:rsidRPr="00BF1EFB">
              <w:t>CEC</w:t>
            </w:r>
            <w:r w:rsidR="0087751E">
              <w:t>)</w:t>
            </w:r>
            <w:r w:rsidRPr="00BF1EFB">
              <w:t xml:space="preserve"> (</w:t>
            </w:r>
            <w:r w:rsidRPr="00BF1EFB">
              <w:rPr>
                <w:i/>
                <w:lang w:val="bg-BG"/>
              </w:rPr>
              <w:t>Централна избирателна комисия</w:t>
            </w:r>
            <w:r w:rsidRPr="0087751E">
              <w:rPr>
                <w:iCs/>
              </w:rPr>
              <w:t xml:space="preserve">, </w:t>
            </w:r>
            <w:r w:rsidRPr="0087751E">
              <w:rPr>
                <w:iCs/>
                <w:lang w:val="bg-BG"/>
              </w:rPr>
              <w:t>ЦИК</w:t>
            </w:r>
            <w:r w:rsidRPr="00BF1EFB">
              <w:rPr>
                <w:lang w:val="bg-BG"/>
              </w:rPr>
              <w:t>)</w:t>
            </w:r>
            <w:r w:rsidRPr="00BF1EFB">
              <w:t>. Information about accessing th</w:t>
            </w:r>
            <w:r w:rsidR="0087751E">
              <w:t>e complaint</w:t>
            </w:r>
            <w:r w:rsidRPr="00BF1EFB">
              <w:t xml:space="preserve"> mechanism is </w:t>
            </w:r>
            <w:r w:rsidR="0087751E">
              <w:t xml:space="preserve">published </w:t>
            </w:r>
            <w:r w:rsidR="004D40DC" w:rsidRPr="00BF1EFB">
              <w:t>in</w:t>
            </w:r>
            <w:r w:rsidRPr="00BF1EFB">
              <w:t xml:space="preserve"> the </w:t>
            </w:r>
            <w:r w:rsidR="0087751E">
              <w:t>c</w:t>
            </w:r>
            <w:r w:rsidRPr="00BF1EFB">
              <w:t xml:space="preserve">ontacts </w:t>
            </w:r>
            <w:r w:rsidRPr="00BF1EFB">
              <w:lastRenderedPageBreak/>
              <w:t>section of the website</w:t>
            </w:r>
            <w:r w:rsidR="0087751E">
              <w:t xml:space="preserve"> of the </w:t>
            </w:r>
            <w:r w:rsidR="0087751E" w:rsidRPr="00BF1EFB">
              <w:t>Central Electoral Commission</w:t>
            </w:r>
            <w:r w:rsidR="0087751E" w:rsidRPr="00BF1EFB">
              <w:rPr>
                <w:lang w:val="bg-BG"/>
              </w:rPr>
              <w:t xml:space="preserve"> </w:t>
            </w:r>
            <w:r w:rsidR="0087751E">
              <w:t>(</w:t>
            </w:r>
            <w:r w:rsidR="0087751E" w:rsidRPr="00BF1EFB">
              <w:t>CEC</w:t>
            </w:r>
            <w:r w:rsidR="0087751E">
              <w:t>)</w:t>
            </w:r>
            <w:r w:rsidR="0087751E" w:rsidRPr="00BF1EFB">
              <w:t xml:space="preserve"> (</w:t>
            </w:r>
            <w:r w:rsidR="0087751E" w:rsidRPr="00BF1EFB">
              <w:rPr>
                <w:i/>
                <w:lang w:val="bg-BG"/>
              </w:rPr>
              <w:t>Централна избирателна комисия</w:t>
            </w:r>
            <w:r w:rsidR="0087751E" w:rsidRPr="0087751E">
              <w:rPr>
                <w:iCs/>
              </w:rPr>
              <w:t xml:space="preserve">, </w:t>
            </w:r>
            <w:r w:rsidR="0087751E" w:rsidRPr="0087751E">
              <w:rPr>
                <w:iCs/>
                <w:lang w:val="bg-BG"/>
              </w:rPr>
              <w:t>ЦИК</w:t>
            </w:r>
            <w:r w:rsidR="0087751E" w:rsidRPr="00BF1EFB">
              <w:rPr>
                <w:lang w:val="bg-BG"/>
              </w:rPr>
              <w:t>)</w:t>
            </w:r>
            <w:r w:rsidRPr="00BF1EFB">
              <w:t>.</w:t>
            </w:r>
            <w:r w:rsidRPr="00BF1EFB">
              <w:rPr>
                <w:rStyle w:val="FootnoteReference"/>
                <w:rFonts w:ascii="Verdana" w:hAnsi="Verdana"/>
                <w:sz w:val="20"/>
                <w:szCs w:val="20"/>
              </w:rPr>
              <w:footnoteReference w:id="18"/>
            </w:r>
          </w:p>
          <w:p w14:paraId="60FCBFB3" w14:textId="77777777" w:rsidR="002B611F" w:rsidRPr="00BF1EFB" w:rsidRDefault="002B611F" w:rsidP="0055306F">
            <w:pPr>
              <w:pStyle w:val="FRABodyText"/>
            </w:pPr>
          </w:p>
          <w:p w14:paraId="0A0E44A2" w14:textId="7631F604" w:rsidR="002B611F" w:rsidRPr="0087751E" w:rsidRDefault="0087751E" w:rsidP="0055306F">
            <w:pPr>
              <w:pStyle w:val="FRABodyText"/>
            </w:pPr>
            <w:r w:rsidRPr="0087751E">
              <w:t xml:space="preserve">Under Bulgarian law, </w:t>
            </w:r>
            <w:r w:rsidR="002B611F" w:rsidRPr="0087751E">
              <w:t xml:space="preserve">the content of </w:t>
            </w:r>
            <w:r w:rsidRPr="0087751E">
              <w:t xml:space="preserve">all </w:t>
            </w:r>
            <w:r w:rsidR="002B611F" w:rsidRPr="0087751E">
              <w:t xml:space="preserve">websites and mobile applications of administrative authorities, public service providers, and </w:t>
            </w:r>
            <w:r w:rsidRPr="0087751E">
              <w:t>persons performing public functions</w:t>
            </w:r>
            <w:r w:rsidR="002B611F" w:rsidRPr="0087751E">
              <w:t xml:space="preserve"> must comply with the </w:t>
            </w:r>
            <w:proofErr w:type="spellStart"/>
            <w:r w:rsidR="002B611F" w:rsidRPr="0087751E">
              <w:t>harmonised</w:t>
            </w:r>
            <w:proofErr w:type="spellEnd"/>
            <w:r w:rsidR="002B611F" w:rsidRPr="0087751E">
              <w:t xml:space="preserve"> standard EN 301 549 V2.1.2 (2018-08).</w:t>
            </w:r>
            <w:r w:rsidRPr="0087751E">
              <w:rPr>
                <w:rStyle w:val="FootnoteReference"/>
                <w:rFonts w:ascii="Verdana" w:hAnsi="Verdana"/>
                <w:sz w:val="20"/>
                <w:szCs w:val="20"/>
                <w:lang w:val="en-GB"/>
              </w:rPr>
              <w:footnoteReference w:id="19"/>
            </w:r>
          </w:p>
          <w:p w14:paraId="606BB897" w14:textId="77777777" w:rsidR="002B611F" w:rsidRPr="00BF1EFB" w:rsidRDefault="002B611F" w:rsidP="0055306F">
            <w:pPr>
              <w:pStyle w:val="FRABodyText"/>
            </w:pPr>
          </w:p>
          <w:p w14:paraId="0184804D" w14:textId="1EA6C053" w:rsidR="00566A68" w:rsidRPr="00BF1EFB" w:rsidRDefault="002B611F" w:rsidP="0055306F">
            <w:pPr>
              <w:pStyle w:val="FRABodyText"/>
            </w:pPr>
            <w:r w:rsidRPr="00BF1EFB">
              <w:t>An online accessibility check carried out by the Web Accessibility Initiative’s Alfa Semi-automated test tool</w:t>
            </w:r>
            <w:r w:rsidRPr="00BF1EFB">
              <w:rPr>
                <w:rStyle w:val="FootnoteReference"/>
                <w:rFonts w:ascii="Verdana" w:hAnsi="Verdana"/>
                <w:sz w:val="20"/>
                <w:szCs w:val="20"/>
              </w:rPr>
              <w:footnoteReference w:id="20"/>
            </w:r>
            <w:r w:rsidRPr="00BF1EFB">
              <w:t xml:space="preserve"> </w:t>
            </w:r>
            <w:r w:rsidR="000C0451">
              <w:t>shows</w:t>
            </w:r>
            <w:r w:rsidRPr="00BF1EFB">
              <w:t xml:space="preserve"> that the website </w:t>
            </w:r>
            <w:r w:rsidR="000C0451">
              <w:t xml:space="preserve">of the </w:t>
            </w:r>
            <w:r w:rsidR="000C0451" w:rsidRPr="00BF1EFB">
              <w:t>Central Electoral Commission</w:t>
            </w:r>
            <w:r w:rsidR="000C0451" w:rsidRPr="00BF1EFB">
              <w:rPr>
                <w:lang w:val="bg-BG"/>
              </w:rPr>
              <w:t xml:space="preserve"> </w:t>
            </w:r>
            <w:r w:rsidR="000C0451">
              <w:t>(</w:t>
            </w:r>
            <w:r w:rsidR="000C0451" w:rsidRPr="00BF1EFB">
              <w:t>CEC</w:t>
            </w:r>
            <w:r w:rsidR="000C0451">
              <w:t>)</w:t>
            </w:r>
            <w:r w:rsidR="000C0451" w:rsidRPr="00BF1EFB">
              <w:t xml:space="preserve"> (</w:t>
            </w:r>
            <w:r w:rsidR="000C0451" w:rsidRPr="00BF1EFB">
              <w:rPr>
                <w:i/>
                <w:lang w:val="bg-BG"/>
              </w:rPr>
              <w:t>Централна избирателна комисия</w:t>
            </w:r>
            <w:r w:rsidR="000C0451" w:rsidRPr="0087751E">
              <w:rPr>
                <w:iCs/>
              </w:rPr>
              <w:t xml:space="preserve">, </w:t>
            </w:r>
            <w:r w:rsidR="000C0451" w:rsidRPr="0087751E">
              <w:rPr>
                <w:iCs/>
                <w:lang w:val="bg-BG"/>
              </w:rPr>
              <w:t>ЦИК</w:t>
            </w:r>
            <w:r w:rsidR="000C0451" w:rsidRPr="00BF1EFB">
              <w:rPr>
                <w:lang w:val="bg-BG"/>
              </w:rPr>
              <w:t>)</w:t>
            </w:r>
            <w:r w:rsidR="000C0451">
              <w:t xml:space="preserve"> </w:t>
            </w:r>
            <w:r w:rsidRPr="00BF1EFB">
              <w:t>does not comply with WCAG 2.1 AA standard.</w:t>
            </w:r>
            <w:r w:rsidRPr="00BF1EFB">
              <w:rPr>
                <w:rStyle w:val="FootnoteReference"/>
                <w:rFonts w:ascii="Verdana" w:hAnsi="Verdana"/>
                <w:sz w:val="20"/>
                <w:szCs w:val="20"/>
              </w:rPr>
              <w:footnoteReference w:id="21"/>
            </w:r>
          </w:p>
        </w:tc>
      </w:tr>
      <w:tr w:rsidR="00CC2CCC" w:rsidRPr="00BF1EFB" w14:paraId="0ACA1222"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BF1EFB" w:rsidRDefault="00566A68" w:rsidP="0055306F">
            <w:pPr>
              <w:pStyle w:val="FRABodyText"/>
            </w:pPr>
            <w:r w:rsidRPr="00BF1EFB">
              <w:lastRenderedPageBreak/>
              <w:t xml:space="preserve">Have national courts considered cases related to the </w:t>
            </w:r>
            <w:r w:rsidRPr="00BF1EFB">
              <w:lastRenderedPageBreak/>
              <w:t>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60E57B" w14:textId="7E68B2FD" w:rsidR="00566A68" w:rsidRPr="00BF1EFB" w:rsidRDefault="00566A68" w:rsidP="0055306F">
            <w:pPr>
              <w:pStyle w:val="FRABodyText"/>
            </w:pPr>
            <w:r w:rsidRPr="00BF1EFB">
              <w:lastRenderedPageBreak/>
              <w:t xml:space="preserve">Yes, cases considered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504740" w14:textId="449979FA" w:rsidR="00566A68" w:rsidRPr="00BF1EFB" w:rsidRDefault="00BE4889" w:rsidP="0055306F">
            <w:pPr>
              <w:pStyle w:val="FRABodyText"/>
            </w:pPr>
            <w:r>
              <w:t>I</w:t>
            </w:r>
            <w:r w:rsidR="00CB1FF8" w:rsidRPr="00BF1EFB">
              <w:t>n 2023</w:t>
            </w:r>
            <w:r>
              <w:t>,</w:t>
            </w:r>
            <w:r w:rsidR="00CB1FF8" w:rsidRPr="00BF1EFB">
              <w:t xml:space="preserve"> the Administrative Court of </w:t>
            </w:r>
            <w:proofErr w:type="spellStart"/>
            <w:r w:rsidR="00CB1FF8" w:rsidRPr="00BF1EFB">
              <w:t>Pazard</w:t>
            </w:r>
            <w:r>
              <w:t>zh</w:t>
            </w:r>
            <w:r w:rsidR="00CB1FF8" w:rsidRPr="00BF1EFB">
              <w:t>ik</w:t>
            </w:r>
            <w:proofErr w:type="spellEnd"/>
            <w:r w:rsidR="00CB1FF8" w:rsidRPr="00BF1EFB">
              <w:t xml:space="preserve"> (</w:t>
            </w:r>
            <w:r w:rsidR="00CB1FF8" w:rsidRPr="00BF1EFB">
              <w:rPr>
                <w:i/>
                <w:lang w:val="bg-BG"/>
              </w:rPr>
              <w:t>Административен съд Пазарджик</w:t>
            </w:r>
            <w:r w:rsidR="00CB1FF8" w:rsidRPr="00BF1EFB">
              <w:rPr>
                <w:lang w:val="bg-BG"/>
              </w:rPr>
              <w:t>)</w:t>
            </w:r>
            <w:r>
              <w:t xml:space="preserve"> considered three identical </w:t>
            </w:r>
            <w:r w:rsidRPr="00B35F7D">
              <w:lastRenderedPageBreak/>
              <w:t>cases related to the right to political participation of persons with disabilities</w:t>
            </w:r>
            <w:r w:rsidR="00CB1FF8" w:rsidRPr="00B35F7D">
              <w:t xml:space="preserve">. In all of them, the </w:t>
            </w:r>
            <w:r w:rsidR="00B35F7D" w:rsidRPr="00B35F7D">
              <w:t>c</w:t>
            </w:r>
            <w:r w:rsidR="00CB1FF8" w:rsidRPr="00B35F7D">
              <w:t xml:space="preserve">ourt </w:t>
            </w:r>
            <w:r w:rsidR="00B35F7D" w:rsidRPr="00B35F7D">
              <w:t xml:space="preserve">upheld the decisions of local mayors to </w:t>
            </w:r>
            <w:proofErr w:type="spellStart"/>
            <w:r w:rsidR="00B35F7D" w:rsidRPr="00B35F7D">
              <w:t>organise</w:t>
            </w:r>
            <w:proofErr w:type="spellEnd"/>
            <w:r w:rsidR="00B35F7D" w:rsidRPr="00B35F7D">
              <w:t xml:space="preserve"> </w:t>
            </w:r>
            <w:r w:rsidR="00B35F7D">
              <w:t xml:space="preserve">mobile polling boxes in localities </w:t>
            </w:r>
            <w:r w:rsidR="00F83CCB">
              <w:t xml:space="preserve">where the minimum number of applications from persons with disabilities were received within the statutory time limit. The mayors’ decisions were appealed before the court by one of the political parties participating in the elections, which </w:t>
            </w:r>
            <w:r w:rsidR="00177157">
              <w:t>argued</w:t>
            </w:r>
            <w:r w:rsidR="00F83CCB">
              <w:t xml:space="preserve"> that </w:t>
            </w:r>
            <w:r w:rsidR="00177157">
              <w:t xml:space="preserve">the mayors should not only have verified the existence of the applicants’ disability certificates, but should also have checked whether their disabilities practically prevented them from voting </w:t>
            </w:r>
            <w:r w:rsidR="005D63FF" w:rsidRPr="00B35F7D">
              <w:t xml:space="preserve">in a regular polling station. </w:t>
            </w:r>
            <w:r w:rsidR="00177157">
              <w:t xml:space="preserve">In all of the cases, the court dismissed the appeal noting that local authorities were obliged by law to </w:t>
            </w:r>
            <w:r w:rsidR="005D63FF" w:rsidRPr="00B35F7D">
              <w:t xml:space="preserve">verify </w:t>
            </w:r>
            <w:r w:rsidR="00177157">
              <w:t xml:space="preserve">only the existence of a valid disability certificate without </w:t>
            </w:r>
            <w:r w:rsidR="008A56AD">
              <w:t>examining further the nature and implications of the particular disability</w:t>
            </w:r>
            <w:r w:rsidR="005D63FF" w:rsidRPr="00B35F7D">
              <w:t>.</w:t>
            </w:r>
            <w:r w:rsidR="005D63FF" w:rsidRPr="00B35F7D">
              <w:rPr>
                <w:rStyle w:val="FootnoteReference"/>
                <w:rFonts w:ascii="Verdana" w:hAnsi="Verdana"/>
                <w:sz w:val="20"/>
                <w:szCs w:val="20"/>
                <w:lang w:val="en-GB"/>
              </w:rPr>
              <w:footnoteReference w:id="22"/>
            </w:r>
            <w:r w:rsidR="005D63FF" w:rsidRPr="00BF1EFB">
              <w:t xml:space="preserve"> </w:t>
            </w:r>
          </w:p>
        </w:tc>
      </w:tr>
      <w:tr w:rsidR="00CC2CCC" w:rsidRPr="00BF1EFB" w14:paraId="2DA61EC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BF1EFB" w:rsidRDefault="00566A68" w:rsidP="0055306F">
            <w:pPr>
              <w:pStyle w:val="FRABodyText"/>
            </w:pPr>
            <w:r w:rsidRPr="00BF1EFB">
              <w:lastRenderedPageBreak/>
              <w:t xml:space="preserve">Have non-judicial complaints mechanisms considered cases </w:t>
            </w:r>
            <w:r w:rsidRPr="00BF1EFB">
              <w:lastRenderedPageBreak/>
              <w:t>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1C132A" w14:textId="385F7CB4" w:rsidR="00DF7E45" w:rsidRPr="00BF1EFB" w:rsidRDefault="00566A68" w:rsidP="0055306F">
            <w:pPr>
              <w:pStyle w:val="FRABodyText"/>
            </w:pPr>
            <w:r w:rsidRPr="00BF1EFB">
              <w:lastRenderedPageBreak/>
              <w:t>Yes, cases considered</w:t>
            </w:r>
          </w:p>
          <w:p w14:paraId="6F17EE7F" w14:textId="4EF5F59C" w:rsidR="00566A68" w:rsidRPr="00BF1EFB" w:rsidRDefault="00566A68" w:rsidP="0055306F">
            <w:pPr>
              <w:pStyle w:val="FRABodyText"/>
            </w:pPr>
            <w:r w:rsidRPr="00BF1EFB">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14E0A2C" w14:textId="2BFFE48D" w:rsidR="00566A68" w:rsidRPr="00BF1EFB" w:rsidRDefault="009D0E01" w:rsidP="0055306F">
            <w:pPr>
              <w:pStyle w:val="FRABodyText"/>
            </w:pPr>
            <w:r w:rsidRPr="00BF1EFB">
              <w:t>The Central Electoral Commission</w:t>
            </w:r>
            <w:r w:rsidR="008A56AD">
              <w:rPr>
                <w:lang w:val="bg-BG"/>
              </w:rPr>
              <w:t xml:space="preserve"> </w:t>
            </w:r>
            <w:r w:rsidR="008A56AD">
              <w:t>(CEC)</w:t>
            </w:r>
            <w:r w:rsidRPr="00BF1EFB">
              <w:t xml:space="preserve"> (</w:t>
            </w:r>
            <w:r w:rsidRPr="008A56AD">
              <w:rPr>
                <w:i/>
                <w:iCs/>
                <w:lang w:val="bg-BG"/>
              </w:rPr>
              <w:t>Централна избирателна комисия</w:t>
            </w:r>
            <w:r w:rsidR="008A56AD">
              <w:rPr>
                <w:lang w:val="bg-BG"/>
              </w:rPr>
              <w:t>, ЦИК</w:t>
            </w:r>
            <w:r w:rsidRPr="00BF1EFB">
              <w:rPr>
                <w:lang w:val="bg-BG"/>
              </w:rPr>
              <w:t xml:space="preserve">) </w:t>
            </w:r>
            <w:r w:rsidRPr="00BF1EFB">
              <w:t>considers complaints</w:t>
            </w:r>
            <w:r w:rsidR="00DA0A24" w:rsidRPr="00BF1EFB">
              <w:t xml:space="preserve"> for violations of the Electoral </w:t>
            </w:r>
            <w:r w:rsidR="00DA0A24" w:rsidRPr="00BF1EFB">
              <w:lastRenderedPageBreak/>
              <w:t>Code (</w:t>
            </w:r>
            <w:r w:rsidR="00DA0A24" w:rsidRPr="00BF1EFB">
              <w:rPr>
                <w:i/>
                <w:lang w:val="bg-BG"/>
              </w:rPr>
              <w:t>Изборен кодекс</w:t>
            </w:r>
            <w:r w:rsidR="00DA0A24" w:rsidRPr="00BF1EFB">
              <w:rPr>
                <w:lang w:val="bg-BG"/>
              </w:rPr>
              <w:t>)</w:t>
            </w:r>
            <w:r w:rsidR="008A56AD">
              <w:t>, including complaints related to the participation of persons with disabilities</w:t>
            </w:r>
            <w:r w:rsidR="00DA0A24" w:rsidRPr="00BF1EFB">
              <w:rPr>
                <w:lang w:val="bg-BG"/>
              </w:rPr>
              <w:t xml:space="preserve">. </w:t>
            </w:r>
            <w:r w:rsidR="008A56AD">
              <w:t>During the last</w:t>
            </w:r>
            <w:r w:rsidR="00CB2392">
              <w:t xml:space="preserve"> local</w:t>
            </w:r>
            <w:r w:rsidR="008A56AD">
              <w:t xml:space="preserve"> elections, held in October 2023, </w:t>
            </w:r>
            <w:r w:rsidR="00CB2392">
              <w:t>out of about</w:t>
            </w:r>
            <w:r w:rsidR="00DA0A24" w:rsidRPr="00BF1EFB">
              <w:t xml:space="preserve"> 160 complaints</w:t>
            </w:r>
            <w:r w:rsidR="00CB2392">
              <w:t xml:space="preserve"> received,</w:t>
            </w:r>
            <w:r w:rsidR="00DA0A24" w:rsidRPr="00BF1EFB">
              <w:t xml:space="preserve"> two </w:t>
            </w:r>
            <w:r w:rsidR="00DF7E45" w:rsidRPr="00BF1EFB">
              <w:t>were related to</w:t>
            </w:r>
            <w:r w:rsidR="00DA0A24" w:rsidRPr="00BF1EFB">
              <w:t xml:space="preserve"> the legal provisions </w:t>
            </w:r>
            <w:r w:rsidR="00CB2392">
              <w:t>concerning</w:t>
            </w:r>
            <w:r w:rsidR="00DA0A24" w:rsidRPr="00BF1EFB">
              <w:t xml:space="preserve"> the right to political participation of persons with disabilities.</w:t>
            </w:r>
            <w:r w:rsidR="00DF7E45" w:rsidRPr="00BF1EFB">
              <w:t xml:space="preserve"> One of them was </w:t>
            </w:r>
            <w:r w:rsidR="00CB2392">
              <w:t>about</w:t>
            </w:r>
            <w:r w:rsidR="00DF7E45" w:rsidRPr="00BF1EFB">
              <w:t xml:space="preserve"> assigning a number to a polling station i</w:t>
            </w:r>
            <w:r w:rsidR="00CB2392">
              <w:t>n</w:t>
            </w:r>
            <w:r w:rsidR="00DF7E45" w:rsidRPr="00BF1EFB">
              <w:t xml:space="preserve"> an institution for </w:t>
            </w:r>
            <w:r w:rsidR="00CB2392">
              <w:t>older persons</w:t>
            </w:r>
            <w:r w:rsidR="00DF7E45" w:rsidRPr="00BF1EFB">
              <w:t xml:space="preserve"> and the other was related to the right of a</w:t>
            </w:r>
            <w:r w:rsidR="00CB2392">
              <w:t xml:space="preserve"> member of an</w:t>
            </w:r>
            <w:r w:rsidR="00DF7E45" w:rsidRPr="00BF1EFB">
              <w:t xml:space="preserve"> electoral commission to accompany a </w:t>
            </w:r>
            <w:r w:rsidR="00CB2392">
              <w:t>family member with disability</w:t>
            </w:r>
            <w:r w:rsidR="00DF7E45" w:rsidRPr="00BF1EFB">
              <w:t>.</w:t>
            </w:r>
            <w:r w:rsidR="00DA0A24" w:rsidRPr="00BF1EFB">
              <w:rPr>
                <w:rStyle w:val="FootnoteReference"/>
                <w:rFonts w:ascii="Verdana" w:hAnsi="Verdana"/>
                <w:sz w:val="20"/>
              </w:rPr>
              <w:footnoteReference w:id="23"/>
            </w:r>
          </w:p>
          <w:p w14:paraId="00761B34" w14:textId="77777777" w:rsidR="00DF7E45" w:rsidRPr="00BF1EFB" w:rsidRDefault="00DF7E45" w:rsidP="0055306F">
            <w:pPr>
              <w:pStyle w:val="FRABodyText"/>
            </w:pPr>
          </w:p>
          <w:p w14:paraId="779C6A3A" w14:textId="29EF55C4" w:rsidR="00DF7E45" w:rsidRPr="00BF1EFB" w:rsidRDefault="00CB2392" w:rsidP="0055306F">
            <w:pPr>
              <w:pStyle w:val="FRABodyText"/>
            </w:pPr>
            <w:r>
              <w:t>In the period 2020 – 2023, t</w:t>
            </w:r>
            <w:r w:rsidR="00DF7E45" w:rsidRPr="00BF1EFB">
              <w:t>he Ombudsman of the Republic of Bulgaria (</w:t>
            </w:r>
            <w:r w:rsidR="00DF7E45" w:rsidRPr="00BF1EFB">
              <w:rPr>
                <w:i/>
                <w:lang w:val="bg-BG"/>
              </w:rPr>
              <w:t>Омбудсман на Република България</w:t>
            </w:r>
            <w:r w:rsidR="00DF7E45" w:rsidRPr="00BF1EFB">
              <w:rPr>
                <w:lang w:val="bg-BG"/>
              </w:rPr>
              <w:t xml:space="preserve">) </w:t>
            </w:r>
            <w:r w:rsidR="00DF7E45" w:rsidRPr="00BF1EFB">
              <w:t xml:space="preserve">received six complaints from </w:t>
            </w:r>
            <w:r>
              <w:t>persons</w:t>
            </w:r>
            <w:r w:rsidR="00DF7E45" w:rsidRPr="00BF1EFB">
              <w:t xml:space="preserve"> with disabilities </w:t>
            </w:r>
            <w:r>
              <w:t>concerning their participation in elections</w:t>
            </w:r>
            <w:r w:rsidR="00DF7E45" w:rsidRPr="00BF1EFB">
              <w:t xml:space="preserve">. </w:t>
            </w:r>
            <w:r w:rsidR="00573F3B" w:rsidRPr="00BF1EFB">
              <w:t>They were</w:t>
            </w:r>
            <w:r w:rsidR="00DF7E45" w:rsidRPr="00BF1EFB">
              <w:t xml:space="preserve"> related to: </w:t>
            </w:r>
            <w:r>
              <w:t>(</w:t>
            </w:r>
            <w:r w:rsidR="00573F3B" w:rsidRPr="00BF1EFB">
              <w:t xml:space="preserve">1) </w:t>
            </w:r>
            <w:r w:rsidR="00DF7E45" w:rsidRPr="00BF1EFB">
              <w:t xml:space="preserve">the need for more information on </w:t>
            </w:r>
            <w:r>
              <w:t xml:space="preserve">the </w:t>
            </w:r>
            <w:r w:rsidR="00DF7E45" w:rsidRPr="00BF1EFB">
              <w:t>voting</w:t>
            </w:r>
            <w:r>
              <w:t xml:space="preserve"> process</w:t>
            </w:r>
            <w:r w:rsidR="00DF7E45" w:rsidRPr="00BF1EFB">
              <w:t xml:space="preserve"> for </w:t>
            </w:r>
            <w:r>
              <w:t>persons</w:t>
            </w:r>
            <w:r w:rsidR="00DF7E45" w:rsidRPr="00BF1EFB">
              <w:t xml:space="preserve"> with permanent disabilities; </w:t>
            </w:r>
            <w:r>
              <w:t>(</w:t>
            </w:r>
            <w:r w:rsidR="00573F3B" w:rsidRPr="00BF1EFB">
              <w:t xml:space="preserve">2) </w:t>
            </w:r>
            <w:r>
              <w:t>facilitating</w:t>
            </w:r>
            <w:r w:rsidR="00DF7E45" w:rsidRPr="00BF1EFB">
              <w:t xml:space="preserve"> the administrative procedure for certifying the existence of a disability </w:t>
            </w:r>
            <w:r w:rsidR="00573F3B" w:rsidRPr="00BF1EFB">
              <w:t>when adding a person</w:t>
            </w:r>
            <w:r w:rsidR="00DF7E45" w:rsidRPr="00BF1EFB">
              <w:t xml:space="preserve"> </w:t>
            </w:r>
            <w:r>
              <w:t>to</w:t>
            </w:r>
            <w:r w:rsidR="00DF7E45" w:rsidRPr="00BF1EFB">
              <w:t xml:space="preserve"> the lists for voting with a mobile </w:t>
            </w:r>
            <w:r w:rsidR="00573F3B" w:rsidRPr="00BF1EFB">
              <w:t>polling</w:t>
            </w:r>
            <w:r w:rsidR="00DF7E45" w:rsidRPr="00BF1EFB">
              <w:t xml:space="preserve"> box, </w:t>
            </w:r>
            <w:r>
              <w:t>and</w:t>
            </w:r>
            <w:r w:rsidR="00DF7E45" w:rsidRPr="00BF1EFB">
              <w:t xml:space="preserve"> </w:t>
            </w:r>
            <w:r>
              <w:t>(</w:t>
            </w:r>
            <w:r w:rsidR="00573F3B" w:rsidRPr="00BF1EFB">
              <w:t xml:space="preserve">3) </w:t>
            </w:r>
            <w:r w:rsidR="00DF7E45" w:rsidRPr="00BF1EFB">
              <w:t xml:space="preserve">the difficulties </w:t>
            </w:r>
            <w:r>
              <w:lastRenderedPageBreak/>
              <w:t>faced by</w:t>
            </w:r>
            <w:r w:rsidR="00DF7E45" w:rsidRPr="00BF1EFB">
              <w:t xml:space="preserve"> </w:t>
            </w:r>
            <w:r>
              <w:t>persons</w:t>
            </w:r>
            <w:r w:rsidR="00DF7E45" w:rsidRPr="00BF1EFB">
              <w:t xml:space="preserve"> with disabilities </w:t>
            </w:r>
            <w:r>
              <w:t xml:space="preserve">when </w:t>
            </w:r>
            <w:r w:rsidR="00DF7E45" w:rsidRPr="00BF1EFB">
              <w:t>using technical devices for machine voting</w:t>
            </w:r>
            <w:r>
              <w:t xml:space="preserve"> that are</w:t>
            </w:r>
            <w:r w:rsidR="00DF7E45" w:rsidRPr="00BF1EFB">
              <w:t xml:space="preserve"> not adapted to their needs.</w:t>
            </w:r>
            <w:r w:rsidR="00573F3B" w:rsidRPr="00BF1EFB">
              <w:rPr>
                <w:rStyle w:val="FootnoteReference"/>
                <w:rFonts w:ascii="Verdana" w:hAnsi="Verdana"/>
                <w:sz w:val="20"/>
              </w:rPr>
              <w:footnoteReference w:id="24"/>
            </w:r>
            <w:r w:rsidR="00DF7E45" w:rsidRPr="00BF1EFB">
              <w:t xml:space="preserve"> </w:t>
            </w:r>
          </w:p>
          <w:p w14:paraId="1A44C850" w14:textId="77777777" w:rsidR="00573F3B" w:rsidRPr="00BF1EFB" w:rsidRDefault="00573F3B" w:rsidP="0055306F">
            <w:pPr>
              <w:pStyle w:val="FRABodyText"/>
            </w:pPr>
          </w:p>
          <w:p w14:paraId="04257FD7" w14:textId="2C656D0F" w:rsidR="00436E96" w:rsidRPr="00BF1EFB" w:rsidRDefault="00285302" w:rsidP="0055306F">
            <w:pPr>
              <w:pStyle w:val="FRABodyText"/>
            </w:pPr>
            <w:r>
              <w:t>The national</w:t>
            </w:r>
            <w:r w:rsidR="00436E96" w:rsidRPr="00BF1EFB">
              <w:t xml:space="preserve"> equality body</w:t>
            </w:r>
            <w:r>
              <w:t>, the Commission for Protection against Discrimination (CPD) (</w:t>
            </w:r>
            <w:r>
              <w:rPr>
                <w:i/>
                <w:iCs/>
                <w:lang w:val="bg-BG"/>
              </w:rPr>
              <w:t>Комисия за защита от дискриминация</w:t>
            </w:r>
            <w:r>
              <w:rPr>
                <w:lang w:val="bg-BG"/>
              </w:rPr>
              <w:t>, КЗД</w:t>
            </w:r>
            <w:r>
              <w:t>)</w:t>
            </w:r>
            <w:r w:rsidR="00436E96" w:rsidRPr="00BF1EFB">
              <w:t xml:space="preserve"> has not registered any complaints related to the right to political participation of persons with disabilities.</w:t>
            </w:r>
            <w:r w:rsidR="00436E96" w:rsidRPr="00BF1EFB">
              <w:rPr>
                <w:rStyle w:val="FootnoteReference"/>
                <w:rFonts w:ascii="Verdana" w:hAnsi="Verdana"/>
                <w:sz w:val="20"/>
              </w:rPr>
              <w:footnoteReference w:id="25"/>
            </w:r>
          </w:p>
        </w:tc>
      </w:tr>
      <w:tr w:rsidR="00CC2CCC" w:rsidRPr="00BF1EFB" w14:paraId="35CEA62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BF1EFB" w:rsidRDefault="00566A68" w:rsidP="0055306F">
            <w:pPr>
              <w:pStyle w:val="FRABodyText"/>
            </w:pPr>
            <w:r w:rsidRPr="00BF1EFB">
              <w:lastRenderedPageBreak/>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5B808895" w:rsidR="00566A68" w:rsidRPr="00BF1EFB" w:rsidRDefault="00566A68" w:rsidP="0055306F">
            <w:pPr>
              <w:pStyle w:val="FRABodyText"/>
            </w:pPr>
            <w:r w:rsidRPr="00BF1EFB">
              <w:t xml:space="preserve">Some MPs identify as having a disability (official data)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75B54BC" w14:textId="5474A8FC" w:rsidR="00566A68" w:rsidRPr="00BF1EFB" w:rsidRDefault="00436E96" w:rsidP="0055306F">
            <w:pPr>
              <w:pStyle w:val="FRABodyText"/>
              <w:rPr>
                <w:lang w:val="bg-BG"/>
              </w:rPr>
            </w:pPr>
            <w:r w:rsidRPr="00BF1EFB">
              <w:t xml:space="preserve">Four members of the </w:t>
            </w:r>
            <w:r w:rsidR="00285302">
              <w:t xml:space="preserve">current </w:t>
            </w:r>
            <w:r w:rsidRPr="00BF1EFB">
              <w:t xml:space="preserve">national </w:t>
            </w:r>
            <w:r w:rsidR="00285302">
              <w:t>p</w:t>
            </w:r>
            <w:r w:rsidRPr="00BF1EFB">
              <w:t xml:space="preserve">arliament have </w:t>
            </w:r>
            <w:r w:rsidR="00285302">
              <w:t>presented</w:t>
            </w:r>
            <w:r w:rsidRPr="00BF1EFB">
              <w:t xml:space="preserve"> disability certificates to the </w:t>
            </w:r>
            <w:r w:rsidR="00285302">
              <w:t>parliament’s administration.</w:t>
            </w:r>
            <w:r w:rsidRPr="00BF1EFB">
              <w:rPr>
                <w:rStyle w:val="FootnoteReference"/>
                <w:rFonts w:ascii="Verdana" w:hAnsi="Verdana"/>
                <w:sz w:val="20"/>
                <w:lang w:val="bg-BG"/>
              </w:rPr>
              <w:footnoteReference w:id="26"/>
            </w:r>
          </w:p>
        </w:tc>
      </w:tr>
      <w:tr w:rsidR="00CC2CCC" w:rsidRPr="00BF1EFB" w14:paraId="33D1B0E8"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BF1EFB" w:rsidRDefault="00566A68" w:rsidP="0055306F">
            <w:pPr>
              <w:pStyle w:val="FRABodyText"/>
            </w:pPr>
            <w:r w:rsidRPr="00BF1EFB">
              <w:t>Is data available on the number of members of municipal</w:t>
            </w:r>
            <w:r w:rsidR="00172528" w:rsidRPr="00BF1EFB">
              <w:t>/regional</w:t>
            </w:r>
            <w:r w:rsidRPr="00BF1EFB">
              <w:t xml:space="preserve"> </w:t>
            </w:r>
            <w:r w:rsidRPr="00BF1EFB">
              <w:lastRenderedPageBreak/>
              <w:t>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77777777" w:rsidR="00566A68" w:rsidRPr="00BF1EFB" w:rsidRDefault="00566A68" w:rsidP="0055306F">
            <w:pPr>
              <w:pStyle w:val="FRABodyText"/>
            </w:pPr>
            <w:r w:rsidRPr="00BF1EFB">
              <w:lastRenderedPageBreak/>
              <w:t>No data available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6996F8" w14:textId="5CE6CCE2" w:rsidR="00566A68" w:rsidRPr="00BF1EFB" w:rsidRDefault="00285302" w:rsidP="0055306F">
            <w:pPr>
              <w:pStyle w:val="FRABodyText"/>
            </w:pPr>
            <w:r>
              <w:t>D</w:t>
            </w:r>
            <w:r w:rsidRPr="00BF1EFB">
              <w:t>ata on the number of members of municipal</w:t>
            </w:r>
            <w:r>
              <w:t xml:space="preserve"> councils </w:t>
            </w:r>
            <w:r w:rsidRPr="00BF1EFB">
              <w:t>who have a disability</w:t>
            </w:r>
            <w:r>
              <w:t xml:space="preserve"> </w:t>
            </w:r>
            <w:r w:rsidR="00141024" w:rsidRPr="00BF1EFB">
              <w:t xml:space="preserve">is </w:t>
            </w:r>
            <w:r>
              <w:t>not</w:t>
            </w:r>
            <w:r w:rsidR="00141024" w:rsidRPr="00BF1EFB">
              <w:t xml:space="preserve"> collected.</w:t>
            </w:r>
            <w:r w:rsidR="00141024" w:rsidRPr="00BF1EFB">
              <w:rPr>
                <w:rStyle w:val="FootnoteReference"/>
                <w:rFonts w:ascii="Verdana" w:hAnsi="Verdana"/>
                <w:sz w:val="20"/>
              </w:rPr>
              <w:footnoteReference w:id="27"/>
            </w:r>
          </w:p>
        </w:tc>
      </w:tr>
      <w:tr w:rsidR="00CC2CCC" w:rsidRPr="00BF1EFB" w14:paraId="0D73E3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BF1EFB" w:rsidRDefault="00566A68" w:rsidP="0055306F">
            <w:pPr>
              <w:pStyle w:val="FRABodyText"/>
            </w:pPr>
            <w:r w:rsidRPr="00BF1EFB">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669AF887" w:rsidR="00566A68" w:rsidRPr="00BF1EFB" w:rsidRDefault="00566A68" w:rsidP="0055306F">
            <w:pPr>
              <w:pStyle w:val="FRABodyText"/>
            </w:pPr>
            <w:r w:rsidRPr="00BF1EFB">
              <w:t xml:space="preserve">No training required by law/No information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258BDF" w14:textId="0B908B79" w:rsidR="00566A68" w:rsidRPr="00BF1EFB" w:rsidRDefault="0002479F" w:rsidP="0055306F">
            <w:pPr>
              <w:pStyle w:val="FRABodyText"/>
            </w:pPr>
            <w:r w:rsidRPr="00BF1EFB">
              <w:t>In Bulgaria, the Electoral Code (</w:t>
            </w:r>
            <w:r w:rsidRPr="00BF1EFB">
              <w:rPr>
                <w:i/>
                <w:lang w:val="bg-BG"/>
              </w:rPr>
              <w:t>Изборен кодекс</w:t>
            </w:r>
            <w:r w:rsidRPr="00BF1EFB">
              <w:rPr>
                <w:lang w:val="bg-BG"/>
              </w:rPr>
              <w:t xml:space="preserve">) </w:t>
            </w:r>
            <w:r w:rsidR="000109E6">
              <w:t xml:space="preserve">provides that </w:t>
            </w:r>
            <w:r w:rsidRPr="00BF1EFB">
              <w:t>all</w:t>
            </w:r>
            <w:r w:rsidR="000109E6">
              <w:rPr>
                <w:lang w:val="bg-BG"/>
              </w:rPr>
              <w:t xml:space="preserve"> </w:t>
            </w:r>
            <w:r w:rsidR="000109E6">
              <w:t>r</w:t>
            </w:r>
            <w:r w:rsidRPr="00BF1EFB">
              <w:t xml:space="preserve">egional </w:t>
            </w:r>
            <w:r w:rsidR="000109E6">
              <w:t>and municipal e</w:t>
            </w:r>
            <w:r w:rsidR="00DE3A0E" w:rsidRPr="00BF1EFB">
              <w:t xml:space="preserve">lectoral </w:t>
            </w:r>
            <w:r w:rsidR="000109E6">
              <w:t>c</w:t>
            </w:r>
            <w:r w:rsidR="00DE3A0E" w:rsidRPr="00BF1EFB">
              <w:t>ommission</w:t>
            </w:r>
            <w:r w:rsidR="000109E6">
              <w:t>s</w:t>
            </w:r>
            <w:r w:rsidRPr="00BF1EFB">
              <w:t xml:space="preserve">, </w:t>
            </w:r>
            <w:r w:rsidR="003D78C2">
              <w:t xml:space="preserve">jointly with </w:t>
            </w:r>
            <w:r w:rsidRPr="00BF1EFB">
              <w:t xml:space="preserve">the </w:t>
            </w:r>
            <w:r w:rsidR="003D78C2">
              <w:t xml:space="preserve">training unit of the </w:t>
            </w:r>
            <w:r w:rsidRPr="00BF1EFB">
              <w:t>Central Electoral Commission</w:t>
            </w:r>
            <w:r w:rsidR="003D78C2">
              <w:t xml:space="preserve"> (CEC) (</w:t>
            </w:r>
            <w:r w:rsidR="003D78C2">
              <w:rPr>
                <w:i/>
                <w:iCs/>
                <w:lang w:val="bg-BG"/>
              </w:rPr>
              <w:t>Централна избирателна комисия</w:t>
            </w:r>
            <w:r w:rsidR="003D78C2">
              <w:rPr>
                <w:lang w:val="bg-BG"/>
              </w:rPr>
              <w:t>, ЦИК</w:t>
            </w:r>
            <w:r w:rsidR="003D78C2">
              <w:t>)</w:t>
            </w:r>
            <w:r w:rsidRPr="00BF1EFB">
              <w:t>,</w:t>
            </w:r>
            <w:r w:rsidRPr="00BF1EFB">
              <w:rPr>
                <w:lang w:val="bg-BG"/>
              </w:rPr>
              <w:t xml:space="preserve"> </w:t>
            </w:r>
            <w:r w:rsidR="003D78C2">
              <w:t xml:space="preserve">should </w:t>
            </w:r>
            <w:r w:rsidRPr="00BF1EFB">
              <w:t xml:space="preserve">train </w:t>
            </w:r>
            <w:r w:rsidR="003D78C2">
              <w:t>the</w:t>
            </w:r>
            <w:r w:rsidRPr="00BF1EFB">
              <w:t xml:space="preserve"> members of </w:t>
            </w:r>
            <w:r w:rsidR="003D78C2">
              <w:t xml:space="preserve">all </w:t>
            </w:r>
            <w:r w:rsidRPr="00BF1EFB">
              <w:t xml:space="preserve">electoral commissions </w:t>
            </w:r>
            <w:r w:rsidR="003D78C2">
              <w:t>on their territory</w:t>
            </w:r>
            <w:r w:rsidRPr="00BF1EFB">
              <w:t>.</w:t>
            </w:r>
            <w:r w:rsidR="000109E6" w:rsidRPr="00BF1EFB">
              <w:rPr>
                <w:rStyle w:val="FootnoteReference"/>
                <w:rFonts w:ascii="Verdana" w:hAnsi="Verdana"/>
                <w:sz w:val="20"/>
              </w:rPr>
              <w:footnoteReference w:id="28"/>
            </w:r>
            <w:r w:rsidRPr="00BF1EFB">
              <w:t xml:space="preserve"> </w:t>
            </w:r>
            <w:r w:rsidR="003D78C2">
              <w:t>However, the</w:t>
            </w:r>
            <w:r w:rsidR="00DE3A0E" w:rsidRPr="00BF1EFB">
              <w:t xml:space="preserve"> law </w:t>
            </w:r>
            <w:r w:rsidR="003D78C2">
              <w:t xml:space="preserve">does not explicitly require training to address </w:t>
            </w:r>
            <w:r w:rsidR="00DE3A0E" w:rsidRPr="00BF1EFB">
              <w:t>non-discrimination on the grounds of disability, accessibility or accommodation.</w:t>
            </w:r>
            <w:r w:rsidR="003D78C2">
              <w:t xml:space="preserve"> The training material made available by the </w:t>
            </w:r>
            <w:r w:rsidR="003D78C2" w:rsidRPr="00BF1EFB">
              <w:t>Central Electoral Commission</w:t>
            </w:r>
            <w:r w:rsidR="003D78C2">
              <w:t xml:space="preserve"> (CEC) (</w:t>
            </w:r>
            <w:r w:rsidR="003D78C2">
              <w:rPr>
                <w:i/>
                <w:iCs/>
                <w:lang w:val="bg-BG"/>
              </w:rPr>
              <w:t>Централна избирателна комисия</w:t>
            </w:r>
            <w:r w:rsidR="003D78C2">
              <w:rPr>
                <w:lang w:val="bg-BG"/>
              </w:rPr>
              <w:t>, ЦИК</w:t>
            </w:r>
            <w:r w:rsidR="003D78C2">
              <w:t>) do not address these topics either.</w:t>
            </w:r>
            <w:r w:rsidR="00DE3A0E" w:rsidRPr="00BF1EFB">
              <w:rPr>
                <w:rStyle w:val="FootnoteReference"/>
                <w:rFonts w:ascii="Verdana" w:hAnsi="Verdana"/>
                <w:sz w:val="20"/>
              </w:rPr>
              <w:footnoteReference w:id="29"/>
            </w:r>
          </w:p>
        </w:tc>
      </w:tr>
      <w:tr w:rsidR="00CC2CCC" w:rsidRPr="00BF1EFB" w14:paraId="3FA1FA6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BF1EFB" w:rsidRDefault="003F149D" w:rsidP="0055306F">
            <w:pPr>
              <w:pStyle w:val="FRABodyText"/>
            </w:pPr>
            <w:r w:rsidRPr="00BF1EFB">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1190DA" w14:textId="7FCA340A" w:rsidR="008C7EE6" w:rsidRPr="00BF1EFB" w:rsidRDefault="00566A68" w:rsidP="0055306F">
            <w:pPr>
              <w:pStyle w:val="FRABodyText"/>
            </w:pPr>
            <w:r w:rsidRPr="00BF1EFB">
              <w:t xml:space="preserve">Yes, mechanisms established by law </w:t>
            </w:r>
          </w:p>
          <w:p w14:paraId="39F5CC63" w14:textId="7732C3A0" w:rsidR="00566A68" w:rsidRPr="00BF1EFB" w:rsidRDefault="00566A68" w:rsidP="0055306F">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499852" w14:textId="6786CB9A" w:rsidR="00566A68" w:rsidRPr="00BF1EFB" w:rsidRDefault="00833D47" w:rsidP="0055306F">
            <w:pPr>
              <w:pStyle w:val="FRABodyText"/>
            </w:pPr>
            <w:r w:rsidRPr="00BF1EFB">
              <w:t xml:space="preserve">When drafting </w:t>
            </w:r>
            <w:r w:rsidR="00BD36E0">
              <w:t>laws and regulations all public bodies</w:t>
            </w:r>
            <w:r w:rsidRPr="00BF1EFB">
              <w:t xml:space="preserve"> should hold public consultations with citizens and legal entities.</w:t>
            </w:r>
            <w:r w:rsidR="008C7EE6" w:rsidRPr="00BF1EFB">
              <w:t xml:space="preserve"> </w:t>
            </w:r>
            <w:r w:rsidR="00BD36E0">
              <w:t xml:space="preserve">Legal acts drafted </w:t>
            </w:r>
            <w:r w:rsidR="008C7EE6" w:rsidRPr="00BF1EFB">
              <w:t xml:space="preserve">by the </w:t>
            </w:r>
            <w:r w:rsidR="00BD36E0">
              <w:t>g</w:t>
            </w:r>
            <w:r w:rsidR="008C7EE6" w:rsidRPr="00BF1EFB">
              <w:t xml:space="preserve">overnment </w:t>
            </w:r>
            <w:r w:rsidR="00BD36E0">
              <w:t xml:space="preserve">or another central executive authority are </w:t>
            </w:r>
            <w:r w:rsidR="008C7EE6" w:rsidRPr="00BF1EFB">
              <w:t xml:space="preserve">published </w:t>
            </w:r>
            <w:r w:rsidR="00BD36E0">
              <w:t>on</w:t>
            </w:r>
            <w:r w:rsidR="008C7EE6" w:rsidRPr="00BF1EFB">
              <w:t xml:space="preserve"> the </w:t>
            </w:r>
            <w:r w:rsidR="00A806CA">
              <w:t>P</w:t>
            </w:r>
            <w:r w:rsidR="008C7EE6" w:rsidRPr="00BF1EFB">
              <w:t xml:space="preserve">ublic </w:t>
            </w:r>
            <w:r w:rsidR="00A806CA">
              <w:t>C</w:t>
            </w:r>
            <w:r w:rsidR="008C7EE6" w:rsidRPr="00BF1EFB">
              <w:t xml:space="preserve">onsultations </w:t>
            </w:r>
            <w:r w:rsidR="00A806CA">
              <w:t>P</w:t>
            </w:r>
            <w:r w:rsidR="008C7EE6" w:rsidRPr="00BF1EFB">
              <w:t>ortal (</w:t>
            </w:r>
            <w:r w:rsidR="00A806CA">
              <w:rPr>
                <w:i/>
                <w:lang w:val="bg-BG"/>
              </w:rPr>
              <w:t>П</w:t>
            </w:r>
            <w:r w:rsidR="008C7EE6" w:rsidRPr="00BF1EFB">
              <w:rPr>
                <w:i/>
                <w:lang w:val="bg-BG"/>
              </w:rPr>
              <w:t xml:space="preserve">ортал за </w:t>
            </w:r>
            <w:r w:rsidR="008C7EE6" w:rsidRPr="00BF1EFB">
              <w:rPr>
                <w:i/>
                <w:lang w:val="bg-BG"/>
              </w:rPr>
              <w:lastRenderedPageBreak/>
              <w:t>обществени консултации</w:t>
            </w:r>
            <w:r w:rsidR="008C7EE6" w:rsidRPr="00BF1EFB">
              <w:rPr>
                <w:lang w:val="bg-BG"/>
              </w:rPr>
              <w:t>)</w:t>
            </w:r>
            <w:r w:rsidR="00BD36E0">
              <w:t>.</w:t>
            </w:r>
            <w:r w:rsidR="008C7EE6" w:rsidRPr="00BF1EFB">
              <w:rPr>
                <w:rStyle w:val="FootnoteReference"/>
                <w:rFonts w:ascii="Verdana" w:hAnsi="Verdana"/>
                <w:sz w:val="20"/>
                <w:lang w:val="bg-BG"/>
              </w:rPr>
              <w:footnoteReference w:id="30"/>
            </w:r>
            <w:r w:rsidR="008C7EE6" w:rsidRPr="00BF1EFB">
              <w:t xml:space="preserve"> </w:t>
            </w:r>
            <w:r w:rsidR="00BD36E0">
              <w:t>Legal acts drafted by local authorities are</w:t>
            </w:r>
            <w:r w:rsidR="008C7EE6" w:rsidRPr="00BF1EFB">
              <w:t xml:space="preserve"> published </w:t>
            </w:r>
            <w:r w:rsidR="00BD36E0">
              <w:t>on</w:t>
            </w:r>
            <w:r w:rsidR="008C7EE6" w:rsidRPr="00BF1EFB">
              <w:t xml:space="preserve"> the website</w:t>
            </w:r>
            <w:r w:rsidR="00BD36E0">
              <w:t xml:space="preserve"> of the respective municipality</w:t>
            </w:r>
            <w:r w:rsidR="008C7EE6" w:rsidRPr="00BF1EFB">
              <w:t>.</w:t>
            </w:r>
            <w:r w:rsidR="008C7EE6" w:rsidRPr="00BF1EFB">
              <w:rPr>
                <w:rStyle w:val="FootnoteReference"/>
                <w:rFonts w:ascii="Verdana" w:hAnsi="Verdana"/>
                <w:sz w:val="20"/>
              </w:rPr>
              <w:footnoteReference w:id="31"/>
            </w:r>
            <w:r w:rsidR="008C7EE6" w:rsidRPr="00BF1EFB">
              <w:t xml:space="preserve"> Public authorities, legal entities and </w:t>
            </w:r>
            <w:r w:rsidR="00BD36E0">
              <w:t>individuals</w:t>
            </w:r>
            <w:r w:rsidR="008C7EE6" w:rsidRPr="00BF1EFB">
              <w:t xml:space="preserve"> can also make proposals to improve legislation.</w:t>
            </w:r>
            <w:r w:rsidR="00BD36E0" w:rsidRPr="00BF1EFB">
              <w:rPr>
                <w:rStyle w:val="FootnoteReference"/>
                <w:rFonts w:ascii="Verdana" w:hAnsi="Verdana"/>
                <w:sz w:val="20"/>
              </w:rPr>
              <w:footnoteReference w:id="32"/>
            </w:r>
          </w:p>
          <w:p w14:paraId="3CDA0ECC" w14:textId="77777777" w:rsidR="008C7EE6" w:rsidRPr="00BF1EFB" w:rsidRDefault="008C7EE6" w:rsidP="0055306F">
            <w:pPr>
              <w:pStyle w:val="FRABodyText"/>
            </w:pPr>
          </w:p>
          <w:p w14:paraId="25AED805" w14:textId="37D976BC" w:rsidR="008C7EE6" w:rsidRPr="00BF1EFB" w:rsidRDefault="008C7EE6" w:rsidP="0055306F">
            <w:pPr>
              <w:pStyle w:val="FRABodyText"/>
            </w:pPr>
            <w:r w:rsidRPr="00BF1EFB">
              <w:t>A</w:t>
            </w:r>
            <w:r w:rsidR="00A806CA">
              <w:t xml:space="preserve">n additional consultation mechanism is the </w:t>
            </w:r>
            <w:r w:rsidRPr="00BF1EFB">
              <w:t>National Council for Pe</w:t>
            </w:r>
            <w:r w:rsidR="00A806CA">
              <w:t>rsons</w:t>
            </w:r>
            <w:r w:rsidRPr="00BF1EFB">
              <w:t xml:space="preserve"> with Disabilities</w:t>
            </w:r>
            <w:r w:rsidR="00A806CA">
              <w:t xml:space="preserve"> (NCIPD)</w:t>
            </w:r>
            <w:r w:rsidRPr="00BF1EFB">
              <w:t xml:space="preserve"> (</w:t>
            </w:r>
            <w:r w:rsidRPr="00A806CA">
              <w:rPr>
                <w:i/>
                <w:lang w:val="bg-BG"/>
              </w:rPr>
              <w:t>Национален съвет за интеграция на хората с увреждания</w:t>
            </w:r>
            <w:r w:rsidR="00A806CA">
              <w:rPr>
                <w:iCs/>
                <w:lang w:val="bg-BG"/>
              </w:rPr>
              <w:t>, НСИХУ</w:t>
            </w:r>
            <w:r w:rsidRPr="00BF1EFB">
              <w:t>)</w:t>
            </w:r>
            <w:r w:rsidR="00A806CA">
              <w:t>.</w:t>
            </w:r>
            <w:r w:rsidRPr="00BF1EFB">
              <w:rPr>
                <w:rStyle w:val="FootnoteReference"/>
                <w:rFonts w:ascii="Verdana" w:hAnsi="Verdana"/>
                <w:sz w:val="20"/>
              </w:rPr>
              <w:footnoteReference w:id="33"/>
            </w:r>
            <w:r w:rsidRPr="00BF1EFB">
              <w:t xml:space="preserve"> </w:t>
            </w:r>
            <w:r w:rsidR="00A806CA" w:rsidRPr="00F53DA1">
              <w:rPr>
                <w:lang w:val="en-GB"/>
              </w:rPr>
              <w:t xml:space="preserve">The council is a consultative body with the government </w:t>
            </w:r>
            <w:r w:rsidR="00F53DA1" w:rsidRPr="00F53DA1">
              <w:rPr>
                <w:lang w:val="en-GB"/>
              </w:rPr>
              <w:t xml:space="preserve">and </w:t>
            </w:r>
            <w:r w:rsidRPr="00F53DA1">
              <w:rPr>
                <w:lang w:val="en-GB"/>
              </w:rPr>
              <w:t xml:space="preserve">is composed of representatives of </w:t>
            </w:r>
            <w:r w:rsidR="00F53DA1" w:rsidRPr="00F53DA1">
              <w:rPr>
                <w:lang w:val="en-GB"/>
              </w:rPr>
              <w:t xml:space="preserve">public authorities and civil society organisations, including DPOs. </w:t>
            </w:r>
            <w:r w:rsidR="00F53DA1">
              <w:rPr>
                <w:lang w:val="en-GB"/>
              </w:rPr>
              <w:t>I</w:t>
            </w:r>
            <w:r w:rsidRPr="00F53DA1">
              <w:rPr>
                <w:lang w:val="en-GB"/>
              </w:rPr>
              <w:t xml:space="preserve">ts main function is to </w:t>
            </w:r>
            <w:r w:rsidR="00F53DA1">
              <w:rPr>
                <w:lang w:val="en-GB"/>
              </w:rPr>
              <w:t>serve as a platform for</w:t>
            </w:r>
            <w:r w:rsidRPr="00F53DA1">
              <w:rPr>
                <w:lang w:val="en-GB"/>
              </w:rPr>
              <w:t xml:space="preserve"> cooperation </w:t>
            </w:r>
            <w:r w:rsidR="00F53DA1">
              <w:rPr>
                <w:lang w:val="en-GB"/>
              </w:rPr>
              <w:t>in</w:t>
            </w:r>
            <w:r w:rsidRPr="00F53DA1">
              <w:rPr>
                <w:lang w:val="en-GB"/>
              </w:rPr>
              <w:t xml:space="preserve"> the development and implementation of policies</w:t>
            </w:r>
            <w:r w:rsidR="00F53DA1">
              <w:rPr>
                <w:lang w:val="en-GB"/>
              </w:rPr>
              <w:t xml:space="preserve"> for persons with disabilities</w:t>
            </w:r>
            <w:r w:rsidRPr="00F53DA1">
              <w:rPr>
                <w:lang w:val="en-GB"/>
              </w:rPr>
              <w:t>.</w:t>
            </w:r>
          </w:p>
        </w:tc>
      </w:tr>
      <w:tr w:rsidR="00CC2CCC" w:rsidRPr="00BF1EFB" w14:paraId="122691C6"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BF1EFB" w:rsidRDefault="00566A68" w:rsidP="0055306F">
            <w:pPr>
              <w:pStyle w:val="FRABodyText"/>
            </w:pPr>
            <w:r w:rsidRPr="00BF1EFB">
              <w:lastRenderedPageBreak/>
              <w:t xml:space="preserve">Do </w:t>
            </w:r>
            <w:r w:rsidR="003F149D" w:rsidRPr="00BF1EFB">
              <w:t>national authorities</w:t>
            </w:r>
            <w:r w:rsidRPr="00BF1EFB">
              <w:t xml:space="preserve">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3137AC" w14:textId="381D6253" w:rsidR="004D40DC" w:rsidRPr="00BF1EFB" w:rsidRDefault="00566A68" w:rsidP="0055306F">
            <w:pPr>
              <w:pStyle w:val="FRABodyText"/>
            </w:pPr>
            <w:r w:rsidRPr="00BF1EFB">
              <w:t xml:space="preserve">Yes, detailed guidance available </w:t>
            </w:r>
          </w:p>
          <w:p w14:paraId="0AFA8478" w14:textId="306FB3C1" w:rsidR="00566A68" w:rsidRPr="00BF1EFB" w:rsidRDefault="00566A68" w:rsidP="0055306F">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39D5741" w14:textId="7E1118DE" w:rsidR="00631056" w:rsidRPr="00BF1EFB" w:rsidRDefault="00631056" w:rsidP="0055306F">
            <w:pPr>
              <w:pStyle w:val="FRABodyText"/>
            </w:pPr>
            <w:r w:rsidRPr="00BF1EFB">
              <w:t xml:space="preserve">The </w:t>
            </w:r>
            <w:r w:rsidR="003B0CEE">
              <w:t>r</w:t>
            </w:r>
            <w:r w:rsidRPr="00BF1EFB">
              <w:t xml:space="preserve">egional </w:t>
            </w:r>
            <w:r w:rsidR="003B0CEE">
              <w:t>and m</w:t>
            </w:r>
            <w:r w:rsidRPr="00BF1EFB">
              <w:t xml:space="preserve">unicipal </w:t>
            </w:r>
            <w:r w:rsidR="003B0CEE">
              <w:t>e</w:t>
            </w:r>
            <w:r w:rsidRPr="00BF1EFB">
              <w:t xml:space="preserve">lectoral </w:t>
            </w:r>
            <w:r w:rsidR="003B0CEE">
              <w:t>c</w:t>
            </w:r>
            <w:r w:rsidRPr="00BF1EFB">
              <w:t>ommissions are obliged by law to ensure the provision of facilities for persons</w:t>
            </w:r>
            <w:r w:rsidR="003B0CEE">
              <w:t xml:space="preserve"> with disabilities</w:t>
            </w:r>
            <w:r w:rsidRPr="00BF1EFB">
              <w:t xml:space="preserve"> to </w:t>
            </w:r>
            <w:r w:rsidR="003B0CEE">
              <w:t xml:space="preserve">exercise their right to </w:t>
            </w:r>
            <w:r w:rsidRPr="00BF1EFB">
              <w:t>vote.</w:t>
            </w:r>
            <w:r w:rsidRPr="00BF1EFB">
              <w:rPr>
                <w:rStyle w:val="FootnoteReference"/>
                <w:rFonts w:ascii="Verdana" w:hAnsi="Verdana"/>
                <w:sz w:val="20"/>
              </w:rPr>
              <w:footnoteReference w:id="34"/>
            </w:r>
          </w:p>
          <w:p w14:paraId="74A91A6B" w14:textId="77777777" w:rsidR="00225E7B" w:rsidRPr="00BF1EFB" w:rsidRDefault="00225E7B" w:rsidP="0055306F">
            <w:pPr>
              <w:pStyle w:val="FRABodyText"/>
            </w:pPr>
          </w:p>
          <w:p w14:paraId="47B8A88A" w14:textId="19670AD7" w:rsidR="00225E7B" w:rsidRPr="00BF1EFB" w:rsidRDefault="00225E7B" w:rsidP="0055306F">
            <w:pPr>
              <w:pStyle w:val="FRABodyText"/>
            </w:pPr>
            <w:r w:rsidRPr="00BF1EFB">
              <w:t>The Central Electoral Commission</w:t>
            </w:r>
            <w:r w:rsidR="003B0CEE">
              <w:t xml:space="preserve"> (CEC)</w:t>
            </w:r>
            <w:r w:rsidRPr="00BF1EFB">
              <w:t xml:space="preserve"> </w:t>
            </w:r>
            <w:r w:rsidRPr="003B0CEE">
              <w:rPr>
                <w:lang w:val="bg-BG"/>
              </w:rPr>
              <w:t>(</w:t>
            </w:r>
            <w:r w:rsidRPr="003B0CEE">
              <w:rPr>
                <w:i/>
                <w:lang w:val="bg-BG"/>
              </w:rPr>
              <w:t>Централна избирателна комисия</w:t>
            </w:r>
            <w:r w:rsidR="003B0CEE" w:rsidRPr="003B0CEE">
              <w:rPr>
                <w:iCs/>
                <w:lang w:val="bg-BG"/>
              </w:rPr>
              <w:t>, ЦИК</w:t>
            </w:r>
            <w:r w:rsidRPr="003B0CEE">
              <w:rPr>
                <w:lang w:val="bg-BG"/>
              </w:rPr>
              <w:t>)</w:t>
            </w:r>
            <w:r w:rsidRPr="00BF1EFB">
              <w:t xml:space="preserve"> defin</w:t>
            </w:r>
            <w:r w:rsidR="003B0CEE">
              <w:t>es</w:t>
            </w:r>
            <w:r w:rsidRPr="00BF1EFB">
              <w:t xml:space="preserve"> the concrete procedures for voting of pe</w:t>
            </w:r>
            <w:r w:rsidR="003B0CEE">
              <w:t>rsons</w:t>
            </w:r>
            <w:r w:rsidRPr="00BF1EFB">
              <w:t xml:space="preserve"> with disabilities and </w:t>
            </w:r>
            <w:r w:rsidR="003B0CEE">
              <w:t xml:space="preserve">other persons </w:t>
            </w:r>
            <w:r w:rsidRPr="00BF1EFB">
              <w:t>in need of support for each particular round of elections</w:t>
            </w:r>
            <w:r w:rsidR="008855CA">
              <w:t>,</w:t>
            </w:r>
            <w:r w:rsidRPr="00BF1EFB">
              <w:t xml:space="preserve"> and </w:t>
            </w:r>
            <w:r w:rsidR="008855CA">
              <w:t xml:space="preserve">determines the </w:t>
            </w:r>
            <w:r w:rsidR="008855CA" w:rsidRPr="008855CA">
              <w:t>measures to</w:t>
            </w:r>
            <w:r w:rsidR="008855CA">
              <w:t xml:space="preserve"> be taken to</w:t>
            </w:r>
            <w:r w:rsidR="008855CA" w:rsidRPr="008855CA">
              <w:t xml:space="preserve"> enable voters with visual impairments or mobility difficulties to vote</w:t>
            </w:r>
            <w:r w:rsidRPr="00BF1EFB">
              <w:t xml:space="preserve"> on </w:t>
            </w:r>
            <w:r w:rsidR="004D40DC" w:rsidRPr="00BF1EFB">
              <w:t xml:space="preserve">the </w:t>
            </w:r>
            <w:r w:rsidR="003B0CEE">
              <w:t>election</w:t>
            </w:r>
            <w:r w:rsidRPr="00BF1EFB">
              <w:t xml:space="preserve"> day. For example, for the </w:t>
            </w:r>
            <w:r w:rsidR="003B0CEE">
              <w:t xml:space="preserve">last </w:t>
            </w:r>
            <w:r w:rsidRPr="00BF1EFB">
              <w:t xml:space="preserve">local elections held in October 2023, </w:t>
            </w:r>
            <w:r w:rsidR="003B0CEE">
              <w:t>the recommended measures included</w:t>
            </w:r>
            <w:r w:rsidRPr="00BF1EFB">
              <w:t xml:space="preserve">: </w:t>
            </w:r>
            <w:r w:rsidR="003B0CEE">
              <w:t>(</w:t>
            </w:r>
            <w:r w:rsidRPr="00BF1EFB">
              <w:t>1) construction of sidewalks and stair ramps with a slope of no more than 5</w:t>
            </w:r>
            <w:r w:rsidR="003B0CEE">
              <w:rPr>
                <w:lang w:val="bg-BG"/>
              </w:rPr>
              <w:t xml:space="preserve"> </w:t>
            </w:r>
            <w:r w:rsidRPr="00BF1EFB">
              <w:t>%, with double-sided barriers to prevent falls (</w:t>
            </w:r>
            <w:r w:rsidR="00E90A03" w:rsidRPr="00BF1EFB">
              <w:t xml:space="preserve">a </w:t>
            </w:r>
            <w:r w:rsidRPr="00BF1EFB">
              <w:t xml:space="preserve">scheme is </w:t>
            </w:r>
            <w:r w:rsidR="003B0CEE">
              <w:t>enclosed as</w:t>
            </w:r>
            <w:r w:rsidRPr="00BF1EFB">
              <w:t xml:space="preserve"> an annex); </w:t>
            </w:r>
            <w:r w:rsidR="003B0CEE">
              <w:t>(</w:t>
            </w:r>
            <w:r w:rsidRPr="00BF1EFB">
              <w:t xml:space="preserve">2) installation of voting </w:t>
            </w:r>
            <w:r w:rsidR="00E90A03" w:rsidRPr="00BF1EFB">
              <w:t>privacy screens</w:t>
            </w:r>
            <w:r w:rsidRPr="00BF1EFB">
              <w:t xml:space="preserve"> with dimensions of not less than 210/170 cm and a table plot no higher than 85 cm</w:t>
            </w:r>
            <w:r w:rsidR="00E90A03" w:rsidRPr="00BF1EFB">
              <w:t xml:space="preserve"> for paper ballot</w:t>
            </w:r>
            <w:r w:rsidR="003B0CEE">
              <w:t>s</w:t>
            </w:r>
            <w:r w:rsidRPr="00BF1EFB">
              <w:t>;</w:t>
            </w:r>
            <w:r w:rsidR="00E90A03" w:rsidRPr="00BF1EFB">
              <w:t xml:space="preserve"> </w:t>
            </w:r>
            <w:r w:rsidR="003B0CEE">
              <w:t>(3)</w:t>
            </w:r>
            <w:r w:rsidRPr="00BF1EFB">
              <w:t xml:space="preserve"> </w:t>
            </w:r>
            <w:r w:rsidR="00E90A03" w:rsidRPr="00BF1EFB">
              <w:t>voting booths with dimensions of not less than 210/170 cm and a top no</w:t>
            </w:r>
            <w:r w:rsidR="003B0CEE">
              <w:t>t</w:t>
            </w:r>
            <w:r w:rsidR="00E90A03" w:rsidRPr="00BF1EFB">
              <w:t xml:space="preserve"> higher than 85 cm for machine devices voting</w:t>
            </w:r>
            <w:r w:rsidRPr="00BF1EFB">
              <w:t>.</w:t>
            </w:r>
            <w:r w:rsidRPr="00BF1EFB">
              <w:rPr>
                <w:rStyle w:val="FootnoteReference"/>
                <w:rFonts w:ascii="Verdana" w:hAnsi="Verdana"/>
                <w:sz w:val="20"/>
              </w:rPr>
              <w:footnoteReference w:id="35"/>
            </w:r>
          </w:p>
        </w:tc>
      </w:tr>
      <w:tr w:rsidR="00CC2CCC" w:rsidRPr="00BF1EFB" w14:paraId="27723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BF1EFB" w:rsidRDefault="00566A68" w:rsidP="0055306F">
            <w:pPr>
              <w:pStyle w:val="FRABodyText"/>
            </w:pPr>
            <w:r w:rsidRPr="00BF1EFB">
              <w:lastRenderedPageBreak/>
              <w:t>Does the website which provides instructions for voting and 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CBB7A" w14:textId="0A4351D8" w:rsidR="00566A68" w:rsidRPr="00BF1EFB" w:rsidRDefault="00566A68" w:rsidP="0055306F">
            <w:pPr>
              <w:pStyle w:val="FRABodyText"/>
            </w:pPr>
            <w:r w:rsidRPr="00BF1EFB">
              <w:t>Partially, some accessibility measures are in place</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6C41F2" w14:textId="0C98F864" w:rsidR="00133208" w:rsidRDefault="00133208" w:rsidP="0055306F">
            <w:pPr>
              <w:pStyle w:val="FRABodyText"/>
            </w:pPr>
            <w:r w:rsidRPr="00BF1EFB">
              <w:t xml:space="preserve">The website of </w:t>
            </w:r>
            <w:r w:rsidR="009606A1">
              <w:t>t</w:t>
            </w:r>
            <w:r w:rsidRPr="00BF1EFB">
              <w:t>he Central Electoral Commission</w:t>
            </w:r>
            <w:r w:rsidR="009606A1">
              <w:t xml:space="preserve"> (CEC)</w:t>
            </w:r>
            <w:r w:rsidRPr="00BF1EFB">
              <w:t xml:space="preserve"> (</w:t>
            </w:r>
            <w:r w:rsidRPr="009606A1">
              <w:rPr>
                <w:i/>
                <w:lang w:val="bg-BG"/>
              </w:rPr>
              <w:t>Централна избирателна комисия</w:t>
            </w:r>
            <w:r w:rsidR="009606A1" w:rsidRPr="009606A1">
              <w:rPr>
                <w:iCs/>
                <w:lang w:val="bg-BG"/>
              </w:rPr>
              <w:t>, ЦИК</w:t>
            </w:r>
            <w:r w:rsidRPr="00BF1EFB">
              <w:t>) provides instructions for voting and information on candidates.</w:t>
            </w:r>
            <w:r w:rsidRPr="00BF1EFB">
              <w:rPr>
                <w:rStyle w:val="FootnoteReference"/>
                <w:rFonts w:ascii="Verdana" w:hAnsi="Verdana"/>
                <w:sz w:val="20"/>
              </w:rPr>
              <w:footnoteReference w:id="36"/>
            </w:r>
          </w:p>
          <w:p w14:paraId="6DCE1FD4" w14:textId="77777777" w:rsidR="009606A1" w:rsidRDefault="009606A1" w:rsidP="0055306F">
            <w:pPr>
              <w:pStyle w:val="FRABodyText"/>
            </w:pPr>
          </w:p>
          <w:p w14:paraId="309F38B7" w14:textId="77777777" w:rsidR="009606A1" w:rsidRPr="0087751E" w:rsidRDefault="009606A1" w:rsidP="0055306F">
            <w:pPr>
              <w:pStyle w:val="FRABodyText"/>
            </w:pPr>
            <w:r w:rsidRPr="0087751E">
              <w:t xml:space="preserve">Under Bulgarian law, the content of all websites and mobile applications of administrative authorities, public service providers, and persons performing public functions must comply with the </w:t>
            </w:r>
            <w:proofErr w:type="spellStart"/>
            <w:r w:rsidRPr="0087751E">
              <w:t>harmonised</w:t>
            </w:r>
            <w:proofErr w:type="spellEnd"/>
            <w:r w:rsidRPr="0087751E">
              <w:t xml:space="preserve"> standard EN 301 549 V2.1.2 (2018-08).</w:t>
            </w:r>
            <w:r w:rsidRPr="0087751E">
              <w:rPr>
                <w:rStyle w:val="FootnoteReference"/>
                <w:rFonts w:ascii="Verdana" w:hAnsi="Verdana"/>
                <w:sz w:val="20"/>
                <w:szCs w:val="20"/>
                <w:lang w:val="en-GB"/>
              </w:rPr>
              <w:footnoteReference w:id="37"/>
            </w:r>
          </w:p>
          <w:p w14:paraId="674F8E95" w14:textId="77777777" w:rsidR="009606A1" w:rsidRPr="00BF1EFB" w:rsidRDefault="009606A1" w:rsidP="0055306F">
            <w:pPr>
              <w:pStyle w:val="FRABodyText"/>
            </w:pPr>
          </w:p>
          <w:p w14:paraId="2B20E15B" w14:textId="066337EA" w:rsidR="00133208" w:rsidRPr="00BF1EFB" w:rsidRDefault="009606A1" w:rsidP="0055306F">
            <w:pPr>
              <w:pStyle w:val="FRABodyText"/>
            </w:pPr>
            <w:r w:rsidRPr="00BF1EFB">
              <w:t>An online accessibility check carried out by the Web Accessibility Initiative’s Alfa Semi-automated test tool</w:t>
            </w:r>
            <w:r w:rsidRPr="00BF1EFB">
              <w:rPr>
                <w:rStyle w:val="FootnoteReference"/>
                <w:rFonts w:ascii="Verdana" w:hAnsi="Verdana"/>
                <w:sz w:val="20"/>
                <w:szCs w:val="20"/>
              </w:rPr>
              <w:footnoteReference w:id="38"/>
            </w:r>
            <w:r w:rsidRPr="00BF1EFB">
              <w:t xml:space="preserve"> </w:t>
            </w:r>
            <w:r>
              <w:t>shows</w:t>
            </w:r>
            <w:r w:rsidRPr="00BF1EFB">
              <w:t xml:space="preserve"> that the website </w:t>
            </w:r>
            <w:r>
              <w:t xml:space="preserve">of the </w:t>
            </w:r>
            <w:r w:rsidRPr="00BF1EFB">
              <w:t>Central Electoral Commission</w:t>
            </w:r>
            <w:r w:rsidRPr="00BF1EFB">
              <w:rPr>
                <w:lang w:val="bg-BG"/>
              </w:rPr>
              <w:t xml:space="preserve"> </w:t>
            </w:r>
            <w:r>
              <w:t>(</w:t>
            </w:r>
            <w:r w:rsidRPr="00BF1EFB">
              <w:t>CEC</w:t>
            </w:r>
            <w:r>
              <w:t>)</w:t>
            </w:r>
            <w:r w:rsidRPr="00BF1EFB">
              <w:t xml:space="preserve"> (</w:t>
            </w:r>
            <w:r w:rsidRPr="00BF1EFB">
              <w:rPr>
                <w:i/>
                <w:lang w:val="bg-BG"/>
              </w:rPr>
              <w:t>Централна избирателна комисия</w:t>
            </w:r>
            <w:r w:rsidRPr="0087751E">
              <w:rPr>
                <w:iCs/>
              </w:rPr>
              <w:t xml:space="preserve">, </w:t>
            </w:r>
            <w:r w:rsidRPr="0087751E">
              <w:rPr>
                <w:iCs/>
                <w:lang w:val="bg-BG"/>
              </w:rPr>
              <w:t>ЦИК</w:t>
            </w:r>
            <w:r w:rsidRPr="00BF1EFB">
              <w:rPr>
                <w:lang w:val="bg-BG"/>
              </w:rPr>
              <w:t>)</w:t>
            </w:r>
            <w:r>
              <w:t xml:space="preserve"> </w:t>
            </w:r>
            <w:r w:rsidRPr="00BF1EFB">
              <w:t>does not comply with WCAG 2.1 AA standard.</w:t>
            </w:r>
            <w:r w:rsidRPr="00BF1EFB">
              <w:rPr>
                <w:rStyle w:val="FootnoteReference"/>
                <w:rFonts w:ascii="Verdana" w:hAnsi="Verdana"/>
                <w:sz w:val="20"/>
                <w:szCs w:val="20"/>
              </w:rPr>
              <w:footnoteReference w:id="39"/>
            </w:r>
          </w:p>
        </w:tc>
      </w:tr>
      <w:tr w:rsidR="00CC2CCC" w:rsidRPr="00BF1EFB" w14:paraId="2C6147D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9606A1" w:rsidRDefault="00566A68" w:rsidP="0055306F">
            <w:pPr>
              <w:pStyle w:val="FRABodyText"/>
            </w:pPr>
            <w:r w:rsidRPr="009606A1">
              <w:lastRenderedPageBreak/>
              <w:t xml:space="preserve">Are some television </w:t>
            </w:r>
            <w:proofErr w:type="spellStart"/>
            <w:r w:rsidRPr="009606A1">
              <w:t>programmes</w:t>
            </w:r>
            <w:proofErr w:type="spellEnd"/>
            <w:r w:rsidRPr="009606A1">
              <w:t xml:space="preserve">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D5B809" w14:textId="3CC807D6" w:rsidR="004D40DC" w:rsidRPr="009606A1" w:rsidRDefault="00566A68" w:rsidP="0055306F">
            <w:pPr>
              <w:pStyle w:val="FRABodyText"/>
            </w:pPr>
            <w:r w:rsidRPr="009606A1">
              <w:t xml:space="preserve">Yes, some key </w:t>
            </w:r>
            <w:proofErr w:type="spellStart"/>
            <w:r w:rsidRPr="009606A1">
              <w:t>programmes</w:t>
            </w:r>
            <w:proofErr w:type="spellEnd"/>
            <w:r w:rsidRPr="009606A1">
              <w:t xml:space="preserve"> are subtitled</w:t>
            </w:r>
          </w:p>
          <w:p w14:paraId="379635A7" w14:textId="29B367D9" w:rsidR="00566A68" w:rsidRPr="00BF1EFB" w:rsidRDefault="00566A68" w:rsidP="0055306F">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A48A5A6" w14:textId="1B919889" w:rsidR="00FD75DF" w:rsidRPr="009606A1" w:rsidRDefault="00B27FF0" w:rsidP="0055306F">
            <w:pPr>
              <w:pStyle w:val="FRABodyText"/>
            </w:pPr>
            <w:r w:rsidRPr="009606A1">
              <w:t xml:space="preserve">In Bulgaria, accessible </w:t>
            </w:r>
            <w:proofErr w:type="spellStart"/>
            <w:r w:rsidRPr="009606A1">
              <w:t>programmes</w:t>
            </w:r>
            <w:proofErr w:type="spellEnd"/>
            <w:r w:rsidRPr="009606A1">
              <w:t xml:space="preserve"> for </w:t>
            </w:r>
            <w:r w:rsidR="009606A1">
              <w:t>persons</w:t>
            </w:r>
            <w:r w:rsidRPr="009606A1">
              <w:t xml:space="preserve"> with sensory disabilities offer sign language interpretation rather than subtitled content.</w:t>
            </w:r>
          </w:p>
          <w:p w14:paraId="16CCFB68" w14:textId="39C8720A" w:rsidR="00B27FF0" w:rsidRPr="00BF1EFB" w:rsidRDefault="00B27FF0" w:rsidP="0055306F">
            <w:pPr>
              <w:pStyle w:val="FRABodyText"/>
            </w:pPr>
          </w:p>
          <w:p w14:paraId="189522B5" w14:textId="2DD7B816" w:rsidR="00D6794C" w:rsidRPr="00BF1EFB" w:rsidRDefault="00D114CD" w:rsidP="0055306F">
            <w:pPr>
              <w:pStyle w:val="FRABodyText"/>
            </w:pPr>
            <w:r w:rsidRPr="00BF1EFB">
              <w:t>The Electoral Code</w:t>
            </w:r>
            <w:r w:rsidR="00485240" w:rsidRPr="00BF1EFB">
              <w:t xml:space="preserve"> (</w:t>
            </w:r>
            <w:r w:rsidR="00485240" w:rsidRPr="00BF1EFB">
              <w:rPr>
                <w:i/>
                <w:lang w:val="bg-BG"/>
              </w:rPr>
              <w:t>Изборен кодекс</w:t>
            </w:r>
            <w:r w:rsidR="00485240" w:rsidRPr="00BF1EFB">
              <w:rPr>
                <w:lang w:val="bg-BG"/>
              </w:rPr>
              <w:t>)</w:t>
            </w:r>
            <w:r w:rsidRPr="00BF1EFB">
              <w:t xml:space="preserve"> </w:t>
            </w:r>
            <w:r w:rsidR="009606A1">
              <w:t xml:space="preserve">provides </w:t>
            </w:r>
            <w:r w:rsidRPr="00BF1EFB">
              <w:t>that</w:t>
            </w:r>
            <w:r w:rsidR="009606A1">
              <w:t xml:space="preserve">, </w:t>
            </w:r>
            <w:r w:rsidR="009606A1" w:rsidRPr="00BF1EFB">
              <w:t xml:space="preserve">during the preparation and </w:t>
            </w:r>
            <w:r w:rsidR="009606A1">
              <w:t>holding</w:t>
            </w:r>
            <w:r w:rsidR="009606A1" w:rsidRPr="00BF1EFB">
              <w:t xml:space="preserve"> of elections</w:t>
            </w:r>
            <w:r w:rsidR="009606A1">
              <w:t>,</w:t>
            </w:r>
            <w:r w:rsidRPr="00BF1EFB">
              <w:t xml:space="preserve"> all media service providers with national coverage may provide the Central Election Commission</w:t>
            </w:r>
            <w:r w:rsidR="009606A1">
              <w:t xml:space="preserve"> (CEC) (</w:t>
            </w:r>
            <w:r w:rsidR="009606A1">
              <w:rPr>
                <w:i/>
                <w:iCs/>
                <w:lang w:val="bg-BG"/>
              </w:rPr>
              <w:t>Централна избирателна комисия</w:t>
            </w:r>
            <w:r w:rsidR="009606A1">
              <w:rPr>
                <w:lang w:val="bg-BG"/>
              </w:rPr>
              <w:t>, ЦИК</w:t>
            </w:r>
            <w:r w:rsidR="009606A1">
              <w:t>)</w:t>
            </w:r>
            <w:r w:rsidRPr="00BF1EFB">
              <w:t xml:space="preserve"> with free airtime of not less than 15 minutes per week </w:t>
            </w:r>
            <w:r w:rsidR="009606A1">
              <w:t>for</w:t>
            </w:r>
            <w:r w:rsidRPr="00BF1EFB">
              <w:t xml:space="preserve"> </w:t>
            </w:r>
            <w:r w:rsidR="004A7532">
              <w:t xml:space="preserve">an </w:t>
            </w:r>
            <w:r w:rsidRPr="00BF1EFB">
              <w:t xml:space="preserve">explanatory campaign on the </w:t>
            </w:r>
            <w:r w:rsidR="00485240" w:rsidRPr="00BF1EFB">
              <w:t>voting.</w:t>
            </w:r>
            <w:r w:rsidR="00485240" w:rsidRPr="00BF1EFB">
              <w:rPr>
                <w:rStyle w:val="FootnoteReference"/>
                <w:rFonts w:ascii="Verdana" w:hAnsi="Verdana"/>
                <w:sz w:val="20"/>
              </w:rPr>
              <w:footnoteReference w:id="40"/>
            </w:r>
            <w:r w:rsidR="00485240" w:rsidRPr="00BF1EFB">
              <w:t xml:space="preserve"> For example, </w:t>
            </w:r>
            <w:r w:rsidR="004A7532">
              <w:t>during the campaign for the last local elections, held in</w:t>
            </w:r>
            <w:r w:rsidR="00485240" w:rsidRPr="00BF1EFB">
              <w:t xml:space="preserve"> October 2023</w:t>
            </w:r>
            <w:r w:rsidR="004A7532">
              <w:t>,</w:t>
            </w:r>
            <w:r w:rsidR="00485240" w:rsidRPr="00BF1EFB">
              <w:t xml:space="preserve"> a series of animated videos produced by the </w:t>
            </w:r>
            <w:r w:rsidR="004A7532" w:rsidRPr="00BF1EFB">
              <w:t>Central Election Commission</w:t>
            </w:r>
            <w:r w:rsidR="004A7532">
              <w:t xml:space="preserve"> (CEC) (</w:t>
            </w:r>
            <w:r w:rsidR="004A7532">
              <w:rPr>
                <w:i/>
                <w:iCs/>
                <w:lang w:val="bg-BG"/>
              </w:rPr>
              <w:t>Централна избирателна комисия</w:t>
            </w:r>
            <w:r w:rsidR="004A7532">
              <w:rPr>
                <w:lang w:val="bg-BG"/>
              </w:rPr>
              <w:t>, ЦИК</w:t>
            </w:r>
            <w:r w:rsidR="004A7532">
              <w:t>)</w:t>
            </w:r>
            <w:r w:rsidR="00485240" w:rsidRPr="00BF1EFB">
              <w:t xml:space="preserve"> were </w:t>
            </w:r>
            <w:r w:rsidR="004A7532">
              <w:t>broadcasted by</w:t>
            </w:r>
            <w:r w:rsidR="00485240" w:rsidRPr="00BF1EFB">
              <w:t xml:space="preserve"> some of the TV channels with national coverage.</w:t>
            </w:r>
            <w:r w:rsidR="00485240" w:rsidRPr="00BF1EFB">
              <w:rPr>
                <w:rStyle w:val="FootnoteReference"/>
                <w:rFonts w:ascii="Verdana" w:hAnsi="Verdana"/>
                <w:sz w:val="20"/>
                <w:lang w:val="bg-BG"/>
              </w:rPr>
              <w:footnoteReference w:id="41"/>
            </w:r>
            <w:r w:rsidR="00485240" w:rsidRPr="00BF1EFB">
              <w:t xml:space="preserve"> The videos were subtitled and </w:t>
            </w:r>
            <w:r w:rsidR="004A7532">
              <w:t>included</w:t>
            </w:r>
            <w:r w:rsidR="00485240" w:rsidRPr="00BF1EFB">
              <w:t xml:space="preserve"> sign language interpretation.</w:t>
            </w:r>
            <w:r w:rsidR="00D6794C" w:rsidRPr="00BF1EFB">
              <w:t xml:space="preserve"> </w:t>
            </w:r>
          </w:p>
        </w:tc>
      </w:tr>
      <w:tr w:rsidR="00CC2CCC" w:rsidRPr="00BF1EFB" w14:paraId="277DD9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566A68" w:rsidRPr="004A7532" w:rsidRDefault="00566A68" w:rsidP="0055306F">
            <w:pPr>
              <w:pStyle w:val="FRABodyText"/>
            </w:pPr>
            <w:r w:rsidRPr="004A7532">
              <w:t xml:space="preserve">Do some television </w:t>
            </w:r>
            <w:proofErr w:type="spellStart"/>
            <w:r w:rsidRPr="004A7532">
              <w:t>programmes</w:t>
            </w:r>
            <w:proofErr w:type="spellEnd"/>
            <w:r w:rsidRPr="004A7532">
              <w:t xml:space="preserve"> providing instructions for voting and information on candidates </w:t>
            </w:r>
            <w:r w:rsidRPr="004A7532">
              <w:lastRenderedPageBreak/>
              <w:t>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E2F7662" w14:textId="7BE83045" w:rsidR="00566A68" w:rsidRPr="004A7532" w:rsidRDefault="00566A68" w:rsidP="0055306F">
            <w:pPr>
              <w:pStyle w:val="FRABodyText"/>
            </w:pPr>
            <w:r w:rsidRPr="004A7532">
              <w:lastRenderedPageBreak/>
              <w:t xml:space="preserve">Yes, some key </w:t>
            </w:r>
            <w:proofErr w:type="spellStart"/>
            <w:r w:rsidRPr="004A7532">
              <w:t>programmes</w:t>
            </w:r>
            <w:proofErr w:type="spellEnd"/>
            <w:r w:rsidRPr="004A7532">
              <w:t xml:space="preserve"> have sign language interpretation </w:t>
            </w:r>
          </w:p>
          <w:p w14:paraId="72C7A0DB" w14:textId="104BCFC6" w:rsidR="00566A68" w:rsidRPr="004A7532" w:rsidRDefault="00566A68" w:rsidP="0055306F">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EB2115E" w14:textId="77777777" w:rsidR="004A7532" w:rsidRPr="009606A1" w:rsidRDefault="004A7532" w:rsidP="0055306F">
            <w:pPr>
              <w:pStyle w:val="FRABodyText"/>
            </w:pPr>
            <w:r w:rsidRPr="009606A1">
              <w:t xml:space="preserve">In Bulgaria, accessible </w:t>
            </w:r>
            <w:proofErr w:type="spellStart"/>
            <w:r w:rsidRPr="009606A1">
              <w:t>programmes</w:t>
            </w:r>
            <w:proofErr w:type="spellEnd"/>
            <w:r w:rsidRPr="009606A1">
              <w:t xml:space="preserve"> for </w:t>
            </w:r>
            <w:r>
              <w:t>persons</w:t>
            </w:r>
            <w:r w:rsidRPr="009606A1">
              <w:t xml:space="preserve"> with sensory disabilities offer sign language interpretation rather than subtitled content.</w:t>
            </w:r>
          </w:p>
          <w:p w14:paraId="00511BF1" w14:textId="77777777" w:rsidR="004A7532" w:rsidRPr="00BF1EFB" w:rsidRDefault="004A7532" w:rsidP="0055306F">
            <w:pPr>
              <w:pStyle w:val="FRABodyText"/>
            </w:pPr>
          </w:p>
          <w:p w14:paraId="69EB708C" w14:textId="77777777" w:rsidR="004A7532" w:rsidRDefault="004A7532" w:rsidP="0055306F">
            <w:pPr>
              <w:pStyle w:val="FRABodyText"/>
            </w:pPr>
            <w:r w:rsidRPr="00BF1EFB">
              <w:lastRenderedPageBreak/>
              <w:t>The Electoral Code (</w:t>
            </w:r>
            <w:r w:rsidRPr="00BF1EFB">
              <w:rPr>
                <w:i/>
                <w:lang w:val="bg-BG"/>
              </w:rPr>
              <w:t>Изборен кодекс</w:t>
            </w:r>
            <w:r w:rsidRPr="00BF1EFB">
              <w:rPr>
                <w:lang w:val="bg-BG"/>
              </w:rPr>
              <w:t>)</w:t>
            </w:r>
            <w:r w:rsidRPr="00BF1EFB">
              <w:t xml:space="preserve"> </w:t>
            </w:r>
            <w:r>
              <w:t xml:space="preserve">provides </w:t>
            </w:r>
            <w:r w:rsidRPr="00BF1EFB">
              <w:t>that</w:t>
            </w:r>
            <w:r>
              <w:t xml:space="preserve">, </w:t>
            </w:r>
            <w:r w:rsidRPr="00BF1EFB">
              <w:t xml:space="preserve">during the preparation and </w:t>
            </w:r>
            <w:r>
              <w:t>holding</w:t>
            </w:r>
            <w:r w:rsidRPr="00BF1EFB">
              <w:t xml:space="preserve"> of elections</w:t>
            </w:r>
            <w:r>
              <w:t>,</w:t>
            </w:r>
            <w:r w:rsidRPr="00BF1EFB">
              <w:t xml:space="preserve"> all media service providers with national coverage may provide the Central Election Commission</w:t>
            </w:r>
            <w:r>
              <w:t xml:space="preserve"> (CEC) (</w:t>
            </w:r>
            <w:r>
              <w:rPr>
                <w:i/>
                <w:iCs/>
                <w:lang w:val="bg-BG"/>
              </w:rPr>
              <w:t>Централна избирателна комисия</w:t>
            </w:r>
            <w:r>
              <w:rPr>
                <w:lang w:val="bg-BG"/>
              </w:rPr>
              <w:t>, ЦИК</w:t>
            </w:r>
            <w:r>
              <w:t>)</w:t>
            </w:r>
            <w:r w:rsidRPr="00BF1EFB">
              <w:t xml:space="preserve"> with free airtime of not less than 15 minutes per week </w:t>
            </w:r>
            <w:r>
              <w:t>for</w:t>
            </w:r>
            <w:r w:rsidRPr="00BF1EFB">
              <w:t xml:space="preserve"> </w:t>
            </w:r>
            <w:r>
              <w:t xml:space="preserve">an </w:t>
            </w:r>
            <w:r w:rsidRPr="00BF1EFB">
              <w:t>explanatory campaign on the voting.</w:t>
            </w:r>
            <w:r w:rsidRPr="00BF1EFB">
              <w:rPr>
                <w:rStyle w:val="FootnoteReference"/>
                <w:rFonts w:ascii="Verdana" w:hAnsi="Verdana"/>
                <w:sz w:val="20"/>
              </w:rPr>
              <w:footnoteReference w:id="42"/>
            </w:r>
            <w:r w:rsidRPr="00BF1EFB">
              <w:t xml:space="preserve"> For example, </w:t>
            </w:r>
            <w:r>
              <w:t>during the campaign for the last local elections, held in</w:t>
            </w:r>
            <w:r w:rsidRPr="00BF1EFB">
              <w:t xml:space="preserve"> October 2023</w:t>
            </w:r>
            <w:r>
              <w:t>,</w:t>
            </w:r>
            <w:r w:rsidRPr="00BF1EFB">
              <w:t xml:space="preserve"> a series of animated videos produced by the Central Election Commission</w:t>
            </w:r>
            <w:r>
              <w:t xml:space="preserve"> (CEC) (</w:t>
            </w:r>
            <w:r>
              <w:rPr>
                <w:i/>
                <w:iCs/>
                <w:lang w:val="bg-BG"/>
              </w:rPr>
              <w:t>Централна избирателна комисия</w:t>
            </w:r>
            <w:r>
              <w:rPr>
                <w:lang w:val="bg-BG"/>
              </w:rPr>
              <w:t>, ЦИК</w:t>
            </w:r>
            <w:r>
              <w:t>)</w:t>
            </w:r>
            <w:r w:rsidRPr="00BF1EFB">
              <w:t xml:space="preserve"> were </w:t>
            </w:r>
            <w:r>
              <w:t>broadcasted by</w:t>
            </w:r>
            <w:r w:rsidRPr="00BF1EFB">
              <w:t xml:space="preserve"> some of the TV channels with national coverage.</w:t>
            </w:r>
            <w:r w:rsidRPr="00BF1EFB">
              <w:rPr>
                <w:rStyle w:val="FootnoteReference"/>
                <w:rFonts w:ascii="Verdana" w:hAnsi="Verdana"/>
                <w:sz w:val="20"/>
                <w:lang w:val="bg-BG"/>
              </w:rPr>
              <w:footnoteReference w:id="43"/>
            </w:r>
            <w:r w:rsidRPr="00BF1EFB">
              <w:t xml:space="preserve"> The videos were subtitled and </w:t>
            </w:r>
            <w:r>
              <w:t>included</w:t>
            </w:r>
            <w:r w:rsidRPr="00BF1EFB">
              <w:t xml:space="preserve"> sign language interpretation.</w:t>
            </w:r>
          </w:p>
          <w:p w14:paraId="2611AEB8" w14:textId="77777777" w:rsidR="00566A68" w:rsidRPr="00BF1EFB" w:rsidRDefault="00566A68" w:rsidP="0055306F">
            <w:pPr>
              <w:pStyle w:val="FRABodyText"/>
            </w:pPr>
          </w:p>
          <w:p w14:paraId="6F72F069" w14:textId="74A66AB8" w:rsidR="00E50BA2" w:rsidRPr="004A7532" w:rsidRDefault="00E50BA2" w:rsidP="0055306F">
            <w:pPr>
              <w:pStyle w:val="FRABodyText"/>
            </w:pPr>
            <w:r w:rsidRPr="004A7532">
              <w:t>In addition</w:t>
            </w:r>
            <w:r w:rsidR="004A7532" w:rsidRPr="004A7532">
              <w:t xml:space="preserve"> to the official explanatory campaign</w:t>
            </w:r>
            <w:r w:rsidR="004A7532">
              <w:t xml:space="preserve"> of the </w:t>
            </w:r>
            <w:r w:rsidR="004A7532" w:rsidRPr="00BF1EFB">
              <w:t>Central Election Commission</w:t>
            </w:r>
            <w:r w:rsidR="004A7532">
              <w:t xml:space="preserve"> (CEC) (</w:t>
            </w:r>
            <w:r w:rsidR="004A7532">
              <w:rPr>
                <w:i/>
                <w:iCs/>
                <w:lang w:val="bg-BG"/>
              </w:rPr>
              <w:t>Централна избирателна комисия</w:t>
            </w:r>
            <w:r w:rsidR="004A7532">
              <w:rPr>
                <w:lang w:val="bg-BG"/>
              </w:rPr>
              <w:t>, ЦИК</w:t>
            </w:r>
            <w:r w:rsidR="004A7532">
              <w:t>)</w:t>
            </w:r>
            <w:r w:rsidRPr="004A7532">
              <w:t xml:space="preserve">, </w:t>
            </w:r>
            <w:r w:rsidR="004A7532">
              <w:t>most</w:t>
            </w:r>
            <w:r w:rsidR="004A7532" w:rsidRPr="004A7532">
              <w:t xml:space="preserve"> </w:t>
            </w:r>
            <w:r w:rsidR="004A7532">
              <w:t xml:space="preserve">national </w:t>
            </w:r>
            <w:r w:rsidR="004A7532" w:rsidRPr="004A7532">
              <w:t>media</w:t>
            </w:r>
            <w:r w:rsidR="00C7087B">
              <w:t>, in accordance with their internal policies,</w:t>
            </w:r>
            <w:r w:rsidR="004A7532" w:rsidRPr="004A7532">
              <w:t xml:space="preserve"> </w:t>
            </w:r>
            <w:r w:rsidR="00C7087B">
              <w:t xml:space="preserve">include </w:t>
            </w:r>
            <w:r w:rsidR="004A7532" w:rsidRPr="004A7532">
              <w:t>sign language interpretation</w:t>
            </w:r>
            <w:r w:rsidR="00C7087B">
              <w:t xml:space="preserve"> in some of their own election-related </w:t>
            </w:r>
            <w:proofErr w:type="spellStart"/>
            <w:r w:rsidR="00C7087B">
              <w:t>programmes</w:t>
            </w:r>
            <w:proofErr w:type="spellEnd"/>
            <w:r w:rsidR="004A7532" w:rsidRPr="004A7532">
              <w:t xml:space="preserve">, such as the news </w:t>
            </w:r>
            <w:r w:rsidR="00C7087B">
              <w:t>broadcasts,</w:t>
            </w:r>
            <w:r w:rsidR="004A7532" w:rsidRPr="004A7532">
              <w:t xml:space="preserve"> </w:t>
            </w:r>
            <w:r w:rsidR="0007617D" w:rsidRPr="004A7532">
              <w:t xml:space="preserve">debates </w:t>
            </w:r>
            <w:r w:rsidR="00C7087B">
              <w:t>between candidates, etc</w:t>
            </w:r>
            <w:r w:rsidR="0007617D" w:rsidRPr="004A7532">
              <w:t>.</w:t>
            </w:r>
            <w:r w:rsidR="0007617D" w:rsidRPr="004A7532">
              <w:rPr>
                <w:rStyle w:val="FootnoteReference"/>
                <w:rFonts w:ascii="Verdana" w:hAnsi="Verdana"/>
                <w:sz w:val="20"/>
                <w:lang w:val="en-GB"/>
              </w:rPr>
              <w:footnoteReference w:id="44"/>
            </w:r>
            <w:r w:rsidR="0007617D" w:rsidRPr="004A7532">
              <w:t xml:space="preserve"> </w:t>
            </w:r>
          </w:p>
        </w:tc>
      </w:tr>
      <w:tr w:rsidR="00CC2CCC" w:rsidRPr="00BF1EFB" w14:paraId="3E04ECF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F2448B" w:rsidRDefault="00566A68" w:rsidP="0055306F">
            <w:pPr>
              <w:pStyle w:val="FRABodyText"/>
            </w:pPr>
            <w:r w:rsidRPr="00F2448B">
              <w:lastRenderedPageBreak/>
              <w:t xml:space="preserve">Are some television </w:t>
            </w:r>
            <w:proofErr w:type="spellStart"/>
            <w:r w:rsidRPr="00F2448B">
              <w:t>programmes</w:t>
            </w:r>
            <w:proofErr w:type="spellEnd"/>
            <w:r w:rsidRPr="00F2448B">
              <w:t xml:space="preserve">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5E8BA8" w14:textId="4ABD4BC6" w:rsidR="00566A68" w:rsidRPr="00BF1EFB" w:rsidRDefault="00566A68" w:rsidP="0055306F">
            <w:pPr>
              <w:pStyle w:val="FRABodyText"/>
            </w:pPr>
            <w:r w:rsidRPr="00BF1EFB">
              <w:t>No information</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0A2509FB" w:rsidR="00566A68" w:rsidRPr="00BF1EFB" w:rsidRDefault="00F2448B" w:rsidP="0055306F">
            <w:pPr>
              <w:pStyle w:val="FRABodyText"/>
            </w:pPr>
            <w:r>
              <w:t xml:space="preserve">There is no publicly available information on </w:t>
            </w:r>
            <w:r w:rsidRPr="00F2448B">
              <w:t xml:space="preserve">television </w:t>
            </w:r>
            <w:proofErr w:type="spellStart"/>
            <w:r w:rsidRPr="00F2448B">
              <w:t>programmes</w:t>
            </w:r>
            <w:proofErr w:type="spellEnd"/>
            <w:r w:rsidRPr="00F2448B">
              <w:t xml:space="preserve"> providing </w:t>
            </w:r>
            <w:r>
              <w:t xml:space="preserve">election-related content </w:t>
            </w:r>
            <w:r w:rsidRPr="00F2448B">
              <w:t>audio described</w:t>
            </w:r>
            <w:r>
              <w:t>.</w:t>
            </w:r>
            <w:r w:rsidRPr="00BF1EFB">
              <w:t xml:space="preserve"> </w:t>
            </w:r>
            <w:r w:rsidR="00F24B39" w:rsidRPr="00BF1EFB">
              <w:t>The Council for Electronic Media</w:t>
            </w:r>
            <w:r>
              <w:t xml:space="preserve"> (CEM)</w:t>
            </w:r>
            <w:r w:rsidR="00F24B39" w:rsidRPr="00BF1EFB">
              <w:t xml:space="preserve"> (</w:t>
            </w:r>
            <w:r w:rsidR="00F24B39" w:rsidRPr="00BF1EFB">
              <w:rPr>
                <w:i/>
                <w:lang w:val="bg-BG"/>
              </w:rPr>
              <w:t>Съвет за електронни медии</w:t>
            </w:r>
            <w:r>
              <w:rPr>
                <w:iCs/>
                <w:lang w:val="bg-BG"/>
              </w:rPr>
              <w:t>, СЕМ</w:t>
            </w:r>
            <w:r w:rsidR="00F24B39" w:rsidRPr="00BF1EFB">
              <w:rPr>
                <w:lang w:val="bg-BG"/>
              </w:rPr>
              <w:t>)</w:t>
            </w:r>
            <w:r w:rsidR="00F24B39" w:rsidRPr="00BF1EFB">
              <w:t xml:space="preserve"> </w:t>
            </w:r>
            <w:r w:rsidR="00F24B39" w:rsidRPr="00F2448B">
              <w:t xml:space="preserve">does not collect data on audio described </w:t>
            </w:r>
            <w:proofErr w:type="spellStart"/>
            <w:r w:rsidR="00F24B39" w:rsidRPr="00F2448B">
              <w:t>programmes</w:t>
            </w:r>
            <w:proofErr w:type="spellEnd"/>
            <w:r w:rsidR="00F24B39" w:rsidRPr="00F2448B">
              <w:t>.</w:t>
            </w:r>
            <w:r w:rsidR="00F24B39" w:rsidRPr="00F2448B">
              <w:rPr>
                <w:rStyle w:val="FootnoteReference"/>
                <w:rFonts w:ascii="Verdana" w:hAnsi="Verdana"/>
                <w:sz w:val="20"/>
                <w:lang w:val="en-GB"/>
              </w:rPr>
              <w:footnoteReference w:id="45"/>
            </w:r>
          </w:p>
        </w:tc>
      </w:tr>
      <w:tr w:rsidR="00CC2CCC" w:rsidRPr="00BF1EFB" w14:paraId="6D99824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BF1EFB" w:rsidRDefault="00566A68" w:rsidP="0055306F">
            <w:pPr>
              <w:pStyle w:val="FRABodyText"/>
            </w:pPr>
            <w:r w:rsidRPr="00BF1EFB">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AE6919" w14:textId="49FC9C67" w:rsidR="00566A68" w:rsidRPr="00BF1EFB" w:rsidRDefault="00566A68" w:rsidP="0055306F">
            <w:pPr>
              <w:pStyle w:val="FRABodyText"/>
            </w:pPr>
            <w:r w:rsidRPr="00BF1EFB">
              <w:t>No political parties provided accessible manifestos</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02A5A5" w14:textId="113CA25C" w:rsidR="00566A68" w:rsidRPr="00BF1EFB" w:rsidRDefault="00F2448B" w:rsidP="0055306F">
            <w:pPr>
              <w:pStyle w:val="FRABodyText"/>
            </w:pPr>
            <w:r>
              <w:t>During the last local elections, held in October 2023, n</w:t>
            </w:r>
            <w:r w:rsidR="00041B3C" w:rsidRPr="00BF1EFB">
              <w:t>o political party manifestos</w:t>
            </w:r>
            <w:r>
              <w:rPr>
                <w:lang w:val="bg-BG"/>
              </w:rPr>
              <w:t xml:space="preserve"> </w:t>
            </w:r>
            <w:r>
              <w:t>were provided</w:t>
            </w:r>
            <w:r w:rsidR="00041B3C" w:rsidRPr="00BF1EFB">
              <w:t xml:space="preserve"> in accessible formats.</w:t>
            </w:r>
            <w:r w:rsidR="00A7281F" w:rsidRPr="00BF1EFB">
              <w:t xml:space="preserve"> Most political parties </w:t>
            </w:r>
            <w:r>
              <w:t>disseminated</w:t>
            </w:r>
            <w:r w:rsidR="00A7281F" w:rsidRPr="00BF1EFB">
              <w:t xml:space="preserve"> subtitled videos explaining </w:t>
            </w:r>
            <w:r>
              <w:t>in</w:t>
            </w:r>
            <w:r w:rsidR="00A7281F" w:rsidRPr="00BF1EFB">
              <w:t xml:space="preserve"> accessible language certain aspects of their manifestos.</w:t>
            </w:r>
            <w:r w:rsidR="00F24B39" w:rsidRPr="00BF1EFB">
              <w:t xml:space="preserve"> During the</w:t>
            </w:r>
            <w:r>
              <w:t xml:space="preserve"> campaign for the</w:t>
            </w:r>
            <w:r w:rsidR="00F24B39" w:rsidRPr="00BF1EFB">
              <w:t xml:space="preserve"> </w:t>
            </w:r>
            <w:r>
              <w:t xml:space="preserve">last </w:t>
            </w:r>
            <w:r w:rsidR="00F24B39" w:rsidRPr="00BF1EFB">
              <w:t>parliamentary election</w:t>
            </w:r>
            <w:r>
              <w:t xml:space="preserve">, held in </w:t>
            </w:r>
            <w:r w:rsidRPr="00BF1EFB">
              <w:t>April 2023</w:t>
            </w:r>
            <w:r w:rsidR="00F24B39" w:rsidRPr="00BF1EFB">
              <w:t xml:space="preserve">, one political party </w:t>
            </w:r>
            <w:r>
              <w:t>disseminated</w:t>
            </w:r>
            <w:r w:rsidR="00F24B39" w:rsidRPr="00BF1EFB">
              <w:t xml:space="preserve"> </w:t>
            </w:r>
            <w:r w:rsidR="00EC020F">
              <w:t xml:space="preserve">a </w:t>
            </w:r>
            <w:r w:rsidR="00F24B39" w:rsidRPr="00BF1EFB">
              <w:t>paid election video with sign language interpretation.</w:t>
            </w:r>
            <w:r w:rsidR="00F24B39" w:rsidRPr="00BF1EFB">
              <w:rPr>
                <w:rStyle w:val="FootnoteReference"/>
                <w:rFonts w:ascii="Verdana" w:hAnsi="Verdana"/>
                <w:sz w:val="20"/>
              </w:rPr>
              <w:footnoteReference w:id="46"/>
            </w:r>
          </w:p>
        </w:tc>
      </w:tr>
      <w:tr w:rsidR="00CC2CCC" w:rsidRPr="00BF1EFB" w14:paraId="2D55F7EF"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BF1EFB" w:rsidRDefault="00566A68" w:rsidP="0055306F">
            <w:pPr>
              <w:pStyle w:val="FRABodyText"/>
            </w:pPr>
            <w:r w:rsidRPr="00BF1EFB">
              <w:lastRenderedPageBreak/>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2A2935" w14:textId="7ABBB631" w:rsidR="00566A68" w:rsidRPr="00BF1EFB" w:rsidRDefault="00566A68" w:rsidP="0055306F">
            <w:pPr>
              <w:pStyle w:val="FRABodyText"/>
            </w:pPr>
            <w:r w:rsidRPr="00BF1EFB">
              <w:t xml:space="preserve">Yes, covering public and private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D7BB185" w14:textId="1E86AD4C" w:rsidR="00566A68" w:rsidRPr="00BF1EFB" w:rsidRDefault="003B70EA" w:rsidP="0055306F">
            <w:pPr>
              <w:pStyle w:val="FRABodyText"/>
            </w:pPr>
            <w:r w:rsidRPr="00BF1EFB">
              <w:t xml:space="preserve">The </w:t>
            </w:r>
            <w:r w:rsidR="00992A7B">
              <w:t xml:space="preserve">operation </w:t>
            </w:r>
            <w:r w:rsidRPr="00BF1EFB">
              <w:t xml:space="preserve">public providers of internet and web-based public information </w:t>
            </w:r>
            <w:r w:rsidR="00992A7B">
              <w:t xml:space="preserve">is governed </w:t>
            </w:r>
            <w:r w:rsidRPr="00BF1EFB">
              <w:t>by the E-Governance Act (</w:t>
            </w:r>
            <w:r w:rsidRPr="00BF1EFB">
              <w:rPr>
                <w:i/>
                <w:lang w:val="bg-BG"/>
              </w:rPr>
              <w:t>Закон за електронното управление</w:t>
            </w:r>
            <w:r w:rsidRPr="00BF1EFB">
              <w:rPr>
                <w:lang w:val="bg-BG"/>
              </w:rPr>
              <w:t>)</w:t>
            </w:r>
            <w:r w:rsidRPr="00BF1EFB">
              <w:rPr>
                <w:rStyle w:val="FootnoteReference"/>
                <w:rFonts w:ascii="Verdana" w:hAnsi="Verdana"/>
                <w:sz w:val="20"/>
                <w:lang w:val="bg-BG"/>
              </w:rPr>
              <w:footnoteReference w:id="47"/>
            </w:r>
            <w:r w:rsidRPr="00BF1EFB">
              <w:t xml:space="preserve"> </w:t>
            </w:r>
            <w:r w:rsidRPr="00992A7B">
              <w:rPr>
                <w:lang w:val="en-GB"/>
              </w:rPr>
              <w:t xml:space="preserve">and </w:t>
            </w:r>
            <w:r w:rsidR="00992A7B" w:rsidRPr="00992A7B">
              <w:rPr>
                <w:lang w:val="en-GB"/>
              </w:rPr>
              <w:t>secondary legislation.</w:t>
            </w:r>
            <w:r w:rsidRPr="00992A7B">
              <w:rPr>
                <w:rStyle w:val="FootnoteReference"/>
                <w:rFonts w:ascii="Verdana" w:hAnsi="Verdana"/>
                <w:sz w:val="20"/>
                <w:lang w:val="en-GB"/>
              </w:rPr>
              <w:footnoteReference w:id="48"/>
            </w:r>
            <w:r w:rsidR="00535838" w:rsidRPr="00992A7B">
              <w:rPr>
                <w:lang w:val="en-GB"/>
              </w:rPr>
              <w:t xml:space="preserve"> </w:t>
            </w:r>
            <w:r w:rsidR="00992A7B" w:rsidRPr="00992A7B">
              <w:rPr>
                <w:lang w:val="en-GB"/>
              </w:rPr>
              <w:t>According to the secondary legislation,</w:t>
            </w:r>
            <w:r w:rsidR="00535838" w:rsidRPr="00992A7B">
              <w:rPr>
                <w:lang w:val="en-GB"/>
              </w:rPr>
              <w:t xml:space="preserve"> the content of websites and mobile applications of administrative authorities, public service providers, and </w:t>
            </w:r>
            <w:r w:rsidR="00992A7B" w:rsidRPr="00992A7B">
              <w:rPr>
                <w:lang w:val="en-GB"/>
              </w:rPr>
              <w:t xml:space="preserve">persons performing </w:t>
            </w:r>
            <w:r w:rsidR="00535838" w:rsidRPr="00992A7B">
              <w:rPr>
                <w:lang w:val="en-GB"/>
              </w:rPr>
              <w:t>public function</w:t>
            </w:r>
            <w:r w:rsidR="00992A7B" w:rsidRPr="00992A7B">
              <w:rPr>
                <w:lang w:val="en-GB"/>
              </w:rPr>
              <w:t>s</w:t>
            </w:r>
            <w:r w:rsidR="00535838" w:rsidRPr="00992A7B">
              <w:rPr>
                <w:lang w:val="en-GB"/>
              </w:rPr>
              <w:t xml:space="preserve"> must comply with the harmonised standard EN 301 549 V2.1.2 (2018-08)</w:t>
            </w:r>
            <w:r w:rsidR="00C76BD1" w:rsidRPr="00992A7B">
              <w:rPr>
                <w:lang w:val="en-GB"/>
              </w:rPr>
              <w:t>.</w:t>
            </w:r>
            <w:r w:rsidR="00992A7B" w:rsidRPr="00992A7B">
              <w:rPr>
                <w:rStyle w:val="FootnoteReference"/>
                <w:rFonts w:ascii="Verdana" w:hAnsi="Verdana"/>
                <w:sz w:val="20"/>
                <w:lang w:val="en-GB"/>
              </w:rPr>
              <w:footnoteReference w:id="49"/>
            </w:r>
            <w:r w:rsidR="00535838" w:rsidRPr="00992A7B">
              <w:rPr>
                <w:lang w:val="en-GB"/>
              </w:rPr>
              <w:t xml:space="preserve"> There is a list of exceptions to this rule</w:t>
            </w:r>
            <w:r w:rsidR="00992A7B">
              <w:rPr>
                <w:lang w:val="en-GB"/>
              </w:rPr>
              <w:t>,</w:t>
            </w:r>
            <w:r w:rsidR="00535838" w:rsidRPr="00992A7B">
              <w:rPr>
                <w:lang w:val="en-GB"/>
              </w:rPr>
              <w:t xml:space="preserve"> which </w:t>
            </w:r>
            <w:r w:rsidR="00992A7B">
              <w:rPr>
                <w:lang w:val="en-GB"/>
              </w:rPr>
              <w:t>includes</w:t>
            </w:r>
            <w:r w:rsidR="00535838" w:rsidRPr="00992A7B">
              <w:rPr>
                <w:lang w:val="en-GB"/>
              </w:rPr>
              <w:t xml:space="preserve"> public broadcasters and media service providers </w:t>
            </w:r>
            <w:r w:rsidR="00992A7B">
              <w:rPr>
                <w:lang w:val="en-GB"/>
              </w:rPr>
              <w:t xml:space="preserve">operating under the </w:t>
            </w:r>
            <w:r w:rsidR="00535838" w:rsidRPr="00992A7B">
              <w:rPr>
                <w:lang w:val="en-GB"/>
              </w:rPr>
              <w:t>Radio and Television Act</w:t>
            </w:r>
            <w:r w:rsidR="00992A7B">
              <w:rPr>
                <w:lang w:val="en-GB"/>
              </w:rPr>
              <w:t xml:space="preserve"> (</w:t>
            </w:r>
            <w:r w:rsidR="00992A7B">
              <w:rPr>
                <w:i/>
                <w:iCs/>
                <w:lang w:val="bg-BG"/>
              </w:rPr>
              <w:t>Закон за радиото и телевизията</w:t>
            </w:r>
            <w:r w:rsidR="00992A7B">
              <w:rPr>
                <w:lang w:val="en-GB"/>
              </w:rPr>
              <w:t>)</w:t>
            </w:r>
            <w:r w:rsidR="00535838" w:rsidRPr="00992A7B">
              <w:rPr>
                <w:lang w:val="en-GB"/>
              </w:rPr>
              <w:t xml:space="preserve">, </w:t>
            </w:r>
            <w:r w:rsidR="00902FF1" w:rsidRPr="00992A7B">
              <w:rPr>
                <w:lang w:val="en-GB"/>
              </w:rPr>
              <w:t xml:space="preserve">some </w:t>
            </w:r>
            <w:r w:rsidR="00992A7B">
              <w:rPr>
                <w:lang w:val="en-GB"/>
              </w:rPr>
              <w:t>civil society organisations</w:t>
            </w:r>
            <w:r w:rsidR="00535838" w:rsidRPr="00992A7B">
              <w:rPr>
                <w:lang w:val="en-GB"/>
              </w:rPr>
              <w:t>,</w:t>
            </w:r>
            <w:r w:rsidR="00902FF1" w:rsidRPr="00992A7B">
              <w:rPr>
                <w:lang w:val="en-GB"/>
              </w:rPr>
              <w:t xml:space="preserve"> schools and kindergartens, etc.</w:t>
            </w:r>
            <w:r w:rsidR="00992A7B">
              <w:rPr>
                <w:lang w:val="bg-BG"/>
              </w:rPr>
              <w:t xml:space="preserve"> </w:t>
            </w:r>
            <w:r w:rsidR="00992A7B">
              <w:t xml:space="preserve">as well as all cases, in which the </w:t>
            </w:r>
            <w:r w:rsidR="00992A7B">
              <w:rPr>
                <w:lang w:val="en-GB"/>
              </w:rPr>
              <w:t xml:space="preserve">compliance with </w:t>
            </w:r>
            <w:r w:rsidR="00902FF1" w:rsidRPr="00BF1EFB">
              <w:t xml:space="preserve">these standards is </w:t>
            </w:r>
            <w:r w:rsidR="00992A7B">
              <w:t xml:space="preserve">considered </w:t>
            </w:r>
            <w:r w:rsidR="00902FF1" w:rsidRPr="00BF1EFB">
              <w:t xml:space="preserve">of “excessive burden” </w:t>
            </w:r>
            <w:r w:rsidR="00992A7B">
              <w:t>for</w:t>
            </w:r>
            <w:r w:rsidR="00902FF1" w:rsidRPr="00BF1EFB">
              <w:t xml:space="preserve"> </w:t>
            </w:r>
            <w:r w:rsidR="00992A7B">
              <w:t>the</w:t>
            </w:r>
            <w:r w:rsidR="00902FF1" w:rsidRPr="00BF1EFB">
              <w:t xml:space="preserve"> provider.</w:t>
            </w:r>
            <w:r w:rsidR="00902FF1" w:rsidRPr="00BF1EFB">
              <w:rPr>
                <w:rStyle w:val="FootnoteReference"/>
                <w:rFonts w:ascii="Verdana" w:hAnsi="Verdana"/>
                <w:sz w:val="20"/>
              </w:rPr>
              <w:footnoteReference w:id="50"/>
            </w:r>
          </w:p>
        </w:tc>
      </w:tr>
      <w:tr w:rsidR="00CC2CCC" w:rsidRPr="00BF1EFB" w14:paraId="6696DCE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F77425" w:rsidRDefault="00566A68" w:rsidP="0055306F">
            <w:pPr>
              <w:pStyle w:val="FRABodyText"/>
            </w:pPr>
            <w:r w:rsidRPr="00F77425">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D9C5FED" w14:textId="7DFD19B3" w:rsidR="00566A68" w:rsidRPr="00F77425" w:rsidRDefault="00566A68" w:rsidP="0055306F">
            <w:pPr>
              <w:pStyle w:val="FRABodyText"/>
            </w:pPr>
            <w:r w:rsidRPr="00F77425">
              <w:t xml:space="preserve">Yes, covering public and private </w:t>
            </w:r>
          </w:p>
          <w:p w14:paraId="26169273" w14:textId="52B06428" w:rsidR="00566A68" w:rsidRPr="00F77425" w:rsidRDefault="00566A68" w:rsidP="0055306F">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0E292C" w14:textId="74BC0572" w:rsidR="00331BCB" w:rsidRPr="009B71A7" w:rsidRDefault="00F77425" w:rsidP="0055306F">
            <w:pPr>
              <w:pStyle w:val="FRABodyText"/>
            </w:pPr>
            <w:r w:rsidRPr="009B71A7">
              <w:t xml:space="preserve">In </w:t>
            </w:r>
            <w:r w:rsidR="00331BCB" w:rsidRPr="009B71A7">
              <w:t>Bulgaria</w:t>
            </w:r>
            <w:r w:rsidRPr="009B71A7">
              <w:t>, the Persons with</w:t>
            </w:r>
            <w:r w:rsidR="00331BCB" w:rsidRPr="009B71A7">
              <w:t xml:space="preserve"> Disabilit</w:t>
            </w:r>
            <w:r w:rsidRPr="009B71A7">
              <w:t>ies</w:t>
            </w:r>
            <w:r w:rsidR="00331BCB" w:rsidRPr="009B71A7">
              <w:t xml:space="preserve"> Act (</w:t>
            </w:r>
            <w:r w:rsidR="00331BCB" w:rsidRPr="009B71A7">
              <w:rPr>
                <w:i/>
                <w:lang w:val="bg-BG"/>
              </w:rPr>
              <w:t>Закон за хората с увреждания</w:t>
            </w:r>
            <w:r w:rsidR="00331BCB" w:rsidRPr="009B71A7">
              <w:rPr>
                <w:lang w:val="bg-BG"/>
              </w:rPr>
              <w:t xml:space="preserve">) </w:t>
            </w:r>
            <w:r w:rsidRPr="009B71A7">
              <w:t>provides</w:t>
            </w:r>
            <w:r w:rsidR="00331BCB" w:rsidRPr="009B71A7">
              <w:t xml:space="preserve"> that the Bulgarian National Television</w:t>
            </w:r>
            <w:r w:rsidRPr="009B71A7">
              <w:t xml:space="preserve"> (BNT) (</w:t>
            </w:r>
            <w:r w:rsidRPr="009B71A7">
              <w:rPr>
                <w:i/>
                <w:iCs/>
                <w:lang w:val="bg-BG"/>
              </w:rPr>
              <w:t>Българска национална телевизия</w:t>
            </w:r>
            <w:r w:rsidRPr="009B71A7">
              <w:rPr>
                <w:lang w:val="bg-BG"/>
              </w:rPr>
              <w:t>, БНТ</w:t>
            </w:r>
            <w:r w:rsidRPr="009B71A7">
              <w:t>)</w:t>
            </w:r>
            <w:r w:rsidR="00331BCB" w:rsidRPr="009B71A7">
              <w:t>, the Bulgarian National Radio</w:t>
            </w:r>
            <w:r w:rsidRPr="009B71A7">
              <w:t xml:space="preserve"> (BNR) (</w:t>
            </w:r>
            <w:r w:rsidRPr="009B71A7">
              <w:rPr>
                <w:i/>
                <w:iCs/>
                <w:lang w:val="bg-BG"/>
              </w:rPr>
              <w:t>Българско национално радио</w:t>
            </w:r>
            <w:r w:rsidRPr="009B71A7">
              <w:rPr>
                <w:lang w:val="bg-BG"/>
              </w:rPr>
              <w:t>, БНР</w:t>
            </w:r>
            <w:r w:rsidRPr="009B71A7">
              <w:t>)</w:t>
            </w:r>
            <w:r w:rsidR="00331BCB" w:rsidRPr="009B71A7">
              <w:t xml:space="preserve"> and the Bulgarian </w:t>
            </w:r>
            <w:r w:rsidRPr="009B71A7">
              <w:t>News</w:t>
            </w:r>
            <w:r w:rsidR="00331BCB" w:rsidRPr="009B71A7">
              <w:t xml:space="preserve"> Agency</w:t>
            </w:r>
            <w:r w:rsidRPr="009B71A7">
              <w:t xml:space="preserve"> (BNA) (</w:t>
            </w:r>
            <w:r w:rsidRPr="009B71A7">
              <w:rPr>
                <w:i/>
                <w:iCs/>
                <w:lang w:val="bg-BG"/>
              </w:rPr>
              <w:t>Българска телеграфна агенция</w:t>
            </w:r>
            <w:r w:rsidRPr="009B71A7">
              <w:rPr>
                <w:lang w:val="bg-BG"/>
              </w:rPr>
              <w:t>, БТА</w:t>
            </w:r>
            <w:r w:rsidRPr="009B71A7">
              <w:t>)</w:t>
            </w:r>
            <w:r w:rsidR="00331BCB" w:rsidRPr="009B71A7">
              <w:t xml:space="preserve"> </w:t>
            </w:r>
            <w:r w:rsidR="00331BCB" w:rsidRPr="009B71A7">
              <w:rPr>
                <w:lang w:val="en-GB"/>
              </w:rPr>
              <w:t xml:space="preserve">must provide information accessible to </w:t>
            </w:r>
            <w:r w:rsidRPr="009B71A7">
              <w:rPr>
                <w:lang w:val="en-GB"/>
              </w:rPr>
              <w:t xml:space="preserve">persons </w:t>
            </w:r>
            <w:r w:rsidR="00331BCB" w:rsidRPr="009B71A7">
              <w:rPr>
                <w:lang w:val="en-GB"/>
              </w:rPr>
              <w:t>with disabilities and include programmes and information related to persons with disabilities</w:t>
            </w:r>
            <w:r w:rsidR="00331BCB" w:rsidRPr="009B71A7">
              <w:t>.</w:t>
            </w:r>
            <w:r w:rsidRPr="009B71A7">
              <w:rPr>
                <w:rStyle w:val="FootnoteReference"/>
              </w:rPr>
              <w:footnoteReference w:id="51"/>
            </w:r>
          </w:p>
          <w:p w14:paraId="0F546C15" w14:textId="77777777" w:rsidR="009D1D89" w:rsidRPr="009B71A7" w:rsidRDefault="009D1D89" w:rsidP="0055306F">
            <w:pPr>
              <w:pStyle w:val="FRABodyText"/>
            </w:pPr>
          </w:p>
          <w:p w14:paraId="55258F3B" w14:textId="7D7BDF5B" w:rsidR="00B65024" w:rsidRPr="009B71A7" w:rsidRDefault="003E620C" w:rsidP="0055306F">
            <w:pPr>
              <w:pStyle w:val="FRABodyText"/>
            </w:pPr>
            <w:r w:rsidRPr="009B71A7">
              <w:t>Since 2020, the Radio and Television Act (</w:t>
            </w:r>
            <w:r w:rsidRPr="009B71A7">
              <w:rPr>
                <w:i/>
                <w:lang w:val="bg-BG"/>
              </w:rPr>
              <w:t>Закон за радиото и телевизията</w:t>
            </w:r>
            <w:r w:rsidRPr="009B71A7">
              <w:rPr>
                <w:lang w:val="bg-BG"/>
              </w:rPr>
              <w:t xml:space="preserve">) </w:t>
            </w:r>
            <w:r w:rsidRPr="009B71A7">
              <w:t xml:space="preserve">envisages </w:t>
            </w:r>
            <w:r w:rsidR="00F77425" w:rsidRPr="009B71A7">
              <w:t xml:space="preserve">that </w:t>
            </w:r>
            <w:r w:rsidRPr="009B71A7">
              <w:t xml:space="preserve">public and private broadcasters </w:t>
            </w:r>
            <w:r w:rsidR="00F77425" w:rsidRPr="009B71A7">
              <w:t>must</w:t>
            </w:r>
            <w:r w:rsidRPr="009B71A7">
              <w:t xml:space="preserve"> ensure that the content of their services is gradually made accessible to people with sensory disabilities. </w:t>
            </w:r>
            <w:r w:rsidRPr="009B71A7">
              <w:rPr>
                <w:lang w:val="en-GB"/>
              </w:rPr>
              <w:t xml:space="preserve">Means of making the content of audiovisual media services accessible </w:t>
            </w:r>
            <w:r w:rsidR="00F77425" w:rsidRPr="009B71A7">
              <w:rPr>
                <w:lang w:val="en-GB"/>
              </w:rPr>
              <w:t xml:space="preserve">may </w:t>
            </w:r>
            <w:r w:rsidRPr="009B71A7">
              <w:rPr>
                <w:lang w:val="en-GB"/>
              </w:rPr>
              <w:t xml:space="preserve">include, but not be limited to, sign language interpretation, subtitling, speech subtitling and audio description. Radio broadcasters should make programmes and broadcasts accessible to </w:t>
            </w:r>
            <w:r w:rsidR="00F77425" w:rsidRPr="009B71A7">
              <w:rPr>
                <w:lang w:val="en-GB"/>
              </w:rPr>
              <w:t>persons</w:t>
            </w:r>
            <w:r w:rsidRPr="009B71A7">
              <w:rPr>
                <w:lang w:val="en-GB"/>
              </w:rPr>
              <w:t xml:space="preserve"> with sensory disabilities through the </w:t>
            </w:r>
            <w:r w:rsidR="00F77425" w:rsidRPr="009B71A7">
              <w:rPr>
                <w:lang w:val="en-GB"/>
              </w:rPr>
              <w:t>i</w:t>
            </w:r>
            <w:r w:rsidRPr="009B71A7">
              <w:rPr>
                <w:lang w:val="en-GB"/>
              </w:rPr>
              <w:t xml:space="preserve">nternet, mobile applications or other technical means at their disposal, within the time limits and in the ways specified </w:t>
            </w:r>
            <w:r w:rsidR="00441838" w:rsidRPr="009B71A7">
              <w:rPr>
                <w:lang w:val="en-GB"/>
              </w:rPr>
              <w:t xml:space="preserve">in </w:t>
            </w:r>
            <w:r w:rsidR="00F77425" w:rsidRPr="009B71A7">
              <w:rPr>
                <w:lang w:val="en-GB"/>
              </w:rPr>
              <w:t>their own</w:t>
            </w:r>
            <w:r w:rsidRPr="009B71A7">
              <w:rPr>
                <w:lang w:val="en-GB"/>
              </w:rPr>
              <w:t xml:space="preserve"> action plans.</w:t>
            </w:r>
            <w:r w:rsidRPr="009B71A7">
              <w:rPr>
                <w:rStyle w:val="FootnoteReference"/>
                <w:rFonts w:ascii="Verdana" w:hAnsi="Verdana"/>
                <w:sz w:val="20"/>
                <w:lang w:val="en-GB"/>
              </w:rPr>
              <w:footnoteReference w:id="52"/>
            </w:r>
            <w:r w:rsidR="005E0E13" w:rsidRPr="009B71A7">
              <w:rPr>
                <w:lang w:val="en-GB"/>
              </w:rPr>
              <w:t xml:space="preserve"> As of December</w:t>
            </w:r>
            <w:r w:rsidR="005E0E13" w:rsidRPr="009B71A7">
              <w:t xml:space="preserve"> 2022, </w:t>
            </w:r>
            <w:r w:rsidR="009B71A7" w:rsidRPr="009B71A7">
              <w:t xml:space="preserve">of </w:t>
            </w:r>
            <w:r w:rsidR="009B71A7" w:rsidRPr="009B71A7">
              <w:lastRenderedPageBreak/>
              <w:t>all private media service providers (</w:t>
            </w:r>
            <w:r w:rsidR="005E0E13" w:rsidRPr="009B71A7">
              <w:t>about 13</w:t>
            </w:r>
            <w:r w:rsidR="009B71A7" w:rsidRPr="009B71A7">
              <w:t>0</w:t>
            </w:r>
            <w:r w:rsidR="005E0E13" w:rsidRPr="009B71A7">
              <w:t xml:space="preserve"> audiovisual media providers and 80 radio broadcasters</w:t>
            </w:r>
            <w:r w:rsidR="009B71A7" w:rsidRPr="009B71A7">
              <w:t>), the majority have submitted such action plans. This includes the</w:t>
            </w:r>
            <w:r w:rsidR="005E0E13" w:rsidRPr="009B71A7">
              <w:t xml:space="preserve"> Association of Bulgarian Broadcasters </w:t>
            </w:r>
            <w:r w:rsidR="009B71A7" w:rsidRPr="009B71A7">
              <w:t>(</w:t>
            </w:r>
            <w:r w:rsidR="005E0E13" w:rsidRPr="009B71A7">
              <w:t>AB</w:t>
            </w:r>
            <w:r w:rsidR="009B71A7" w:rsidRPr="009B71A7">
              <w:t>B</w:t>
            </w:r>
            <w:r w:rsidR="005E0E13" w:rsidRPr="009B71A7">
              <w:t>RO</w:t>
            </w:r>
            <w:r w:rsidR="009B71A7" w:rsidRPr="009B71A7">
              <w:t xml:space="preserve">) </w:t>
            </w:r>
            <w:r w:rsidR="00965E54" w:rsidRPr="009B71A7">
              <w:rPr>
                <w:lang w:val="bg-BG"/>
              </w:rPr>
              <w:t>(</w:t>
            </w:r>
            <w:r w:rsidR="00965E54" w:rsidRPr="009B71A7">
              <w:rPr>
                <w:i/>
                <w:lang w:val="bg-BG"/>
              </w:rPr>
              <w:t>Асоциация на българските радио и телевизионни оператори</w:t>
            </w:r>
            <w:r w:rsidR="009B71A7" w:rsidRPr="009B71A7">
              <w:rPr>
                <w:iCs/>
                <w:lang w:val="bg-BG"/>
              </w:rPr>
              <w:t>,</w:t>
            </w:r>
            <w:r w:rsidR="00965E54" w:rsidRPr="009B71A7">
              <w:rPr>
                <w:iCs/>
                <w:lang w:val="bg-BG"/>
              </w:rPr>
              <w:t xml:space="preserve"> АБРО</w:t>
            </w:r>
            <w:r w:rsidR="00965E54" w:rsidRPr="009B71A7">
              <w:rPr>
                <w:lang w:val="bg-BG"/>
              </w:rPr>
              <w:t>)</w:t>
            </w:r>
            <w:r w:rsidR="005E0E13" w:rsidRPr="009B71A7">
              <w:t xml:space="preserve"> </w:t>
            </w:r>
            <w:r w:rsidR="009B71A7" w:rsidRPr="009B71A7">
              <w:t xml:space="preserve">and most of its members as well as </w:t>
            </w:r>
            <w:r w:rsidR="005E0E13" w:rsidRPr="009B71A7">
              <w:t>22 other broadcasters</w:t>
            </w:r>
            <w:r w:rsidR="009B71A7" w:rsidRPr="009B71A7">
              <w:t xml:space="preserve"> not members of the association</w:t>
            </w:r>
            <w:r w:rsidR="005E0E13" w:rsidRPr="009B71A7">
              <w:t>.</w:t>
            </w:r>
            <w:r w:rsidR="005E0E13" w:rsidRPr="009B71A7">
              <w:rPr>
                <w:rStyle w:val="FootnoteReference"/>
                <w:rFonts w:ascii="Verdana" w:hAnsi="Verdana"/>
                <w:sz w:val="20"/>
              </w:rPr>
              <w:footnoteReference w:id="53"/>
            </w:r>
          </w:p>
          <w:p w14:paraId="3EB1281B" w14:textId="1747CCC4" w:rsidR="00286198" w:rsidRPr="009B71A7" w:rsidRDefault="00286198" w:rsidP="0055306F">
            <w:pPr>
              <w:pStyle w:val="FRABodyText"/>
            </w:pPr>
          </w:p>
          <w:p w14:paraId="4AFCFD86" w14:textId="6E46BC43" w:rsidR="00286198" w:rsidRPr="009B71A7" w:rsidRDefault="00286198" w:rsidP="0055306F">
            <w:pPr>
              <w:pStyle w:val="FRABodyText"/>
              <w:rPr>
                <w:lang w:val="bg-BG"/>
              </w:rPr>
            </w:pPr>
            <w:r w:rsidRPr="009B71A7">
              <w:t>The Electoral Code (</w:t>
            </w:r>
            <w:r w:rsidRPr="009B71A7">
              <w:rPr>
                <w:i/>
                <w:lang w:val="bg-BG"/>
              </w:rPr>
              <w:t>Изборен кодекс</w:t>
            </w:r>
            <w:r w:rsidRPr="009B71A7">
              <w:rPr>
                <w:lang w:val="bg-BG"/>
              </w:rPr>
              <w:t>)</w:t>
            </w:r>
            <w:r w:rsidRPr="009B71A7">
              <w:t xml:space="preserve"> </w:t>
            </w:r>
            <w:r w:rsidR="00A8679C">
              <w:t xml:space="preserve">provides that political </w:t>
            </w:r>
            <w:r w:rsidR="00A8679C" w:rsidRPr="009B71A7">
              <w:t xml:space="preserve">parties and coalitions </w:t>
            </w:r>
            <w:r w:rsidR="00A8679C">
              <w:t xml:space="preserve">can receive </w:t>
            </w:r>
            <w:r w:rsidR="00A8679C" w:rsidRPr="009B71A7">
              <w:t>subsidies for media packages</w:t>
            </w:r>
            <w:r w:rsidR="00A8679C">
              <w:t xml:space="preserve"> during elections</w:t>
            </w:r>
            <w:r w:rsidR="00A8679C" w:rsidRPr="009B71A7">
              <w:t xml:space="preserve"> </w:t>
            </w:r>
            <w:r w:rsidR="00A8679C">
              <w:t>to the amount of</w:t>
            </w:r>
            <w:r w:rsidR="00A8679C" w:rsidRPr="009B71A7">
              <w:t xml:space="preserve"> BGN 40,000 (approximately €20,000)</w:t>
            </w:r>
            <w:r w:rsidR="00A8679C">
              <w:t>. Eligible to receive the subsidy are all parties and coalitions, which</w:t>
            </w:r>
            <w:r w:rsidR="00A8679C" w:rsidRPr="009B71A7">
              <w:t xml:space="preserve"> have </w:t>
            </w:r>
            <w:r w:rsidR="00A8679C">
              <w:t xml:space="preserve">nominated </w:t>
            </w:r>
            <w:r w:rsidR="00A8679C" w:rsidRPr="009B71A7">
              <w:t xml:space="preserve">candidates in </w:t>
            </w:r>
            <w:r w:rsidR="00A8679C">
              <w:t xml:space="preserve">presidential and European Parliament elections </w:t>
            </w:r>
            <w:r w:rsidR="00A8679C" w:rsidRPr="009B71A7">
              <w:t xml:space="preserve">and in all electoral districts in </w:t>
            </w:r>
            <w:r w:rsidR="00A8679C">
              <w:t xml:space="preserve">national parliamentary elections, and </w:t>
            </w:r>
            <w:r w:rsidR="00A8679C" w:rsidRPr="009B71A7">
              <w:t>that are not entitled to a</w:t>
            </w:r>
            <w:r w:rsidR="00A8679C">
              <w:t>n annual</w:t>
            </w:r>
            <w:r w:rsidR="00A8679C" w:rsidRPr="009B71A7">
              <w:t xml:space="preserve"> subsidy under the Political Parties Act</w:t>
            </w:r>
            <w:r w:rsidR="00A8679C">
              <w:t xml:space="preserve"> (</w:t>
            </w:r>
            <w:r w:rsidR="00A8679C">
              <w:rPr>
                <w:i/>
                <w:iCs/>
                <w:lang w:val="bg-BG"/>
              </w:rPr>
              <w:t>Закон за политическите партии</w:t>
            </w:r>
            <w:r w:rsidR="00A8679C">
              <w:t>).</w:t>
            </w:r>
            <w:r w:rsidR="00A8679C">
              <w:rPr>
                <w:lang w:val="bg-BG"/>
              </w:rPr>
              <w:t xml:space="preserve"> </w:t>
            </w:r>
            <w:r w:rsidR="00A8679C">
              <w:t>However, the</w:t>
            </w:r>
            <w:r w:rsidRPr="009B71A7">
              <w:t xml:space="preserve"> subsidies </w:t>
            </w:r>
            <w:r w:rsidR="00A8679C">
              <w:t xml:space="preserve">for media packages </w:t>
            </w:r>
            <w:r w:rsidRPr="009B71A7">
              <w:t xml:space="preserve">are not linked </w:t>
            </w:r>
            <w:r w:rsidR="00A8679C">
              <w:t>to</w:t>
            </w:r>
            <w:r w:rsidRPr="009B71A7">
              <w:t xml:space="preserve"> any accessibility requirements.</w:t>
            </w:r>
            <w:r w:rsidRPr="009B71A7">
              <w:rPr>
                <w:rStyle w:val="FootnoteReference"/>
                <w:rFonts w:ascii="Verdana" w:hAnsi="Verdana"/>
                <w:sz w:val="20"/>
              </w:rPr>
              <w:footnoteReference w:id="54"/>
            </w:r>
          </w:p>
        </w:tc>
      </w:tr>
      <w:tr w:rsidR="00CC2CCC" w:rsidRPr="00BF1EFB" w14:paraId="519C0F3A"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8855CA" w:rsidRDefault="00566A68" w:rsidP="0055306F">
            <w:pPr>
              <w:pStyle w:val="FRABodyText"/>
            </w:pPr>
            <w:r w:rsidRPr="008855CA">
              <w:lastRenderedPageBreak/>
              <w:t>Are there mandatory accessibility standards for national and local authority buildings</w:t>
            </w:r>
            <w:r w:rsidR="007B71AE" w:rsidRPr="008855CA">
              <w:t xml:space="preserve"> in the election context</w:t>
            </w:r>
            <w:r w:rsidRPr="008855CA">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94E7CB" w14:textId="194B9C99" w:rsidR="00566A68" w:rsidRPr="008855CA" w:rsidRDefault="00566A68" w:rsidP="0055306F">
            <w:pPr>
              <w:pStyle w:val="FRABodyText"/>
            </w:pPr>
            <w:r w:rsidRPr="008855CA">
              <w:t>Partially</w:t>
            </w:r>
          </w:p>
          <w:p w14:paraId="1A8D57DA" w14:textId="4848B3A8" w:rsidR="00566A68" w:rsidRPr="008855CA" w:rsidRDefault="00566A68" w:rsidP="0055306F">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4847C3E" w14:textId="1261EB8A" w:rsidR="004C3954" w:rsidRPr="008855CA" w:rsidRDefault="004C3954" w:rsidP="0055306F">
            <w:pPr>
              <w:pStyle w:val="FRABodyText"/>
            </w:pPr>
            <w:r w:rsidRPr="008855CA">
              <w:t xml:space="preserve">The </w:t>
            </w:r>
            <w:r w:rsidR="008855CA">
              <w:t>r</w:t>
            </w:r>
            <w:r w:rsidRPr="008855CA">
              <w:t xml:space="preserve">egional </w:t>
            </w:r>
            <w:r w:rsidR="008855CA">
              <w:t>and m</w:t>
            </w:r>
            <w:r w:rsidRPr="008855CA">
              <w:t xml:space="preserve">unicipal </w:t>
            </w:r>
            <w:r w:rsidR="008855CA">
              <w:t>e</w:t>
            </w:r>
            <w:r w:rsidRPr="008855CA">
              <w:t xml:space="preserve">lectoral </w:t>
            </w:r>
            <w:r w:rsidR="008855CA">
              <w:t>c</w:t>
            </w:r>
            <w:r w:rsidRPr="008855CA">
              <w:t xml:space="preserve">ommissions are obliged by law to ensure the provision of facilities </w:t>
            </w:r>
            <w:r w:rsidR="008855CA">
              <w:t>for</w:t>
            </w:r>
            <w:r w:rsidRPr="008855CA">
              <w:t xml:space="preserve"> persons</w:t>
            </w:r>
            <w:r w:rsidR="008855CA">
              <w:t xml:space="preserve"> with disabilities</w:t>
            </w:r>
            <w:r w:rsidRPr="008855CA">
              <w:t xml:space="preserve"> to vote.</w:t>
            </w:r>
            <w:r w:rsidRPr="008855CA">
              <w:rPr>
                <w:rStyle w:val="FootnoteReference"/>
                <w:rFonts w:ascii="Verdana" w:hAnsi="Verdana"/>
                <w:sz w:val="20"/>
              </w:rPr>
              <w:footnoteReference w:id="55"/>
            </w:r>
          </w:p>
          <w:p w14:paraId="799F2C2A" w14:textId="77777777" w:rsidR="004C3954" w:rsidRPr="008855CA" w:rsidRDefault="004C3954" w:rsidP="0055306F">
            <w:pPr>
              <w:pStyle w:val="FRABodyText"/>
            </w:pPr>
          </w:p>
          <w:p w14:paraId="3B6FF879" w14:textId="0751726D" w:rsidR="00566A68" w:rsidRPr="00BF1EFB" w:rsidRDefault="004C3954" w:rsidP="0055306F">
            <w:pPr>
              <w:pStyle w:val="FRABodyText"/>
            </w:pPr>
            <w:r w:rsidRPr="008855CA">
              <w:t>The Central Electoral Commission</w:t>
            </w:r>
            <w:r w:rsidR="008855CA">
              <w:t xml:space="preserve"> (CEC)</w:t>
            </w:r>
            <w:r w:rsidRPr="008855CA">
              <w:t xml:space="preserve"> (</w:t>
            </w:r>
            <w:r w:rsidRPr="008855CA">
              <w:rPr>
                <w:i/>
                <w:lang w:val="bg-BG"/>
              </w:rPr>
              <w:t>Централна избирателна комисия</w:t>
            </w:r>
            <w:r w:rsidR="008855CA" w:rsidRPr="008855CA">
              <w:rPr>
                <w:iCs/>
                <w:lang w:val="bg-BG"/>
              </w:rPr>
              <w:t>, ЦИК</w:t>
            </w:r>
            <w:r w:rsidRPr="008855CA">
              <w:t>) defin</w:t>
            </w:r>
            <w:r w:rsidR="008855CA">
              <w:t>es</w:t>
            </w:r>
            <w:r w:rsidRPr="008855CA">
              <w:t xml:space="preserve"> the concrete procedures for voting of </w:t>
            </w:r>
            <w:r w:rsidR="008855CA">
              <w:t>persons</w:t>
            </w:r>
            <w:r w:rsidRPr="008855CA">
              <w:t xml:space="preserve"> with disabilities and</w:t>
            </w:r>
            <w:r w:rsidR="008855CA">
              <w:t xml:space="preserve"> other persons</w:t>
            </w:r>
            <w:r w:rsidRPr="008855CA">
              <w:t xml:space="preserve"> in need of support for each particular round of elections</w:t>
            </w:r>
            <w:r w:rsidR="008855CA">
              <w:t>,</w:t>
            </w:r>
            <w:r w:rsidRPr="008855CA">
              <w:t xml:space="preserve"> and </w:t>
            </w:r>
            <w:r w:rsidR="008855CA">
              <w:t xml:space="preserve">determines the </w:t>
            </w:r>
            <w:r w:rsidRPr="008855CA">
              <w:t>measures to</w:t>
            </w:r>
            <w:r w:rsidR="008855CA">
              <w:t xml:space="preserve"> be taken to</w:t>
            </w:r>
            <w:r w:rsidRPr="008855CA">
              <w:t xml:space="preserve"> enable voters with visual impairments or mobility difficulties to vote.</w:t>
            </w:r>
          </w:p>
        </w:tc>
      </w:tr>
      <w:tr w:rsidR="00CC2CCC" w:rsidRPr="00BF1EFB" w14:paraId="41AD407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566A68" w:rsidRPr="00BF1EFB" w:rsidRDefault="00566A68" w:rsidP="0055306F">
            <w:pPr>
              <w:pStyle w:val="FRABodyText"/>
            </w:pPr>
            <w:r w:rsidRPr="00BF1EFB">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5A5E236" w14:textId="33895003" w:rsidR="003D33E3" w:rsidRPr="00BF1EFB" w:rsidRDefault="00566A68" w:rsidP="0055306F">
            <w:pPr>
              <w:pStyle w:val="FRABodyText"/>
            </w:pPr>
            <w:r w:rsidRPr="00BF1EFB">
              <w:t xml:space="preserve">Yes, for some polling stations </w:t>
            </w:r>
          </w:p>
          <w:p w14:paraId="09AE27BA" w14:textId="36AA15A5" w:rsidR="00566A68" w:rsidRPr="00BF1EFB" w:rsidRDefault="00566A68" w:rsidP="0055306F">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54CC0DA" w14:textId="63AE8775" w:rsidR="004C3954" w:rsidRPr="00BF1EFB" w:rsidRDefault="004C3954" w:rsidP="0055306F">
            <w:pPr>
              <w:pStyle w:val="FRABodyText"/>
            </w:pPr>
            <w:r w:rsidRPr="00BF1EFB">
              <w:t xml:space="preserve">The law </w:t>
            </w:r>
            <w:r w:rsidR="008855CA">
              <w:t>provides</w:t>
            </w:r>
            <w:r w:rsidRPr="00BF1EFB">
              <w:t xml:space="preserve"> that </w:t>
            </w:r>
            <w:r w:rsidR="008855CA">
              <w:t>r</w:t>
            </w:r>
            <w:r w:rsidRPr="00BF1EFB">
              <w:t xml:space="preserve">egional </w:t>
            </w:r>
            <w:r w:rsidR="008855CA">
              <w:t>and m</w:t>
            </w:r>
            <w:r w:rsidRPr="00BF1EFB">
              <w:t xml:space="preserve">unicipal </w:t>
            </w:r>
            <w:r w:rsidR="008855CA">
              <w:t>e</w:t>
            </w:r>
            <w:r w:rsidRPr="00BF1EFB">
              <w:t xml:space="preserve">lectoral </w:t>
            </w:r>
            <w:r w:rsidR="008855CA">
              <w:t>c</w:t>
            </w:r>
            <w:r w:rsidRPr="00BF1EFB">
              <w:t>ommissions are obliged to ensure the provision of facilities for persons</w:t>
            </w:r>
            <w:r w:rsidR="008855CA">
              <w:t xml:space="preserve"> with disabilities</w:t>
            </w:r>
            <w:r w:rsidRPr="00BF1EFB">
              <w:t xml:space="preserve"> to vote.</w:t>
            </w:r>
            <w:r w:rsidRPr="00BF1EFB">
              <w:rPr>
                <w:rStyle w:val="FootnoteReference"/>
                <w:rFonts w:ascii="Verdana" w:hAnsi="Verdana"/>
                <w:sz w:val="20"/>
              </w:rPr>
              <w:footnoteReference w:id="56"/>
            </w:r>
          </w:p>
          <w:p w14:paraId="0FB157EF" w14:textId="77777777" w:rsidR="004C3954" w:rsidRPr="00BF1EFB" w:rsidRDefault="004C3954" w:rsidP="0055306F">
            <w:pPr>
              <w:pStyle w:val="FRABodyText"/>
            </w:pPr>
          </w:p>
          <w:p w14:paraId="7936AD8F" w14:textId="5960ED29" w:rsidR="00566A68" w:rsidRPr="00BF1EFB" w:rsidRDefault="008855CA" w:rsidP="0055306F">
            <w:pPr>
              <w:pStyle w:val="FRABodyText"/>
            </w:pPr>
            <w:r w:rsidRPr="008855CA">
              <w:t>The Central Electoral Commission</w:t>
            </w:r>
            <w:r>
              <w:t xml:space="preserve"> (CEC)</w:t>
            </w:r>
            <w:r w:rsidRPr="008855CA">
              <w:t xml:space="preserve"> (</w:t>
            </w:r>
            <w:r w:rsidRPr="008855CA">
              <w:rPr>
                <w:i/>
                <w:lang w:val="bg-BG"/>
              </w:rPr>
              <w:t>Централна избирателна комисия</w:t>
            </w:r>
            <w:r w:rsidRPr="008855CA">
              <w:rPr>
                <w:iCs/>
                <w:lang w:val="bg-BG"/>
              </w:rPr>
              <w:t>, ЦИК</w:t>
            </w:r>
            <w:r w:rsidRPr="008855CA">
              <w:t>) defin</w:t>
            </w:r>
            <w:r>
              <w:t>es</w:t>
            </w:r>
            <w:r w:rsidRPr="008855CA">
              <w:t xml:space="preserve"> the concrete procedures for voting of </w:t>
            </w:r>
            <w:r>
              <w:t>persons</w:t>
            </w:r>
            <w:r w:rsidRPr="008855CA">
              <w:t xml:space="preserve"> with disabilities and</w:t>
            </w:r>
            <w:r>
              <w:t xml:space="preserve"> other persons</w:t>
            </w:r>
            <w:r w:rsidRPr="008855CA">
              <w:t xml:space="preserve"> in need of support for each particular round of elections</w:t>
            </w:r>
            <w:r>
              <w:t>,</w:t>
            </w:r>
            <w:r w:rsidRPr="008855CA">
              <w:t xml:space="preserve"> and </w:t>
            </w:r>
            <w:r>
              <w:t xml:space="preserve">determines the </w:t>
            </w:r>
            <w:r w:rsidRPr="008855CA">
              <w:t>measures to</w:t>
            </w:r>
            <w:r>
              <w:t xml:space="preserve"> </w:t>
            </w:r>
            <w:r>
              <w:lastRenderedPageBreak/>
              <w:t>be taken to</w:t>
            </w:r>
            <w:r w:rsidRPr="008855CA">
              <w:t xml:space="preserve"> enable voters with visual impairments or mobility difficulties to vote.</w:t>
            </w:r>
            <w:r>
              <w:t xml:space="preserve"> </w:t>
            </w:r>
            <w:r w:rsidR="004C3954" w:rsidRPr="00BF1EFB">
              <w:t>For example, for the</w:t>
            </w:r>
            <w:r>
              <w:t xml:space="preserve"> last</w:t>
            </w:r>
            <w:r w:rsidR="004C3954" w:rsidRPr="00BF1EFB">
              <w:t xml:space="preserve"> local elections</w:t>
            </w:r>
            <w:r>
              <w:t>,</w:t>
            </w:r>
            <w:r w:rsidR="004C3954" w:rsidRPr="00BF1EFB">
              <w:t xml:space="preserve"> held in October 2023, such </w:t>
            </w:r>
            <w:r>
              <w:t xml:space="preserve">measures </w:t>
            </w:r>
            <w:r w:rsidR="004C3954" w:rsidRPr="00BF1EFB">
              <w:t>include</w:t>
            </w:r>
            <w:r>
              <w:t>d</w:t>
            </w:r>
            <w:r w:rsidR="004C3954" w:rsidRPr="00BF1EFB">
              <w:t xml:space="preserve">: </w:t>
            </w:r>
            <w:r>
              <w:t>(</w:t>
            </w:r>
            <w:r w:rsidR="004C3954" w:rsidRPr="00BF1EFB">
              <w:t>1) construction of sidewalks and stair ramps with a slope of no more than 5</w:t>
            </w:r>
            <w:r>
              <w:t xml:space="preserve"> </w:t>
            </w:r>
            <w:r w:rsidR="004C3954" w:rsidRPr="00BF1EFB">
              <w:t xml:space="preserve">%, with double-sided barriers to prevent falls (a scheme is also </w:t>
            </w:r>
            <w:r>
              <w:t xml:space="preserve">enclosed as </w:t>
            </w:r>
            <w:r w:rsidR="004C3954" w:rsidRPr="00BF1EFB">
              <w:t xml:space="preserve">an annex); </w:t>
            </w:r>
            <w:r>
              <w:t>(</w:t>
            </w:r>
            <w:r w:rsidR="004C3954" w:rsidRPr="00BF1EFB">
              <w:t>2) installation of voting privacy screens with dimensions of not less than 210/170 cm and a table plot no higher than 85 cm for paper ballot; and</w:t>
            </w:r>
            <w:r w:rsidR="00E25772">
              <w:t xml:space="preserve"> (3)</w:t>
            </w:r>
            <w:r w:rsidR="004C3954" w:rsidRPr="00BF1EFB">
              <w:t xml:space="preserve"> voting booths with dimensions of not less than 210/170 cm and a top no higher than 85 cm for machine voting.</w:t>
            </w:r>
            <w:r w:rsidR="004C3954" w:rsidRPr="00BF1EFB">
              <w:rPr>
                <w:rStyle w:val="FootnoteReference"/>
                <w:rFonts w:ascii="Verdana" w:hAnsi="Verdana"/>
                <w:sz w:val="20"/>
              </w:rPr>
              <w:footnoteReference w:id="57"/>
            </w:r>
            <w:r w:rsidR="00E25772">
              <w:t xml:space="preserve"> There are no specific </w:t>
            </w:r>
            <w:r w:rsidR="004C3954" w:rsidRPr="00BF1EFB">
              <w:t>standards for mobile polling boxes.</w:t>
            </w:r>
          </w:p>
        </w:tc>
      </w:tr>
      <w:tr w:rsidR="00CC2CCC" w:rsidRPr="00BF1EFB" w14:paraId="77507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566A68" w:rsidRPr="00BF1EFB" w:rsidRDefault="00566A68" w:rsidP="0055306F">
            <w:pPr>
              <w:pStyle w:val="FRABodyText"/>
            </w:pPr>
            <w:r w:rsidRPr="00BF1EFB">
              <w:lastRenderedPageBreak/>
              <w:t>Is data available on the proportion of polling stations that are accessible to persons with disabilities?</w:t>
            </w:r>
          </w:p>
          <w:p w14:paraId="4370427D" w14:textId="77777777" w:rsidR="00566A68" w:rsidRPr="00BF1EFB" w:rsidRDefault="00566A68" w:rsidP="0055306F">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A1ABE70" w14:textId="77777777" w:rsidR="00566A68" w:rsidRPr="00BF1EFB" w:rsidRDefault="00566A68" w:rsidP="0055306F">
            <w:pPr>
              <w:pStyle w:val="FRABodyText"/>
            </w:pPr>
            <w:r w:rsidRPr="00BF1EFB">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089532" w14:textId="70D51C3A" w:rsidR="00566A68" w:rsidRPr="00BF1EFB" w:rsidRDefault="00B91EE6" w:rsidP="0055306F">
            <w:pPr>
              <w:pStyle w:val="FRABodyText"/>
            </w:pPr>
            <w:r>
              <w:t>D</w:t>
            </w:r>
            <w:r w:rsidRPr="00BF1EFB">
              <w:t>ata on the proportion of polling stations that are accessible to persons with disabilities</w:t>
            </w:r>
            <w:r>
              <w:t xml:space="preserve"> is not available.</w:t>
            </w:r>
            <w:r w:rsidR="00E25772" w:rsidRPr="00BF1EFB">
              <w:rPr>
                <w:rStyle w:val="FootnoteReference"/>
                <w:rFonts w:ascii="Verdana" w:hAnsi="Verdana"/>
                <w:sz w:val="20"/>
              </w:rPr>
              <w:footnoteReference w:id="58"/>
            </w:r>
            <w:r w:rsidR="003D33E3" w:rsidRPr="00BF1EFB">
              <w:t xml:space="preserve"> Each municipality publishes</w:t>
            </w:r>
            <w:r>
              <w:t xml:space="preserve"> on its website</w:t>
            </w:r>
            <w:r w:rsidR="003D33E3" w:rsidRPr="00BF1EFB">
              <w:t xml:space="preserve"> information </w:t>
            </w:r>
            <w:r>
              <w:t>about the polling sections on its territory</w:t>
            </w:r>
            <w:r w:rsidR="003D33E3" w:rsidRPr="00BF1EFB">
              <w:t>.</w:t>
            </w:r>
            <w:r w:rsidR="003D33E3" w:rsidRPr="00BF1EFB">
              <w:rPr>
                <w:rStyle w:val="FootnoteReference"/>
                <w:rFonts w:ascii="Verdana" w:hAnsi="Verdana"/>
                <w:sz w:val="20"/>
              </w:rPr>
              <w:footnoteReference w:id="59"/>
            </w:r>
            <w:r w:rsidR="003D33E3" w:rsidRPr="00BF1EFB">
              <w:t xml:space="preserve"> Still, the media </w:t>
            </w:r>
            <w:r>
              <w:t xml:space="preserve">regularly </w:t>
            </w:r>
            <w:r w:rsidR="003D33E3" w:rsidRPr="00BF1EFB">
              <w:t xml:space="preserve">report cases of </w:t>
            </w:r>
            <w:r>
              <w:t xml:space="preserve">persons with </w:t>
            </w:r>
            <w:r>
              <w:lastRenderedPageBreak/>
              <w:t xml:space="preserve">disabilities </w:t>
            </w:r>
            <w:r w:rsidR="003D33E3" w:rsidRPr="00BF1EFB">
              <w:t xml:space="preserve">who </w:t>
            </w:r>
            <w:r>
              <w:t xml:space="preserve">have </w:t>
            </w:r>
            <w:r w:rsidR="003D33E3" w:rsidRPr="00BF1EFB">
              <w:t xml:space="preserve">experienced difficulties accessing </w:t>
            </w:r>
            <w:r>
              <w:t xml:space="preserve">the </w:t>
            </w:r>
            <w:r w:rsidR="003D33E3" w:rsidRPr="00BF1EFB">
              <w:t>polling stations.</w:t>
            </w:r>
            <w:r w:rsidR="003D33E3" w:rsidRPr="00BF1EFB">
              <w:rPr>
                <w:rStyle w:val="FootnoteReference"/>
                <w:rFonts w:ascii="Verdana" w:hAnsi="Verdana"/>
                <w:sz w:val="20"/>
              </w:rPr>
              <w:footnoteReference w:id="60"/>
            </w:r>
          </w:p>
        </w:tc>
      </w:tr>
      <w:tr w:rsidR="00CC2CCC" w:rsidRPr="00BF1EFB" w14:paraId="6724958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566A68" w:rsidRPr="00BF1EFB" w:rsidRDefault="00566A68" w:rsidP="0055306F">
            <w:pPr>
              <w:pStyle w:val="FRABodyText"/>
            </w:pPr>
            <w:r w:rsidRPr="00BF1EFB">
              <w:lastRenderedPageBreak/>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77777777" w:rsidR="00566A68" w:rsidRPr="00BF1EFB" w:rsidRDefault="00566A68" w:rsidP="0055306F">
            <w:pPr>
              <w:pStyle w:val="FRABodyText"/>
              <w:rPr>
                <w:bCs/>
              </w:rPr>
            </w:pPr>
            <w:r w:rsidRPr="00BF1EFB">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1C1A2B" w14:textId="347F3B01" w:rsidR="00566A68" w:rsidRPr="00BF1EFB" w:rsidRDefault="004C3954" w:rsidP="0055306F">
            <w:pPr>
              <w:pStyle w:val="FRABodyText"/>
            </w:pPr>
            <w:r w:rsidRPr="00BF1EFB">
              <w:t xml:space="preserve">There is no aggregated information on the accessibility of </w:t>
            </w:r>
            <w:r w:rsidR="003D33E3" w:rsidRPr="00BF1EFB">
              <w:t>public buildings</w:t>
            </w:r>
            <w:r w:rsidRPr="00BF1EFB">
              <w:t>.</w:t>
            </w:r>
            <w:r w:rsidR="00B91EE6" w:rsidRPr="00BF1EFB">
              <w:rPr>
                <w:rStyle w:val="FootnoteReference"/>
                <w:rFonts w:ascii="Verdana" w:hAnsi="Verdana"/>
                <w:sz w:val="20"/>
              </w:rPr>
              <w:footnoteReference w:id="61"/>
            </w:r>
            <w:r w:rsidRPr="00BF1EFB">
              <w:t xml:space="preserve"> </w:t>
            </w:r>
          </w:p>
        </w:tc>
      </w:tr>
    </w:tbl>
    <w:p w14:paraId="17C860E5" w14:textId="6F2E5FD0" w:rsidR="00F64505" w:rsidRPr="00306D1D" w:rsidRDefault="00F64505" w:rsidP="00F64505">
      <w:pPr>
        <w:tabs>
          <w:tab w:val="left" w:pos="4584"/>
        </w:tabs>
        <w:rPr>
          <w:rFonts w:asciiTheme="minorHAnsi" w:hAnsiTheme="minorHAnsi" w:cstheme="minorHAnsi"/>
          <w:szCs w:val="24"/>
        </w:rPr>
        <w:sectPr w:rsidR="00F64505" w:rsidRPr="00306D1D" w:rsidSect="005D6899">
          <w:pgSz w:w="16838" w:h="11906" w:orient="landscape" w:code="9"/>
          <w:pgMar w:top="1701" w:right="1701" w:bottom="1701" w:left="1134" w:header="851" w:footer="567" w:gutter="0"/>
          <w:cols w:space="708"/>
          <w:docGrid w:linePitch="360"/>
        </w:sectPr>
      </w:pPr>
    </w:p>
    <w:p w14:paraId="2C3CD295" w14:textId="70413A82" w:rsidR="00713152" w:rsidRPr="00BF1EFB" w:rsidRDefault="00713152" w:rsidP="00713152">
      <w:pPr>
        <w:pStyle w:val="HeadingNumbered1"/>
        <w:rPr>
          <w:rFonts w:asciiTheme="minorHAnsi" w:hAnsiTheme="minorHAnsi" w:cstheme="minorHAnsi"/>
          <w:szCs w:val="24"/>
        </w:rPr>
      </w:pPr>
      <w:bookmarkStart w:id="1" w:name="_Toc152168105"/>
      <w:r w:rsidRPr="00BF1EFB">
        <w:rPr>
          <w:rFonts w:asciiTheme="minorHAnsi" w:hAnsiTheme="minorHAnsi" w:cstheme="minorHAnsi"/>
          <w:szCs w:val="24"/>
        </w:rPr>
        <w:lastRenderedPageBreak/>
        <w:t xml:space="preserve">Political participation of persons with disabilities </w:t>
      </w:r>
      <w:r w:rsidR="00A652A4" w:rsidRPr="00BF1EFB">
        <w:rPr>
          <w:rFonts w:asciiTheme="minorHAnsi" w:hAnsiTheme="minorHAnsi" w:cstheme="minorHAnsi"/>
          <w:szCs w:val="24"/>
        </w:rPr>
        <w:t>in practice</w:t>
      </w:r>
      <w:bookmarkEnd w:id="1"/>
    </w:p>
    <w:p w14:paraId="629878B7" w14:textId="248A0E7B" w:rsidR="007361B4" w:rsidRPr="00BF1EFB" w:rsidRDefault="007361B4" w:rsidP="0074155B">
      <w:pPr>
        <w:pStyle w:val="HeadingNumbered2"/>
        <w:rPr>
          <w:rFonts w:asciiTheme="minorHAnsi" w:hAnsiTheme="minorHAnsi" w:cstheme="minorHAnsi"/>
          <w:szCs w:val="24"/>
        </w:rPr>
      </w:pPr>
      <w:bookmarkStart w:id="2" w:name="_Toc152168106"/>
      <w:r w:rsidRPr="00BF1EFB">
        <w:rPr>
          <w:rFonts w:asciiTheme="minorHAnsi" w:hAnsiTheme="minorHAnsi" w:cstheme="minorHAnsi"/>
          <w:szCs w:val="24"/>
        </w:rPr>
        <w:t>Positive and negative key development as regards political participation of persons with disabilities</w:t>
      </w:r>
      <w:bookmarkEnd w:id="2"/>
    </w:p>
    <w:p w14:paraId="68C72D56" w14:textId="37CFC87A" w:rsidR="00054E14" w:rsidRDefault="00054E14" w:rsidP="00A94AE6">
      <w:pPr>
        <w:jc w:val="both"/>
        <w:rPr>
          <w:rFonts w:asciiTheme="minorHAnsi" w:hAnsiTheme="minorHAnsi" w:cstheme="minorHAnsi"/>
          <w:szCs w:val="24"/>
          <w:lang w:val="en-US"/>
        </w:rPr>
      </w:pPr>
      <w:r w:rsidRPr="00306D1D">
        <w:rPr>
          <w:rFonts w:asciiTheme="minorHAnsi" w:hAnsiTheme="minorHAnsi" w:cstheme="minorHAnsi"/>
          <w:szCs w:val="24"/>
          <w:lang w:val="en-US"/>
        </w:rPr>
        <w:t>In Bulgaria</w:t>
      </w:r>
      <w:r w:rsidR="00A94AE6">
        <w:rPr>
          <w:rFonts w:asciiTheme="minorHAnsi" w:hAnsiTheme="minorHAnsi" w:cstheme="minorHAnsi"/>
          <w:szCs w:val="24"/>
          <w:lang w:val="en-US"/>
        </w:rPr>
        <w:t>,</w:t>
      </w:r>
      <w:r w:rsidRPr="00306D1D">
        <w:rPr>
          <w:rFonts w:asciiTheme="minorHAnsi" w:hAnsiTheme="minorHAnsi" w:cstheme="minorHAnsi"/>
          <w:szCs w:val="24"/>
          <w:lang w:val="en-US"/>
        </w:rPr>
        <w:t xml:space="preserve"> during the reporting period, the political participation of persons with disabilit</w:t>
      </w:r>
      <w:r w:rsidR="00A94AE6">
        <w:rPr>
          <w:rFonts w:asciiTheme="minorHAnsi" w:hAnsiTheme="minorHAnsi" w:cstheme="minorHAnsi"/>
          <w:szCs w:val="24"/>
          <w:lang w:val="en-US"/>
        </w:rPr>
        <w:t>ies</w:t>
      </w:r>
      <w:r w:rsidRPr="00306D1D">
        <w:rPr>
          <w:rFonts w:asciiTheme="minorHAnsi" w:hAnsiTheme="minorHAnsi" w:cstheme="minorHAnsi"/>
          <w:szCs w:val="24"/>
          <w:lang w:val="en-US"/>
        </w:rPr>
        <w:t xml:space="preserve"> has not been a topic </w:t>
      </w:r>
      <w:r w:rsidR="00A94AE6">
        <w:rPr>
          <w:rFonts w:asciiTheme="minorHAnsi" w:hAnsiTheme="minorHAnsi" w:cstheme="minorHAnsi"/>
          <w:szCs w:val="24"/>
          <w:lang w:val="en-US"/>
        </w:rPr>
        <w:t>of great</w:t>
      </w:r>
      <w:r w:rsidRPr="00306D1D">
        <w:rPr>
          <w:rFonts w:asciiTheme="minorHAnsi" w:hAnsiTheme="minorHAnsi" w:cstheme="minorHAnsi"/>
          <w:szCs w:val="24"/>
          <w:lang w:val="en-US"/>
        </w:rPr>
        <w:t xml:space="preserve"> public attention and </w:t>
      </w:r>
      <w:r w:rsidR="00A94AE6">
        <w:rPr>
          <w:rFonts w:asciiTheme="minorHAnsi" w:hAnsiTheme="minorHAnsi" w:cstheme="minorHAnsi"/>
          <w:szCs w:val="24"/>
          <w:lang w:val="en-US"/>
        </w:rPr>
        <w:t>there were only a few</w:t>
      </w:r>
      <w:r w:rsidRPr="00306D1D">
        <w:rPr>
          <w:rFonts w:asciiTheme="minorHAnsi" w:hAnsiTheme="minorHAnsi" w:cstheme="minorHAnsi"/>
          <w:szCs w:val="24"/>
          <w:lang w:val="en-US"/>
        </w:rPr>
        <w:t xml:space="preserve"> key developments.</w:t>
      </w:r>
      <w:r w:rsidR="00147827" w:rsidRPr="00306D1D">
        <w:rPr>
          <w:rFonts w:asciiTheme="minorHAnsi" w:hAnsiTheme="minorHAnsi" w:cstheme="minorHAnsi"/>
          <w:szCs w:val="24"/>
          <w:lang w:val="en-US"/>
        </w:rPr>
        <w:t xml:space="preserve"> They are related </w:t>
      </w:r>
      <w:r w:rsidR="00A94AE6">
        <w:rPr>
          <w:rFonts w:asciiTheme="minorHAnsi" w:hAnsiTheme="minorHAnsi" w:cstheme="minorHAnsi"/>
          <w:szCs w:val="24"/>
          <w:lang w:val="en-US"/>
        </w:rPr>
        <w:t>the</w:t>
      </w:r>
      <w:r w:rsidR="00147827" w:rsidRPr="00306D1D">
        <w:rPr>
          <w:rFonts w:asciiTheme="minorHAnsi" w:hAnsiTheme="minorHAnsi" w:cstheme="minorHAnsi"/>
          <w:szCs w:val="24"/>
          <w:lang w:val="en-US"/>
        </w:rPr>
        <w:t xml:space="preserve"> adopti</w:t>
      </w:r>
      <w:r w:rsidR="00A94AE6">
        <w:rPr>
          <w:rFonts w:asciiTheme="minorHAnsi" w:hAnsiTheme="minorHAnsi" w:cstheme="minorHAnsi"/>
          <w:szCs w:val="24"/>
          <w:lang w:val="en-US"/>
        </w:rPr>
        <w:t>o</w:t>
      </w:r>
      <w:r w:rsidR="00147827" w:rsidRPr="00306D1D">
        <w:rPr>
          <w:rFonts w:asciiTheme="minorHAnsi" w:hAnsiTheme="minorHAnsi" w:cstheme="minorHAnsi"/>
          <w:szCs w:val="24"/>
          <w:lang w:val="en-US"/>
        </w:rPr>
        <w:t>n</w:t>
      </w:r>
      <w:r w:rsidR="00A94AE6">
        <w:rPr>
          <w:rFonts w:asciiTheme="minorHAnsi" w:hAnsiTheme="minorHAnsi" w:cstheme="minorHAnsi"/>
          <w:szCs w:val="24"/>
          <w:lang w:val="en-US"/>
        </w:rPr>
        <w:t xml:space="preserve"> of</w:t>
      </w:r>
      <w:r w:rsidR="00147827" w:rsidRPr="00306D1D">
        <w:rPr>
          <w:rFonts w:asciiTheme="minorHAnsi" w:hAnsiTheme="minorHAnsi" w:cstheme="minorHAnsi"/>
          <w:szCs w:val="24"/>
          <w:lang w:val="en-US"/>
        </w:rPr>
        <w:t xml:space="preserve"> standards for </w:t>
      </w:r>
      <w:r w:rsidR="00A94AE6">
        <w:rPr>
          <w:rFonts w:asciiTheme="minorHAnsi" w:hAnsiTheme="minorHAnsi" w:cstheme="minorHAnsi"/>
          <w:szCs w:val="24"/>
          <w:lang w:val="en-US"/>
        </w:rPr>
        <w:t xml:space="preserve">the </w:t>
      </w:r>
      <w:r w:rsidR="00A94AE6" w:rsidRPr="00306D1D">
        <w:rPr>
          <w:rFonts w:asciiTheme="minorHAnsi" w:hAnsiTheme="minorHAnsi" w:cstheme="minorHAnsi"/>
          <w:szCs w:val="24"/>
          <w:lang w:val="en-US"/>
        </w:rPr>
        <w:t xml:space="preserve">accessibility </w:t>
      </w:r>
      <w:r w:rsidR="00A94AE6">
        <w:rPr>
          <w:rFonts w:asciiTheme="minorHAnsi" w:hAnsiTheme="minorHAnsi" w:cstheme="minorHAnsi"/>
          <w:szCs w:val="24"/>
          <w:lang w:val="en-US"/>
        </w:rPr>
        <w:t xml:space="preserve">of the </w:t>
      </w:r>
      <w:r w:rsidR="00A94AE6" w:rsidRPr="00DD43A2">
        <w:rPr>
          <w:rFonts w:asciiTheme="minorHAnsi" w:hAnsiTheme="minorHAnsi" w:cstheme="minorHAnsi"/>
          <w:szCs w:val="24"/>
          <w:lang w:val="en-US"/>
        </w:rPr>
        <w:t xml:space="preserve">online content published by </w:t>
      </w:r>
      <w:r w:rsidR="00147827" w:rsidRPr="00DD43A2">
        <w:rPr>
          <w:rFonts w:asciiTheme="minorHAnsi" w:hAnsiTheme="minorHAnsi" w:cstheme="minorHAnsi"/>
          <w:szCs w:val="24"/>
          <w:lang w:val="en-US"/>
        </w:rPr>
        <w:t xml:space="preserve">public </w:t>
      </w:r>
      <w:r w:rsidR="00DD43A2" w:rsidRPr="00DD43A2">
        <w:rPr>
          <w:rFonts w:asciiTheme="minorHAnsi" w:hAnsiTheme="minorHAnsi" w:cstheme="minorHAnsi"/>
          <w:szCs w:val="24"/>
          <w:lang w:val="en-US"/>
        </w:rPr>
        <w:t>bodies</w:t>
      </w:r>
      <w:r w:rsidR="00147827" w:rsidRPr="00DD43A2">
        <w:rPr>
          <w:rFonts w:asciiTheme="minorHAnsi" w:hAnsiTheme="minorHAnsi" w:cstheme="minorHAnsi"/>
          <w:szCs w:val="24"/>
          <w:lang w:val="en-US"/>
        </w:rPr>
        <w:t xml:space="preserve"> and measures </w:t>
      </w:r>
      <w:r w:rsidR="00A94AE6" w:rsidRPr="00DD43A2">
        <w:rPr>
          <w:rFonts w:asciiTheme="minorHAnsi" w:hAnsiTheme="minorHAnsi" w:cstheme="minorHAnsi"/>
          <w:szCs w:val="24"/>
          <w:lang w:val="en-US"/>
        </w:rPr>
        <w:t>to ensure</w:t>
      </w:r>
      <w:r w:rsidR="00147827" w:rsidRPr="00DD43A2">
        <w:rPr>
          <w:rFonts w:asciiTheme="minorHAnsi" w:hAnsiTheme="minorHAnsi" w:cstheme="minorHAnsi"/>
          <w:szCs w:val="24"/>
          <w:lang w:val="en-US"/>
        </w:rPr>
        <w:t xml:space="preserve"> accessible media</w:t>
      </w:r>
      <w:r w:rsidR="00147827" w:rsidRPr="00306D1D">
        <w:rPr>
          <w:rFonts w:asciiTheme="minorHAnsi" w:hAnsiTheme="minorHAnsi" w:cstheme="minorHAnsi"/>
          <w:szCs w:val="24"/>
          <w:lang w:val="en-US"/>
        </w:rPr>
        <w:t xml:space="preserve"> content. </w:t>
      </w:r>
    </w:p>
    <w:p w14:paraId="0646D75E" w14:textId="77777777" w:rsidR="000B38DC" w:rsidRDefault="005A384C" w:rsidP="000B38DC">
      <w:pPr>
        <w:jc w:val="both"/>
        <w:rPr>
          <w:rFonts w:asciiTheme="minorHAnsi" w:hAnsiTheme="minorHAnsi" w:cstheme="minorHAnsi"/>
          <w:szCs w:val="24"/>
        </w:rPr>
      </w:pPr>
      <w:r w:rsidRPr="00306D1D">
        <w:rPr>
          <w:rFonts w:asciiTheme="minorHAnsi" w:hAnsiTheme="minorHAnsi" w:cstheme="minorHAnsi"/>
          <w:szCs w:val="24"/>
        </w:rPr>
        <w:t>The E-Governance Act (</w:t>
      </w:r>
      <w:r w:rsidRPr="00306D1D">
        <w:rPr>
          <w:rFonts w:asciiTheme="minorHAnsi" w:hAnsiTheme="minorHAnsi" w:cstheme="minorHAnsi"/>
          <w:i/>
          <w:szCs w:val="24"/>
          <w:lang w:val="bg-BG"/>
        </w:rPr>
        <w:t>Закон за електронното управление</w:t>
      </w:r>
      <w:r w:rsidRPr="00306D1D">
        <w:rPr>
          <w:rFonts w:asciiTheme="minorHAnsi" w:hAnsiTheme="minorHAnsi" w:cstheme="minorHAnsi"/>
          <w:szCs w:val="24"/>
          <w:lang w:val="bg-BG"/>
        </w:rPr>
        <w:t>)</w:t>
      </w:r>
      <w:r w:rsidRPr="00306D1D">
        <w:rPr>
          <w:rStyle w:val="FootnoteReference"/>
          <w:rFonts w:asciiTheme="minorHAnsi" w:hAnsiTheme="minorHAnsi" w:cstheme="minorHAnsi"/>
          <w:szCs w:val="24"/>
          <w:lang w:val="bg-BG"/>
        </w:rPr>
        <w:footnoteReference w:id="62"/>
      </w:r>
      <w:r w:rsidRPr="00306D1D">
        <w:rPr>
          <w:rFonts w:asciiTheme="minorHAnsi" w:hAnsiTheme="minorHAnsi" w:cstheme="minorHAnsi"/>
          <w:szCs w:val="24"/>
        </w:rPr>
        <w:t xml:space="preserve"> and the</w:t>
      </w:r>
      <w:r w:rsidR="00A94AE6">
        <w:rPr>
          <w:rFonts w:asciiTheme="minorHAnsi" w:hAnsiTheme="minorHAnsi" w:cstheme="minorHAnsi"/>
          <w:szCs w:val="24"/>
        </w:rPr>
        <w:t xml:space="preserve"> relevant secondary legislation</w:t>
      </w:r>
      <w:r w:rsidRPr="00306D1D">
        <w:rPr>
          <w:rStyle w:val="FootnoteReference"/>
          <w:rFonts w:asciiTheme="minorHAnsi" w:hAnsiTheme="minorHAnsi" w:cstheme="minorHAnsi"/>
          <w:szCs w:val="24"/>
          <w:lang w:val="bg-BG"/>
        </w:rPr>
        <w:footnoteReference w:id="63"/>
      </w:r>
      <w:r>
        <w:rPr>
          <w:rFonts w:asciiTheme="minorHAnsi" w:hAnsiTheme="minorHAnsi" w:cstheme="minorHAnsi"/>
          <w:szCs w:val="24"/>
          <w:lang w:val="en-US"/>
        </w:rPr>
        <w:t xml:space="preserve"> </w:t>
      </w:r>
      <w:r w:rsidRPr="00306D1D">
        <w:rPr>
          <w:rFonts w:asciiTheme="minorHAnsi" w:hAnsiTheme="minorHAnsi" w:cstheme="minorHAnsi"/>
          <w:szCs w:val="24"/>
        </w:rPr>
        <w:t xml:space="preserve">regulate </w:t>
      </w:r>
      <w:r>
        <w:rPr>
          <w:rFonts w:asciiTheme="minorHAnsi" w:hAnsiTheme="minorHAnsi" w:cstheme="minorHAnsi"/>
          <w:szCs w:val="24"/>
          <w:lang w:val="en-US"/>
        </w:rPr>
        <w:t>the</w:t>
      </w:r>
      <w:r w:rsidR="00A94AE6">
        <w:rPr>
          <w:rFonts w:asciiTheme="minorHAnsi" w:hAnsiTheme="minorHAnsi" w:cstheme="minorHAnsi"/>
          <w:szCs w:val="24"/>
          <w:lang w:val="en-US"/>
        </w:rPr>
        <w:t xml:space="preserve"> operation of</w:t>
      </w:r>
      <w:r>
        <w:rPr>
          <w:rFonts w:asciiTheme="minorHAnsi" w:hAnsiTheme="minorHAnsi" w:cstheme="minorHAnsi"/>
          <w:szCs w:val="24"/>
          <w:lang w:val="en-US"/>
        </w:rPr>
        <w:t xml:space="preserve"> </w:t>
      </w:r>
      <w:r w:rsidRPr="00306D1D">
        <w:rPr>
          <w:rFonts w:asciiTheme="minorHAnsi" w:hAnsiTheme="minorHAnsi" w:cstheme="minorHAnsi"/>
          <w:szCs w:val="24"/>
        </w:rPr>
        <w:t>public providers of web-based public information</w:t>
      </w:r>
      <w:r>
        <w:rPr>
          <w:rFonts w:asciiTheme="minorHAnsi" w:hAnsiTheme="minorHAnsi" w:cstheme="minorHAnsi"/>
          <w:szCs w:val="24"/>
        </w:rPr>
        <w:t xml:space="preserve">, including </w:t>
      </w:r>
      <w:r w:rsidR="00A94AE6">
        <w:rPr>
          <w:rFonts w:asciiTheme="minorHAnsi" w:hAnsiTheme="minorHAnsi" w:cstheme="minorHAnsi"/>
          <w:szCs w:val="24"/>
        </w:rPr>
        <w:t>the</w:t>
      </w:r>
      <w:r>
        <w:rPr>
          <w:rFonts w:asciiTheme="minorHAnsi" w:hAnsiTheme="minorHAnsi" w:cstheme="minorHAnsi"/>
          <w:szCs w:val="24"/>
        </w:rPr>
        <w:t xml:space="preserve"> public institutions responsible for administering the electoral process</w:t>
      </w:r>
      <w:r w:rsidRPr="00306D1D">
        <w:rPr>
          <w:rFonts w:asciiTheme="minorHAnsi" w:hAnsiTheme="minorHAnsi" w:cstheme="minorHAnsi"/>
          <w:szCs w:val="24"/>
        </w:rPr>
        <w:t xml:space="preserve">. </w:t>
      </w:r>
      <w:r w:rsidR="000B38DC">
        <w:rPr>
          <w:rFonts w:asciiTheme="minorHAnsi" w:hAnsiTheme="minorHAnsi" w:cstheme="minorHAnsi"/>
          <w:szCs w:val="24"/>
        </w:rPr>
        <w:t>According to the secondary legislation</w:t>
      </w:r>
      <w:r w:rsidR="000B38DC" w:rsidRPr="0087751E">
        <w:t>, the content of all websites and mobile applications of administrative authorities, public service providers, and persons performing public functions must comply with the harmonised standard EN 301 549 V2.1.2 (2018-08).</w:t>
      </w:r>
      <w:r w:rsidR="000B38DC" w:rsidRPr="0087751E">
        <w:rPr>
          <w:rStyle w:val="FootnoteReference"/>
          <w:rFonts w:ascii="Verdana" w:hAnsi="Verdana"/>
          <w:sz w:val="20"/>
        </w:rPr>
        <w:footnoteReference w:id="64"/>
      </w:r>
      <w:r w:rsidRPr="00306D1D">
        <w:rPr>
          <w:rFonts w:asciiTheme="minorHAnsi" w:hAnsiTheme="minorHAnsi" w:cstheme="minorHAnsi"/>
          <w:szCs w:val="24"/>
        </w:rPr>
        <w:t xml:space="preserve"> </w:t>
      </w:r>
      <w:r w:rsidR="000B38DC" w:rsidRPr="00992A7B">
        <w:t>There is a list of exceptions to this rule</w:t>
      </w:r>
      <w:r w:rsidR="000B38DC">
        <w:t>,</w:t>
      </w:r>
      <w:r w:rsidR="000B38DC" w:rsidRPr="00992A7B">
        <w:t xml:space="preserve"> which </w:t>
      </w:r>
      <w:r w:rsidR="000B38DC">
        <w:t>includes</w:t>
      </w:r>
      <w:r w:rsidR="000B38DC" w:rsidRPr="00992A7B">
        <w:t xml:space="preserve"> public broadcasters and media service providers </w:t>
      </w:r>
      <w:r w:rsidR="000B38DC">
        <w:t xml:space="preserve">operating under the </w:t>
      </w:r>
      <w:r w:rsidR="000B38DC" w:rsidRPr="00992A7B">
        <w:t>Radio and Television Act</w:t>
      </w:r>
      <w:r w:rsidR="000B38DC">
        <w:t xml:space="preserve"> (</w:t>
      </w:r>
      <w:r w:rsidR="000B38DC">
        <w:rPr>
          <w:i/>
          <w:iCs/>
          <w:lang w:val="bg-BG"/>
        </w:rPr>
        <w:t>Закон за радиото и телевизията</w:t>
      </w:r>
      <w:r w:rsidR="000B38DC">
        <w:t>)</w:t>
      </w:r>
      <w:r w:rsidR="000B38DC" w:rsidRPr="00992A7B">
        <w:t xml:space="preserve">, some </w:t>
      </w:r>
      <w:r w:rsidR="000B38DC">
        <w:t>civil society organisations</w:t>
      </w:r>
      <w:r w:rsidR="000B38DC" w:rsidRPr="00992A7B">
        <w:t xml:space="preserve">, schools and </w:t>
      </w:r>
      <w:r w:rsidR="000B38DC" w:rsidRPr="00992A7B">
        <w:lastRenderedPageBreak/>
        <w:t>kindergartens, etc.</w:t>
      </w:r>
      <w:r w:rsidR="000B38DC">
        <w:rPr>
          <w:lang w:val="bg-BG"/>
        </w:rPr>
        <w:t xml:space="preserve"> </w:t>
      </w:r>
      <w:r w:rsidR="000B38DC">
        <w:t xml:space="preserve">as well as all cases, in which the compliance with </w:t>
      </w:r>
      <w:r w:rsidR="000B38DC" w:rsidRPr="00BF1EFB">
        <w:t xml:space="preserve">these standards is </w:t>
      </w:r>
      <w:r w:rsidR="000B38DC">
        <w:t xml:space="preserve">considered </w:t>
      </w:r>
      <w:r w:rsidR="000B38DC" w:rsidRPr="00BF1EFB">
        <w:t xml:space="preserve">of “excessive burden” </w:t>
      </w:r>
      <w:r w:rsidR="000B38DC">
        <w:t>for</w:t>
      </w:r>
      <w:r w:rsidR="000B38DC" w:rsidRPr="00BF1EFB">
        <w:t xml:space="preserve"> </w:t>
      </w:r>
      <w:r w:rsidR="000B38DC">
        <w:t>the</w:t>
      </w:r>
      <w:r w:rsidR="000B38DC" w:rsidRPr="00BF1EFB">
        <w:t xml:space="preserve"> provider.</w:t>
      </w:r>
      <w:r w:rsidR="000B38DC" w:rsidRPr="00BF1EFB">
        <w:rPr>
          <w:rStyle w:val="FootnoteReference"/>
          <w:rFonts w:ascii="Verdana" w:hAnsi="Verdana"/>
          <w:sz w:val="20"/>
        </w:rPr>
        <w:footnoteReference w:id="65"/>
      </w:r>
      <w:r>
        <w:rPr>
          <w:rFonts w:asciiTheme="minorHAnsi" w:hAnsiTheme="minorHAnsi" w:cstheme="minorHAnsi"/>
          <w:szCs w:val="24"/>
        </w:rPr>
        <w:t xml:space="preserve"> </w:t>
      </w:r>
    </w:p>
    <w:p w14:paraId="656E2091" w14:textId="77777777" w:rsidR="007E7636" w:rsidRDefault="00306D1D" w:rsidP="000B38DC">
      <w:pPr>
        <w:jc w:val="both"/>
      </w:pPr>
      <w:r w:rsidRPr="005A384C">
        <w:t xml:space="preserve">The </w:t>
      </w:r>
      <w:r w:rsidR="000B38DC">
        <w:t>adoption</w:t>
      </w:r>
      <w:r w:rsidRPr="005A384C">
        <w:t xml:space="preserve"> of</w:t>
      </w:r>
      <w:r w:rsidR="000B38DC">
        <w:t xml:space="preserve"> the Persons with</w:t>
      </w:r>
      <w:r w:rsidRPr="005A384C">
        <w:t xml:space="preserve"> Disabilit</w:t>
      </w:r>
      <w:r w:rsidR="000B38DC">
        <w:t>ies</w:t>
      </w:r>
      <w:r w:rsidRPr="005A384C">
        <w:t xml:space="preserve"> Act </w:t>
      </w:r>
      <w:r w:rsidRPr="000B38DC">
        <w:rPr>
          <w:lang w:val="bg-BG"/>
        </w:rPr>
        <w:t>(</w:t>
      </w:r>
      <w:r w:rsidRPr="000B38DC">
        <w:rPr>
          <w:i/>
          <w:lang w:val="bg-BG"/>
        </w:rPr>
        <w:t>Закон за хората с увреждания</w:t>
      </w:r>
      <w:r w:rsidRPr="000B38DC">
        <w:rPr>
          <w:lang w:val="bg-BG"/>
        </w:rPr>
        <w:t>)</w:t>
      </w:r>
      <w:r w:rsidRPr="005A384C">
        <w:t xml:space="preserve"> </w:t>
      </w:r>
      <w:r w:rsidR="000B38DC">
        <w:t xml:space="preserve">in 2018 significantly </w:t>
      </w:r>
      <w:r w:rsidRPr="005A384C">
        <w:t xml:space="preserve">improved </w:t>
      </w:r>
      <w:r w:rsidR="000B38DC">
        <w:t>persons</w:t>
      </w:r>
      <w:r w:rsidRPr="005A384C">
        <w:t xml:space="preserve"> with disabilities’ access to information. </w:t>
      </w:r>
      <w:r w:rsidR="000B38DC">
        <w:t>The law</w:t>
      </w:r>
      <w:r w:rsidRPr="005A384C">
        <w:t xml:space="preserve"> obliged public media to provide information </w:t>
      </w:r>
      <w:r w:rsidR="000B38DC">
        <w:t xml:space="preserve">that is </w:t>
      </w:r>
      <w:r w:rsidRPr="005A384C">
        <w:t xml:space="preserve">accessible to </w:t>
      </w:r>
      <w:r w:rsidR="000B38DC">
        <w:t>persons</w:t>
      </w:r>
      <w:r w:rsidRPr="005A384C">
        <w:t xml:space="preserve"> with disabilities and</w:t>
      </w:r>
      <w:r w:rsidR="000B38DC">
        <w:t xml:space="preserve"> to</w:t>
      </w:r>
      <w:r w:rsidRPr="005A384C">
        <w:t xml:space="preserve"> include programmes and information related to persons with disabilities</w:t>
      </w:r>
      <w:r w:rsidRPr="00306D1D">
        <w:t>.</w:t>
      </w:r>
      <w:r w:rsidR="000B38DC" w:rsidRPr="009B71A7">
        <w:rPr>
          <w:rStyle w:val="FootnoteReference"/>
        </w:rPr>
        <w:footnoteReference w:id="66"/>
      </w:r>
      <w:r>
        <w:t xml:space="preserve"> </w:t>
      </w:r>
      <w:r w:rsidR="000B38DC">
        <w:t>Consequently, an</w:t>
      </w:r>
      <w:r w:rsidR="000B38DC">
        <w:rPr>
          <w:lang w:val="en-US"/>
        </w:rPr>
        <w:t xml:space="preserve"> amendment to the </w:t>
      </w:r>
      <w:r w:rsidRPr="00306D1D">
        <w:t>Radio and Television Act (</w:t>
      </w:r>
      <w:r w:rsidRPr="00306D1D">
        <w:rPr>
          <w:i/>
          <w:lang w:val="bg-BG"/>
        </w:rPr>
        <w:t>Закон за радиото и телевизията</w:t>
      </w:r>
      <w:r w:rsidRPr="00306D1D">
        <w:rPr>
          <w:lang w:val="bg-BG"/>
        </w:rPr>
        <w:t>)</w:t>
      </w:r>
      <w:r w:rsidR="000B38DC">
        <w:rPr>
          <w:lang w:val="en-US"/>
        </w:rPr>
        <w:t>,</w:t>
      </w:r>
      <w:r w:rsidRPr="00306D1D">
        <w:rPr>
          <w:lang w:val="bg-BG"/>
        </w:rPr>
        <w:t xml:space="preserve"> </w:t>
      </w:r>
      <w:r w:rsidR="000B38DC">
        <w:rPr>
          <w:lang w:val="en-US"/>
        </w:rPr>
        <w:t xml:space="preserve">adopted in 2020, obliged </w:t>
      </w:r>
      <w:r w:rsidRPr="00306D1D">
        <w:t xml:space="preserve">public and private </w:t>
      </w:r>
      <w:r w:rsidR="00B85454">
        <w:t>media service providers</w:t>
      </w:r>
      <w:r w:rsidRPr="00306D1D">
        <w:t xml:space="preserve"> to ensure that the content of their services is gradually made accessible to </w:t>
      </w:r>
      <w:r w:rsidR="000B38DC">
        <w:t>persons</w:t>
      </w:r>
      <w:r w:rsidRPr="00306D1D">
        <w:t xml:space="preserve"> with sensory disabilities</w:t>
      </w:r>
      <w:r>
        <w:t xml:space="preserve">. </w:t>
      </w:r>
      <w:r w:rsidRPr="00306D1D">
        <w:t xml:space="preserve">Radio broadcasters </w:t>
      </w:r>
      <w:r w:rsidR="00B85454">
        <w:t>were obliged</w:t>
      </w:r>
      <w:r w:rsidR="005A384C">
        <w:t xml:space="preserve"> to</w:t>
      </w:r>
      <w:r w:rsidRPr="00306D1D">
        <w:t xml:space="preserve"> </w:t>
      </w:r>
      <w:r w:rsidR="00B85454">
        <w:t>offer</w:t>
      </w:r>
      <w:r w:rsidRPr="00306D1D">
        <w:t xml:space="preserve"> programmes and broadcasts accessible to </w:t>
      </w:r>
      <w:r w:rsidR="00B85454">
        <w:t>persons</w:t>
      </w:r>
      <w:r w:rsidRPr="00306D1D">
        <w:t xml:space="preserve"> with sensory disabilities through the </w:t>
      </w:r>
      <w:r w:rsidR="00B85454">
        <w:t>i</w:t>
      </w:r>
      <w:r w:rsidRPr="00306D1D">
        <w:t>nternet, mobile applications or other technical means at their disposal</w:t>
      </w:r>
      <w:r w:rsidR="00B85454">
        <w:t xml:space="preserve">. All media service providers were also obliged to develop </w:t>
      </w:r>
      <w:r w:rsidR="00B85454" w:rsidRPr="00B85454">
        <w:t xml:space="preserve">action plans </w:t>
      </w:r>
      <w:r w:rsidR="00B85454">
        <w:t>for</w:t>
      </w:r>
      <w:r w:rsidR="00B85454" w:rsidRPr="00B85454">
        <w:t xml:space="preserve"> continuously and progressively increas</w:t>
      </w:r>
      <w:r w:rsidR="00B85454">
        <w:t>ing</w:t>
      </w:r>
      <w:r w:rsidR="00B85454" w:rsidRPr="00B85454">
        <w:t xml:space="preserve"> the accessibility of their services to persons with disabilities</w:t>
      </w:r>
      <w:r w:rsidRPr="00306D1D">
        <w:t>.</w:t>
      </w:r>
      <w:r w:rsidRPr="00306D1D">
        <w:rPr>
          <w:rStyle w:val="FootnoteReference"/>
        </w:rPr>
        <w:footnoteReference w:id="67"/>
      </w:r>
      <w:r w:rsidRPr="00306D1D">
        <w:t xml:space="preserve"> </w:t>
      </w:r>
      <w:r w:rsidR="00B85454">
        <w:rPr>
          <w:lang w:val="en-US"/>
        </w:rPr>
        <w:t>By the end of</w:t>
      </w:r>
      <w:r w:rsidR="00B85454" w:rsidRPr="009B71A7">
        <w:t xml:space="preserve"> 2022, of all private media service providers (about 130 audiovisual media providers and 80 radio broadcasters), the majority have submitted such action plans</w:t>
      </w:r>
      <w:r w:rsidR="00B85454">
        <w:t xml:space="preserve"> to the Council for Electronic Media (CEM) (</w:t>
      </w:r>
      <w:r w:rsidR="00B85454">
        <w:rPr>
          <w:i/>
          <w:iCs/>
          <w:lang w:val="bg-BG"/>
        </w:rPr>
        <w:t>Съвет за електронни медии</w:t>
      </w:r>
      <w:r w:rsidR="00B85454">
        <w:rPr>
          <w:lang w:val="bg-BG"/>
        </w:rPr>
        <w:t>, СЕМ</w:t>
      </w:r>
      <w:r w:rsidR="00B85454">
        <w:t>)</w:t>
      </w:r>
      <w:r w:rsidR="00B85454" w:rsidRPr="009B71A7">
        <w:t>. This includes the</w:t>
      </w:r>
      <w:r w:rsidR="00B85454">
        <w:rPr>
          <w:lang w:val="bg-BG"/>
        </w:rPr>
        <w:t xml:space="preserve"> </w:t>
      </w:r>
      <w:r w:rsidR="00B85454">
        <w:rPr>
          <w:lang w:val="en-US"/>
        </w:rPr>
        <w:t>largest national association of media service providers –</w:t>
      </w:r>
      <w:r w:rsidR="00B85454" w:rsidRPr="009B71A7">
        <w:t xml:space="preserve"> </w:t>
      </w:r>
      <w:r w:rsidR="00B85454">
        <w:t xml:space="preserve">the </w:t>
      </w:r>
      <w:r w:rsidR="00B85454" w:rsidRPr="009B71A7">
        <w:t xml:space="preserve">Association of Bulgarian Broadcasters (ABBRO) </w:t>
      </w:r>
      <w:r w:rsidR="00B85454" w:rsidRPr="009B71A7">
        <w:rPr>
          <w:lang w:val="bg-BG"/>
        </w:rPr>
        <w:t>(</w:t>
      </w:r>
      <w:r w:rsidR="00B85454" w:rsidRPr="009B71A7">
        <w:rPr>
          <w:i/>
          <w:lang w:val="bg-BG"/>
        </w:rPr>
        <w:t>Асоциация на българските радио и телевизионни оператори</w:t>
      </w:r>
      <w:r w:rsidR="00B85454" w:rsidRPr="009B71A7">
        <w:rPr>
          <w:iCs/>
          <w:lang w:val="bg-BG"/>
        </w:rPr>
        <w:t>, АБРО</w:t>
      </w:r>
      <w:r w:rsidR="00B85454" w:rsidRPr="009B71A7">
        <w:rPr>
          <w:lang w:val="bg-BG"/>
        </w:rPr>
        <w:t>)</w:t>
      </w:r>
      <w:r w:rsidR="00B85454" w:rsidRPr="009B71A7">
        <w:t xml:space="preserve"> and most of its members</w:t>
      </w:r>
      <w:r w:rsidR="00B85454">
        <w:t>,</w:t>
      </w:r>
      <w:r w:rsidR="00B85454" w:rsidRPr="009B71A7">
        <w:t xml:space="preserve"> as well as 22 other broadcasters not members of the association.</w:t>
      </w:r>
      <w:r w:rsidR="00B85454" w:rsidRPr="009B71A7">
        <w:rPr>
          <w:rStyle w:val="FootnoteReference"/>
          <w:rFonts w:ascii="Verdana" w:hAnsi="Verdana"/>
          <w:sz w:val="20"/>
        </w:rPr>
        <w:footnoteReference w:id="68"/>
      </w:r>
      <w:r w:rsidR="007E7636">
        <w:rPr>
          <w:lang w:val="bg-BG"/>
        </w:rPr>
        <w:t xml:space="preserve"> </w:t>
      </w:r>
      <w:r w:rsidR="007E7636" w:rsidRPr="004A7532">
        <w:t xml:space="preserve">In addition to </w:t>
      </w:r>
      <w:r w:rsidR="007E7636">
        <w:rPr>
          <w:lang w:val="en-US"/>
        </w:rPr>
        <w:t>complying with these mandatory requirements</w:t>
      </w:r>
      <w:r w:rsidR="007E7636" w:rsidRPr="004A7532">
        <w:t xml:space="preserve">, </w:t>
      </w:r>
      <w:r w:rsidR="007E7636">
        <w:t>most</w:t>
      </w:r>
      <w:r w:rsidR="007E7636" w:rsidRPr="004A7532">
        <w:t xml:space="preserve"> </w:t>
      </w:r>
      <w:r w:rsidR="007E7636">
        <w:t xml:space="preserve">national </w:t>
      </w:r>
      <w:r w:rsidR="007E7636" w:rsidRPr="004A7532">
        <w:t>media</w:t>
      </w:r>
      <w:r w:rsidR="007E7636">
        <w:t>, in accordance with their internal policies,</w:t>
      </w:r>
      <w:r w:rsidR="007E7636" w:rsidRPr="004A7532">
        <w:t xml:space="preserve"> </w:t>
      </w:r>
      <w:r w:rsidR="007E7636">
        <w:t xml:space="preserve">include </w:t>
      </w:r>
      <w:r w:rsidR="007E7636" w:rsidRPr="004A7532">
        <w:lastRenderedPageBreak/>
        <w:t>sign language interpretation</w:t>
      </w:r>
      <w:r w:rsidR="007E7636">
        <w:t xml:space="preserve"> in some of their election-related programmes (</w:t>
      </w:r>
      <w:r w:rsidR="007E7636" w:rsidRPr="004A7532">
        <w:t xml:space="preserve">news </w:t>
      </w:r>
      <w:r w:rsidR="007E7636">
        <w:t>broadcasts during elections,</w:t>
      </w:r>
      <w:r w:rsidR="007E7636" w:rsidRPr="004A7532">
        <w:t xml:space="preserve"> debates </w:t>
      </w:r>
      <w:r w:rsidR="007E7636">
        <w:t>between candidates, etc</w:t>
      </w:r>
      <w:r w:rsidR="007E7636" w:rsidRPr="004A7532">
        <w:t>.</w:t>
      </w:r>
      <w:r w:rsidR="007E7636">
        <w:t>).</w:t>
      </w:r>
      <w:r w:rsidR="007E7636" w:rsidRPr="004A7532">
        <w:rPr>
          <w:rStyle w:val="FootnoteReference"/>
          <w:rFonts w:ascii="Verdana" w:hAnsi="Verdana"/>
          <w:sz w:val="20"/>
        </w:rPr>
        <w:footnoteReference w:id="69"/>
      </w:r>
      <w:r w:rsidR="007E7636" w:rsidRPr="007E7636">
        <w:t xml:space="preserve"> </w:t>
      </w:r>
    </w:p>
    <w:p w14:paraId="09DE6AE9" w14:textId="77777777" w:rsidR="009944D0" w:rsidRDefault="00F50E98" w:rsidP="009944D0">
      <w:pPr>
        <w:jc w:val="both"/>
      </w:pPr>
      <w:r>
        <w:t xml:space="preserve">Another positive development is the change in the requirements for opening polling stations in hospitals and other specialised institutions. </w:t>
      </w:r>
      <w:r w:rsidR="007E7636">
        <w:t>T</w:t>
      </w:r>
      <w:r w:rsidR="007E7636" w:rsidRPr="004F1BFA">
        <w:t>he Electoral Code (</w:t>
      </w:r>
      <w:r w:rsidR="007E7636" w:rsidRPr="005E5557">
        <w:rPr>
          <w:i/>
          <w:lang w:val="bg-BG"/>
        </w:rPr>
        <w:t>Изборен кодекс</w:t>
      </w:r>
      <w:r w:rsidR="007E7636" w:rsidRPr="004F1BFA">
        <w:t>)</w:t>
      </w:r>
      <w:r>
        <w:rPr>
          <w:lang w:val="en-US"/>
        </w:rPr>
        <w:t>, adopted in 2014,</w:t>
      </w:r>
      <w:r w:rsidR="007E7636" w:rsidRPr="004F1BFA">
        <w:t xml:space="preserve"> </w:t>
      </w:r>
      <w:r>
        <w:t>provides</w:t>
      </w:r>
      <w:r w:rsidR="007E7636" w:rsidRPr="004F1BFA">
        <w:t xml:space="preserve"> that at </w:t>
      </w:r>
      <w:r w:rsidR="007E7636">
        <w:t xml:space="preserve">national </w:t>
      </w:r>
      <w:r w:rsidR="007E7636" w:rsidRPr="004F1BFA">
        <w:t xml:space="preserve">parliamentary elections, European Parliament elections and </w:t>
      </w:r>
      <w:r w:rsidR="007E7636">
        <w:t>presidential elections</w:t>
      </w:r>
      <w:r w:rsidR="007E7636" w:rsidRPr="004F1BFA">
        <w:t xml:space="preserve">, polling stations are </w:t>
      </w:r>
      <w:r w:rsidR="007E7636">
        <w:t>established</w:t>
      </w:r>
      <w:r w:rsidR="007E7636" w:rsidRPr="004F1BFA">
        <w:t xml:space="preserve"> in hospitals, homes for </w:t>
      </w:r>
      <w:r w:rsidR="007E7636">
        <w:t>older persons</w:t>
      </w:r>
      <w:r w:rsidR="007E7636" w:rsidRPr="004F1BFA">
        <w:t>, and other specialised institutions</w:t>
      </w:r>
      <w:r w:rsidR="007E7636">
        <w:t xml:space="preserve"> </w:t>
      </w:r>
      <w:r w:rsidR="007E7636" w:rsidRPr="004F1BFA">
        <w:t>provid</w:t>
      </w:r>
      <w:r w:rsidR="007E7636">
        <w:t>ing</w:t>
      </w:r>
      <w:r w:rsidR="007E7636" w:rsidRPr="004F1BFA">
        <w:t xml:space="preserve"> residential social services </w:t>
      </w:r>
      <w:r w:rsidR="007E7636">
        <w:t>if there are at least ten</w:t>
      </w:r>
      <w:r w:rsidR="007E7636" w:rsidRPr="004F1BFA">
        <w:t xml:space="preserve"> voters</w:t>
      </w:r>
      <w:r w:rsidR="007E7636">
        <w:t xml:space="preserve"> accommodated there</w:t>
      </w:r>
      <w:r w:rsidR="007E7636" w:rsidRPr="004F1BFA">
        <w:t xml:space="preserve">. </w:t>
      </w:r>
      <w:r w:rsidR="007E7636">
        <w:t>For</w:t>
      </w:r>
      <w:r w:rsidR="007E7636" w:rsidRPr="004F1BFA">
        <w:t xml:space="preserve"> </w:t>
      </w:r>
      <w:r w:rsidR="007E7636">
        <w:t xml:space="preserve">local </w:t>
      </w:r>
      <w:r w:rsidR="007E7636" w:rsidRPr="004F1BFA">
        <w:t>elections, the</w:t>
      </w:r>
      <w:r w:rsidR="007E7636">
        <w:t xml:space="preserve"> minimum number of voters is also ten, but there is an additional requirement that they should have lived in the same locality where the institution is located </w:t>
      </w:r>
      <w:r w:rsidR="007E7636" w:rsidRPr="004F1BFA">
        <w:t xml:space="preserve">in the last </w:t>
      </w:r>
      <w:r w:rsidR="007E7636">
        <w:t>six</w:t>
      </w:r>
      <w:r w:rsidR="007E7636" w:rsidRPr="004F1BFA">
        <w:t xml:space="preserve"> months </w:t>
      </w:r>
      <w:r w:rsidR="007E7636">
        <w:t xml:space="preserve">before </w:t>
      </w:r>
      <w:r w:rsidR="007E7636" w:rsidRPr="004F1BFA">
        <w:t>the election</w:t>
      </w:r>
      <w:r w:rsidR="007E7636">
        <w:t>s</w:t>
      </w:r>
      <w:r w:rsidR="007E7636" w:rsidRPr="004F1BFA">
        <w:t>.</w:t>
      </w:r>
      <w:r w:rsidR="007E7636" w:rsidRPr="004F1BFA">
        <w:rPr>
          <w:rStyle w:val="FootnoteReference"/>
          <w:rFonts w:ascii="Verdana" w:hAnsi="Verdana"/>
          <w:sz w:val="20"/>
        </w:rPr>
        <w:footnoteReference w:id="70"/>
      </w:r>
      <w:r>
        <w:t xml:space="preserve"> Under the previous </w:t>
      </w:r>
      <w:r w:rsidRPr="004F1BFA">
        <w:t>Electoral Code (</w:t>
      </w:r>
      <w:r w:rsidRPr="005E5557">
        <w:rPr>
          <w:i/>
          <w:lang w:val="bg-BG"/>
        </w:rPr>
        <w:t>Изборен кодекс</w:t>
      </w:r>
      <w:r w:rsidRPr="004F1BFA">
        <w:t>)</w:t>
      </w:r>
      <w:r>
        <w:rPr>
          <w:lang w:val="en-US"/>
        </w:rPr>
        <w:t xml:space="preserve">, </w:t>
      </w:r>
      <w:r w:rsidR="009944D0">
        <w:rPr>
          <w:lang w:val="en-US"/>
        </w:rPr>
        <w:t xml:space="preserve">applied until </w:t>
      </w:r>
      <w:r>
        <w:rPr>
          <w:lang w:val="en-US"/>
        </w:rPr>
        <w:t>201</w:t>
      </w:r>
      <w:r w:rsidR="009944D0">
        <w:rPr>
          <w:lang w:val="en-US"/>
        </w:rPr>
        <w:t>4</w:t>
      </w:r>
      <w:r>
        <w:rPr>
          <w:lang w:val="en-US"/>
        </w:rPr>
        <w:t>, the minimum number of voters in such facilities was 20.</w:t>
      </w:r>
      <w:r w:rsidR="009944D0">
        <w:rPr>
          <w:lang w:val="en-US"/>
        </w:rPr>
        <w:t xml:space="preserve"> </w:t>
      </w:r>
      <w:r w:rsidR="009944D0" w:rsidRPr="009944D0">
        <w:t>The change was made in response to the increasing number of group homes for older persons and persons with disabilities, which replaced the bigger institutions as a result of the deinstitutionalisation process.</w:t>
      </w:r>
      <w:r w:rsidR="009F0E95">
        <w:rPr>
          <w:rStyle w:val="FootnoteReference"/>
        </w:rPr>
        <w:footnoteReference w:id="71"/>
      </w:r>
    </w:p>
    <w:p w14:paraId="2AF0BA03" w14:textId="77777777" w:rsidR="009D3B51" w:rsidRDefault="009F0E95" w:rsidP="009D3B51">
      <w:pPr>
        <w:jc w:val="both"/>
      </w:pPr>
      <w:r w:rsidRPr="00A84586">
        <w:t xml:space="preserve">Despite these </w:t>
      </w:r>
      <w:r w:rsidR="009944D0">
        <w:t xml:space="preserve">positive </w:t>
      </w:r>
      <w:r w:rsidRPr="00A84586">
        <w:t xml:space="preserve">developments, </w:t>
      </w:r>
      <w:r w:rsidR="009944D0">
        <w:t xml:space="preserve">there are </w:t>
      </w:r>
      <w:r w:rsidRPr="00A84586">
        <w:t xml:space="preserve">a number of </w:t>
      </w:r>
      <w:r w:rsidR="009944D0">
        <w:t xml:space="preserve">persisting </w:t>
      </w:r>
      <w:r w:rsidRPr="00A84586">
        <w:t xml:space="preserve">challenges. </w:t>
      </w:r>
      <w:r w:rsidR="009944D0">
        <w:t>Persons</w:t>
      </w:r>
      <w:r w:rsidR="001E49A1" w:rsidRPr="00A84586">
        <w:t xml:space="preserve"> fully or partially deprived of legal capacity </w:t>
      </w:r>
      <w:r w:rsidR="009944D0">
        <w:t xml:space="preserve">continue to be deprived of their rights </w:t>
      </w:r>
      <w:r w:rsidR="001E49A1" w:rsidRPr="00A84586">
        <w:t xml:space="preserve">to vote or be elected. </w:t>
      </w:r>
      <w:r w:rsidR="009944D0">
        <w:t xml:space="preserve">The European Court of Human Rights has already ruled that </w:t>
      </w:r>
      <w:r w:rsidR="00AF1DA3">
        <w:t>this restriction</w:t>
      </w:r>
      <w:r w:rsidR="009944D0">
        <w:t xml:space="preserve"> </w:t>
      </w:r>
      <w:r w:rsidR="00AF1DA3">
        <w:t>is violating</w:t>
      </w:r>
      <w:r w:rsidR="009944D0">
        <w:t xml:space="preserve"> Article 3 of Protocol 1 to the European Convention of Human Rights</w:t>
      </w:r>
      <w:r w:rsidR="009944D0" w:rsidRPr="00A84586">
        <w:t xml:space="preserve"> </w:t>
      </w:r>
      <w:r w:rsidR="001E49A1" w:rsidRPr="00A84586">
        <w:t>Despite</w:t>
      </w:r>
      <w:r w:rsidR="00AF1DA3">
        <w:t>.</w:t>
      </w:r>
      <w:r w:rsidR="001E49A1" w:rsidRPr="00A84586">
        <w:rPr>
          <w:rStyle w:val="FootnoteReference"/>
        </w:rPr>
        <w:footnoteReference w:id="72"/>
      </w:r>
      <w:r w:rsidR="001E49A1" w:rsidRPr="00A84586">
        <w:t xml:space="preserve"> </w:t>
      </w:r>
      <w:r w:rsidR="00AF1DA3">
        <w:t xml:space="preserve">Since the rule </w:t>
      </w:r>
      <w:r w:rsidR="00AF1DA3">
        <w:rPr>
          <w:lang w:val="en-US"/>
        </w:rPr>
        <w:t xml:space="preserve">prohibiting </w:t>
      </w:r>
      <w:r w:rsidR="00AF1DA3">
        <w:t xml:space="preserve">persons deprived of legal capacity from voting is laid down in Constitution, the government </w:t>
      </w:r>
      <w:r w:rsidR="00402F5C">
        <w:rPr>
          <w:lang w:val="en-US"/>
        </w:rPr>
        <w:t>asked</w:t>
      </w:r>
      <w:r w:rsidR="00AF1DA3">
        <w:t xml:space="preserve"> the </w:t>
      </w:r>
      <w:r w:rsidR="001E49A1" w:rsidRPr="00A84586">
        <w:t>Constitutional Court</w:t>
      </w:r>
      <w:r w:rsidR="00A84586">
        <w:t xml:space="preserve"> (</w:t>
      </w:r>
      <w:r w:rsidR="00A84586" w:rsidRPr="00A84586">
        <w:rPr>
          <w:i/>
          <w:lang w:val="bg-BG"/>
        </w:rPr>
        <w:t>Конституционен съд</w:t>
      </w:r>
      <w:r w:rsidR="00A84586">
        <w:rPr>
          <w:lang w:val="bg-BG"/>
        </w:rPr>
        <w:t>)</w:t>
      </w:r>
      <w:r w:rsidR="00AF1DA3">
        <w:rPr>
          <w:lang w:val="en-US"/>
        </w:rPr>
        <w:t xml:space="preserve"> </w:t>
      </w:r>
      <w:r w:rsidR="00402F5C">
        <w:rPr>
          <w:lang w:val="en-US"/>
        </w:rPr>
        <w:t xml:space="preserve">to issue </w:t>
      </w:r>
      <w:r w:rsidR="00AF1DA3">
        <w:rPr>
          <w:lang w:val="en-US"/>
        </w:rPr>
        <w:t xml:space="preserve">an interpretative decision </w:t>
      </w:r>
      <w:r w:rsidR="00402F5C">
        <w:rPr>
          <w:lang w:val="en-US"/>
        </w:rPr>
        <w:t>limiting the scope of this ban</w:t>
      </w:r>
      <w:r w:rsidR="00402F5C">
        <w:t xml:space="preserve">. However, the </w:t>
      </w:r>
      <w:r w:rsidR="00402F5C" w:rsidRPr="00A84586">
        <w:t>Constitutional Court</w:t>
      </w:r>
      <w:r w:rsidR="00402F5C">
        <w:t xml:space="preserve"> (</w:t>
      </w:r>
      <w:r w:rsidR="00402F5C" w:rsidRPr="00A84586">
        <w:rPr>
          <w:i/>
          <w:lang w:val="bg-BG"/>
        </w:rPr>
        <w:t>Конституционен съд</w:t>
      </w:r>
      <w:r w:rsidR="00402F5C">
        <w:rPr>
          <w:lang w:val="bg-BG"/>
        </w:rPr>
        <w:t>)</w:t>
      </w:r>
      <w:r w:rsidR="00402F5C">
        <w:rPr>
          <w:lang w:val="en-US"/>
        </w:rPr>
        <w:t xml:space="preserve"> ruled that the issuance </w:t>
      </w:r>
      <w:r w:rsidR="00402F5C">
        <w:rPr>
          <w:lang w:val="en-US"/>
        </w:rPr>
        <w:lastRenderedPageBreak/>
        <w:t>of such a decision is not withing its competence and the only way to overcome the problem is through a constitutional amendment.</w:t>
      </w:r>
      <w:r w:rsidR="001E49A1" w:rsidRPr="00A84586">
        <w:rPr>
          <w:rStyle w:val="FootnoteReference"/>
        </w:rPr>
        <w:footnoteReference w:id="73"/>
      </w:r>
    </w:p>
    <w:p w14:paraId="7769CA8E" w14:textId="79216118" w:rsidR="00CF3366" w:rsidRPr="009D3B51" w:rsidRDefault="00CF3366" w:rsidP="009D3B51">
      <w:pPr>
        <w:jc w:val="both"/>
      </w:pPr>
      <w:r w:rsidRPr="00306D1D">
        <w:rPr>
          <w:rFonts w:asciiTheme="minorHAnsi" w:hAnsiTheme="minorHAnsi" w:cstheme="minorHAnsi"/>
          <w:szCs w:val="24"/>
          <w:lang w:val="en-US"/>
        </w:rPr>
        <w:t xml:space="preserve">The </w:t>
      </w:r>
      <w:r w:rsidR="009D3B51">
        <w:rPr>
          <w:rFonts w:asciiTheme="minorHAnsi" w:hAnsiTheme="minorHAnsi" w:cstheme="minorHAnsi"/>
          <w:szCs w:val="24"/>
          <w:lang w:val="en-US"/>
        </w:rPr>
        <w:t>frequent</w:t>
      </w:r>
      <w:r w:rsidRPr="00306D1D">
        <w:rPr>
          <w:rFonts w:asciiTheme="minorHAnsi" w:hAnsiTheme="minorHAnsi" w:cstheme="minorHAnsi"/>
          <w:szCs w:val="24"/>
          <w:lang w:val="en-US"/>
        </w:rPr>
        <w:t xml:space="preserve"> </w:t>
      </w:r>
      <w:r w:rsidR="00C807C6" w:rsidRPr="00306D1D">
        <w:rPr>
          <w:rFonts w:asciiTheme="minorHAnsi" w:hAnsiTheme="minorHAnsi" w:cstheme="minorHAnsi"/>
          <w:szCs w:val="24"/>
          <w:lang w:val="en-US"/>
        </w:rPr>
        <w:t>changes</w:t>
      </w:r>
      <w:r w:rsidRPr="00306D1D">
        <w:rPr>
          <w:rFonts w:asciiTheme="minorHAnsi" w:hAnsiTheme="minorHAnsi" w:cstheme="minorHAnsi"/>
          <w:szCs w:val="24"/>
          <w:lang w:val="en-US"/>
        </w:rPr>
        <w:t xml:space="preserve"> </w:t>
      </w:r>
      <w:r w:rsidR="00966F69">
        <w:rPr>
          <w:rFonts w:asciiTheme="minorHAnsi" w:hAnsiTheme="minorHAnsi" w:cstheme="minorHAnsi"/>
          <w:szCs w:val="24"/>
          <w:lang w:val="en-US"/>
        </w:rPr>
        <w:t>of the legislation</w:t>
      </w:r>
      <w:r w:rsidR="000D7938" w:rsidRPr="00306D1D">
        <w:rPr>
          <w:rStyle w:val="FootnoteReference"/>
          <w:rFonts w:asciiTheme="minorHAnsi" w:hAnsiTheme="minorHAnsi" w:cstheme="minorHAnsi"/>
          <w:szCs w:val="24"/>
          <w:lang w:val="en-US"/>
        </w:rPr>
        <w:footnoteReference w:id="74"/>
      </w:r>
      <w:r w:rsidR="000D7938" w:rsidRPr="00306D1D">
        <w:rPr>
          <w:rFonts w:asciiTheme="minorHAnsi" w:hAnsiTheme="minorHAnsi" w:cstheme="minorHAnsi"/>
          <w:szCs w:val="24"/>
          <w:lang w:val="en-US"/>
        </w:rPr>
        <w:t xml:space="preserve"> and the </w:t>
      </w:r>
      <w:r w:rsidR="00966F69">
        <w:rPr>
          <w:rFonts w:asciiTheme="minorHAnsi" w:hAnsiTheme="minorHAnsi" w:cstheme="minorHAnsi"/>
          <w:szCs w:val="24"/>
          <w:lang w:val="en-US"/>
        </w:rPr>
        <w:t>practice of</w:t>
      </w:r>
      <w:r w:rsidR="00966F69" w:rsidRPr="00306D1D">
        <w:rPr>
          <w:rFonts w:asciiTheme="minorHAnsi" w:hAnsiTheme="minorHAnsi" w:cstheme="minorHAnsi"/>
          <w:szCs w:val="24"/>
          <w:lang w:val="en-US"/>
        </w:rPr>
        <w:t xml:space="preserve"> the Central Electoral Commission</w:t>
      </w:r>
      <w:r w:rsidR="00966F69">
        <w:rPr>
          <w:rFonts w:asciiTheme="minorHAnsi" w:hAnsiTheme="minorHAnsi" w:cstheme="minorHAnsi"/>
          <w:szCs w:val="24"/>
          <w:lang w:val="en-US"/>
        </w:rPr>
        <w:t xml:space="preserve"> (CEC)</w:t>
      </w:r>
      <w:r w:rsidR="00966F69" w:rsidRPr="00306D1D">
        <w:rPr>
          <w:rFonts w:asciiTheme="minorHAnsi" w:hAnsiTheme="minorHAnsi" w:cstheme="minorHAnsi"/>
          <w:szCs w:val="24"/>
          <w:lang w:val="bg-BG"/>
        </w:rPr>
        <w:t xml:space="preserve"> (</w:t>
      </w:r>
      <w:r w:rsidR="00966F69" w:rsidRPr="00306D1D">
        <w:rPr>
          <w:rFonts w:asciiTheme="minorHAnsi" w:hAnsiTheme="minorHAnsi" w:cstheme="minorHAnsi"/>
          <w:i/>
          <w:szCs w:val="24"/>
          <w:lang w:val="bg-BG"/>
        </w:rPr>
        <w:t>Централна избирателна комисия</w:t>
      </w:r>
      <w:r w:rsidR="00966F69">
        <w:rPr>
          <w:rFonts w:asciiTheme="minorHAnsi" w:hAnsiTheme="minorHAnsi" w:cstheme="minorHAnsi"/>
          <w:iCs/>
          <w:szCs w:val="24"/>
          <w:lang w:val="bg-BG"/>
        </w:rPr>
        <w:t>, ЦИК</w:t>
      </w:r>
      <w:r w:rsidR="00966F69" w:rsidRPr="00306D1D">
        <w:rPr>
          <w:rFonts w:asciiTheme="minorHAnsi" w:hAnsiTheme="minorHAnsi" w:cstheme="minorHAnsi"/>
          <w:szCs w:val="24"/>
          <w:lang w:val="bg-BG"/>
        </w:rPr>
        <w:t>)</w:t>
      </w:r>
      <w:r w:rsidR="00966F69">
        <w:rPr>
          <w:rFonts w:asciiTheme="minorHAnsi" w:hAnsiTheme="minorHAnsi" w:cstheme="minorHAnsi"/>
          <w:szCs w:val="24"/>
          <w:lang w:val="bg-BG"/>
        </w:rPr>
        <w:t xml:space="preserve"> </w:t>
      </w:r>
      <w:r w:rsidR="00966F69">
        <w:rPr>
          <w:rFonts w:asciiTheme="minorHAnsi" w:hAnsiTheme="minorHAnsi" w:cstheme="minorHAnsi"/>
          <w:szCs w:val="24"/>
          <w:lang w:val="en-US"/>
        </w:rPr>
        <w:t>to introduce new</w:t>
      </w:r>
      <w:r w:rsidR="000D7938" w:rsidRPr="00306D1D">
        <w:rPr>
          <w:rFonts w:asciiTheme="minorHAnsi" w:hAnsiTheme="minorHAnsi" w:cstheme="minorHAnsi"/>
          <w:szCs w:val="24"/>
          <w:lang w:val="en-US"/>
        </w:rPr>
        <w:t xml:space="preserve"> rules </w:t>
      </w:r>
      <w:r w:rsidR="00966F69">
        <w:rPr>
          <w:rFonts w:asciiTheme="minorHAnsi" w:hAnsiTheme="minorHAnsi" w:cstheme="minorHAnsi"/>
          <w:szCs w:val="24"/>
          <w:lang w:val="en-US"/>
        </w:rPr>
        <w:t>before</w:t>
      </w:r>
      <w:r w:rsidR="000D7938" w:rsidRPr="00306D1D">
        <w:rPr>
          <w:rFonts w:asciiTheme="minorHAnsi" w:hAnsiTheme="minorHAnsi" w:cstheme="minorHAnsi"/>
          <w:szCs w:val="24"/>
          <w:lang w:val="en-US"/>
        </w:rPr>
        <w:t xml:space="preserve"> each round of elections </w:t>
      </w:r>
      <w:r w:rsidR="00966F69">
        <w:rPr>
          <w:rFonts w:asciiTheme="minorHAnsi" w:hAnsiTheme="minorHAnsi" w:cstheme="minorHAnsi"/>
          <w:szCs w:val="24"/>
          <w:lang w:val="en-US"/>
        </w:rPr>
        <w:t>make it difficult for persons</w:t>
      </w:r>
      <w:r w:rsidR="000D7938" w:rsidRPr="00306D1D">
        <w:rPr>
          <w:rFonts w:asciiTheme="minorHAnsi" w:hAnsiTheme="minorHAnsi" w:cstheme="minorHAnsi"/>
          <w:szCs w:val="24"/>
          <w:lang w:val="en-US"/>
        </w:rPr>
        <w:t xml:space="preserve"> with disabilities to actively participate in the electoral process</w:t>
      </w:r>
      <w:r w:rsidR="00966F69">
        <w:rPr>
          <w:rFonts w:asciiTheme="minorHAnsi" w:hAnsiTheme="minorHAnsi" w:cstheme="minorHAnsi"/>
          <w:szCs w:val="24"/>
          <w:lang w:val="en-US"/>
        </w:rPr>
        <w:t>, as they do not always easily adapt</w:t>
      </w:r>
      <w:r w:rsidR="00700721" w:rsidRPr="00306D1D">
        <w:rPr>
          <w:rFonts w:asciiTheme="minorHAnsi" w:hAnsiTheme="minorHAnsi" w:cstheme="minorHAnsi"/>
          <w:szCs w:val="24"/>
          <w:lang w:val="en-US"/>
        </w:rPr>
        <w:t xml:space="preserve"> to the new rules</w:t>
      </w:r>
      <w:r w:rsidR="000D7938" w:rsidRPr="00306D1D">
        <w:rPr>
          <w:rFonts w:asciiTheme="minorHAnsi" w:hAnsiTheme="minorHAnsi" w:cstheme="minorHAnsi"/>
          <w:szCs w:val="24"/>
          <w:lang w:val="en-US"/>
        </w:rPr>
        <w:t>.</w:t>
      </w:r>
      <w:r w:rsidR="009F0E95">
        <w:rPr>
          <w:rFonts w:asciiTheme="minorHAnsi" w:hAnsiTheme="minorHAnsi" w:cstheme="minorHAnsi"/>
          <w:szCs w:val="24"/>
          <w:lang w:val="en-US"/>
        </w:rPr>
        <w:t xml:space="preserve"> </w:t>
      </w:r>
      <w:r w:rsidR="00966F69">
        <w:rPr>
          <w:rFonts w:asciiTheme="minorHAnsi" w:hAnsiTheme="minorHAnsi" w:cstheme="minorHAnsi"/>
          <w:szCs w:val="24"/>
          <w:lang w:val="en-US"/>
        </w:rPr>
        <w:t>Furthermore</w:t>
      </w:r>
      <w:r w:rsidR="009F0E95">
        <w:rPr>
          <w:rFonts w:asciiTheme="minorHAnsi" w:hAnsiTheme="minorHAnsi" w:cstheme="minorHAnsi"/>
          <w:szCs w:val="24"/>
          <w:lang w:val="en-US"/>
        </w:rPr>
        <w:t xml:space="preserve">, </w:t>
      </w:r>
      <w:r w:rsidR="0070753A">
        <w:rPr>
          <w:rFonts w:asciiTheme="minorHAnsi" w:hAnsiTheme="minorHAnsi" w:cstheme="minorHAnsi"/>
          <w:szCs w:val="24"/>
          <w:lang w:val="en-US"/>
        </w:rPr>
        <w:t xml:space="preserve">the </w:t>
      </w:r>
      <w:r w:rsidR="0070753A" w:rsidRPr="0070753A">
        <w:rPr>
          <w:rFonts w:asciiTheme="minorHAnsi" w:hAnsiTheme="minorHAnsi" w:cstheme="minorHAnsi"/>
          <w:szCs w:val="24"/>
          <w:lang w:val="en-US"/>
        </w:rPr>
        <w:t xml:space="preserve">electoral rules do not provide adequate access to the electoral process for a significant number of persons with disabilities. </w:t>
      </w:r>
      <w:r w:rsidR="00966F69" w:rsidRPr="00966F69">
        <w:rPr>
          <w:rFonts w:asciiTheme="minorHAnsi" w:hAnsiTheme="minorHAnsi" w:cstheme="minorHAnsi"/>
          <w:szCs w:val="24"/>
          <w:lang w:val="en-US"/>
        </w:rPr>
        <w:t xml:space="preserve">Adequate conditions have not been created for these vulnerable </w:t>
      </w:r>
      <w:r w:rsidR="00966F69">
        <w:rPr>
          <w:rFonts w:asciiTheme="minorHAnsi" w:hAnsiTheme="minorHAnsi" w:cstheme="minorHAnsi"/>
          <w:szCs w:val="24"/>
          <w:lang w:val="en-US"/>
        </w:rPr>
        <w:t>persons</w:t>
      </w:r>
      <w:r w:rsidR="00966F69" w:rsidRPr="00966F69">
        <w:rPr>
          <w:rFonts w:asciiTheme="minorHAnsi" w:hAnsiTheme="minorHAnsi" w:cstheme="minorHAnsi"/>
          <w:szCs w:val="24"/>
          <w:lang w:val="en-US"/>
        </w:rPr>
        <w:t xml:space="preserve"> and the requirements of a number of international instruments to ensure universal, equal and secret </w:t>
      </w:r>
      <w:r w:rsidR="00966F69">
        <w:rPr>
          <w:rFonts w:asciiTheme="minorHAnsi" w:hAnsiTheme="minorHAnsi" w:cstheme="minorHAnsi"/>
          <w:szCs w:val="24"/>
          <w:lang w:val="en-US"/>
        </w:rPr>
        <w:t>voting</w:t>
      </w:r>
      <w:r w:rsidR="0055306F">
        <w:rPr>
          <w:rFonts w:asciiTheme="minorHAnsi" w:hAnsiTheme="minorHAnsi" w:cstheme="minorHAnsi"/>
          <w:szCs w:val="24"/>
          <w:lang w:val="en-US"/>
        </w:rPr>
        <w:t xml:space="preserve"> </w:t>
      </w:r>
      <w:r w:rsidR="00966F69" w:rsidRPr="00966F69">
        <w:rPr>
          <w:rFonts w:asciiTheme="minorHAnsi" w:hAnsiTheme="minorHAnsi" w:cstheme="minorHAnsi"/>
          <w:szCs w:val="24"/>
          <w:lang w:val="en-US"/>
        </w:rPr>
        <w:t>have not been fully met.</w:t>
      </w:r>
      <w:r w:rsidR="0070753A">
        <w:rPr>
          <w:rStyle w:val="FootnoteReference"/>
          <w:rFonts w:asciiTheme="minorHAnsi" w:hAnsiTheme="minorHAnsi" w:cstheme="minorHAnsi"/>
          <w:szCs w:val="24"/>
          <w:lang w:val="en-US"/>
        </w:rPr>
        <w:footnoteReference w:id="75"/>
      </w:r>
      <w:r w:rsidR="0070753A">
        <w:rPr>
          <w:rFonts w:asciiTheme="minorHAnsi" w:hAnsiTheme="minorHAnsi" w:cstheme="minorHAnsi"/>
          <w:szCs w:val="24"/>
          <w:lang w:val="en-US"/>
        </w:rPr>
        <w:t xml:space="preserve"> </w:t>
      </w:r>
    </w:p>
    <w:p w14:paraId="31D8A07E" w14:textId="251A5266" w:rsidR="6BE79646" w:rsidRPr="009F0E95" w:rsidRDefault="00186B44" w:rsidP="2D031D61">
      <w:pPr>
        <w:pStyle w:val="HeadingNumbered2"/>
        <w:rPr>
          <w:rFonts w:asciiTheme="minorHAnsi" w:hAnsiTheme="minorHAnsi" w:cstheme="minorHAnsi"/>
          <w:szCs w:val="24"/>
        </w:rPr>
      </w:pPr>
      <w:bookmarkStart w:id="3" w:name="_Toc152168107"/>
      <w:r w:rsidRPr="009F0E95">
        <w:rPr>
          <w:rFonts w:asciiTheme="minorHAnsi" w:hAnsiTheme="minorHAnsi" w:cstheme="minorHAnsi"/>
          <w:szCs w:val="24"/>
        </w:rPr>
        <w:t>Political participation: Promising practices</w:t>
      </w:r>
      <w:bookmarkEnd w:id="3"/>
    </w:p>
    <w:p w14:paraId="4F8E256F" w14:textId="5B56B1CA" w:rsidR="00570A8C" w:rsidRPr="006C2B79" w:rsidRDefault="00570A8C" w:rsidP="0055306F">
      <w:pPr>
        <w:pStyle w:val="FRABodyText"/>
      </w:pPr>
      <w:r>
        <w:t xml:space="preserve">Positive practices in </w:t>
      </w:r>
      <w:r w:rsidRPr="00570A8C">
        <w:t>ensuring the accessibility of the electoral process</w:t>
      </w:r>
      <w:r>
        <w:t xml:space="preserve"> can be found at the local level. </w:t>
      </w:r>
      <w:r w:rsidR="006C2B79">
        <w:t>The Municipality of Burgas (</w:t>
      </w:r>
      <w:r w:rsidR="006C2B79" w:rsidRPr="00166C77">
        <w:rPr>
          <w:i/>
          <w:lang w:val="bg-BG"/>
        </w:rPr>
        <w:t>Община Бургас</w:t>
      </w:r>
      <w:r w:rsidR="006C2B79">
        <w:rPr>
          <w:lang w:val="bg-BG"/>
        </w:rPr>
        <w:t xml:space="preserve">) </w:t>
      </w:r>
      <w:r w:rsidR="006C2B79">
        <w:t xml:space="preserve">has </w:t>
      </w:r>
      <w:r w:rsidR="00166C77">
        <w:t xml:space="preserve">taken a series of actions for </w:t>
      </w:r>
      <w:r w:rsidR="00C62237">
        <w:t xml:space="preserve">accommodating the needs of visually impaired </w:t>
      </w:r>
      <w:r w:rsidR="003E1225">
        <w:t>persons</w:t>
      </w:r>
      <w:r w:rsidR="00C62237">
        <w:t xml:space="preserve"> in the voting process. </w:t>
      </w:r>
      <w:r w:rsidR="003E1225">
        <w:t xml:space="preserve">For the last local elections, held in October 2023, the municipality launched a dedicated </w:t>
      </w:r>
      <w:r w:rsidR="006C2B79">
        <w:t>sub-section o</w:t>
      </w:r>
      <w:r w:rsidR="003E1225">
        <w:t>n</w:t>
      </w:r>
      <w:r w:rsidR="006C2B79">
        <w:t xml:space="preserve"> its website informing </w:t>
      </w:r>
      <w:r w:rsidR="003E1225">
        <w:t>visually impaired persons</w:t>
      </w:r>
      <w:r w:rsidR="006C2B79">
        <w:t xml:space="preserve"> about </w:t>
      </w:r>
      <w:r w:rsidR="00166C77">
        <w:t>the candidates.</w:t>
      </w:r>
      <w:r w:rsidR="00166C77">
        <w:rPr>
          <w:rStyle w:val="FootnoteReference"/>
        </w:rPr>
        <w:footnoteReference w:id="76"/>
      </w:r>
      <w:r w:rsidR="00166C77">
        <w:t xml:space="preserve"> </w:t>
      </w:r>
      <w:r w:rsidR="003E1225">
        <w:t>T</w:t>
      </w:r>
      <w:r w:rsidR="00166C77">
        <w:t xml:space="preserve">he list of candidates is audio described </w:t>
      </w:r>
      <w:r w:rsidR="00C62237">
        <w:t>and each candidate’s number</w:t>
      </w:r>
      <w:r w:rsidR="00166C77">
        <w:t xml:space="preserve"> in the ballot </w:t>
      </w:r>
      <w:r w:rsidR="00C62237">
        <w:t>is mentioned</w:t>
      </w:r>
      <w:r w:rsidR="00166C77">
        <w:t xml:space="preserve">. </w:t>
      </w:r>
      <w:r w:rsidR="00C62237" w:rsidRPr="003E1225">
        <w:rPr>
          <w:lang w:val="en-GB"/>
        </w:rPr>
        <w:t xml:space="preserve">Additionally, the </w:t>
      </w:r>
      <w:r w:rsidR="003E1225" w:rsidRPr="003E1225">
        <w:rPr>
          <w:lang w:val="en-GB"/>
        </w:rPr>
        <w:t>municipality</w:t>
      </w:r>
      <w:r w:rsidR="00C62237" w:rsidRPr="003E1225">
        <w:rPr>
          <w:lang w:val="en-GB"/>
        </w:rPr>
        <w:t xml:space="preserve"> organised specialised transportation</w:t>
      </w:r>
      <w:r w:rsidR="003E1225">
        <w:rPr>
          <w:lang w:val="en-GB"/>
        </w:rPr>
        <w:t xml:space="preserve"> on the election day </w:t>
      </w:r>
      <w:r w:rsidR="003E1225" w:rsidRPr="003E1225">
        <w:rPr>
          <w:lang w:val="en-GB"/>
        </w:rPr>
        <w:t xml:space="preserve">for all </w:t>
      </w:r>
      <w:r w:rsidR="003E1225">
        <w:rPr>
          <w:lang w:val="en-GB"/>
        </w:rPr>
        <w:t>persons</w:t>
      </w:r>
      <w:r w:rsidR="003E1225" w:rsidRPr="003E1225">
        <w:rPr>
          <w:lang w:val="en-GB"/>
        </w:rPr>
        <w:t xml:space="preserve"> with reduced mobility or visual disability</w:t>
      </w:r>
      <w:r w:rsidR="003E1225">
        <w:rPr>
          <w:lang w:val="en-GB"/>
        </w:rPr>
        <w:t xml:space="preserve">. The service included transportation </w:t>
      </w:r>
      <w:r w:rsidR="00C62237" w:rsidRPr="003E1225">
        <w:rPr>
          <w:lang w:val="en-GB"/>
        </w:rPr>
        <w:t>from the</w:t>
      </w:r>
      <w:r w:rsidR="003E1225">
        <w:rPr>
          <w:lang w:val="en-GB"/>
        </w:rPr>
        <w:t xml:space="preserve"> persons’</w:t>
      </w:r>
      <w:r w:rsidR="00C62237" w:rsidRPr="003E1225">
        <w:rPr>
          <w:lang w:val="en-GB"/>
        </w:rPr>
        <w:t xml:space="preserve"> homes to the polling station at the price of a </w:t>
      </w:r>
      <w:r w:rsidR="003E1225">
        <w:rPr>
          <w:lang w:val="en-GB"/>
        </w:rPr>
        <w:t xml:space="preserve">regular </w:t>
      </w:r>
      <w:r w:rsidR="00C62237" w:rsidRPr="003E1225">
        <w:rPr>
          <w:lang w:val="en-GB"/>
        </w:rPr>
        <w:t xml:space="preserve">ticket </w:t>
      </w:r>
      <w:r w:rsidR="003E1225">
        <w:rPr>
          <w:lang w:val="en-GB"/>
        </w:rPr>
        <w:t xml:space="preserve">and </w:t>
      </w:r>
      <w:r w:rsidR="003E1225">
        <w:t xml:space="preserve">could be requested </w:t>
      </w:r>
      <w:r w:rsidR="00C62237" w:rsidRPr="003E1225">
        <w:rPr>
          <w:lang w:val="en-GB"/>
        </w:rPr>
        <w:t>by phone.</w:t>
      </w:r>
      <w:r w:rsidR="00C62237">
        <w:t xml:space="preserve"> The municipal website published information </w:t>
      </w:r>
      <w:r w:rsidR="003E1225">
        <w:t>about</w:t>
      </w:r>
      <w:r w:rsidR="00C62237">
        <w:t xml:space="preserve"> all accessible polling stations and the accessibility aids they offer</w:t>
      </w:r>
      <w:r w:rsidR="003E1225">
        <w:t>ed,</w:t>
      </w:r>
      <w:r w:rsidR="00C62237">
        <w:t xml:space="preserve"> </w:t>
      </w:r>
      <w:r w:rsidR="00C62237">
        <w:lastRenderedPageBreak/>
        <w:t xml:space="preserve">so that people can </w:t>
      </w:r>
      <w:r w:rsidR="003E1225">
        <w:t>choose the</w:t>
      </w:r>
      <w:r w:rsidR="00C62237">
        <w:t xml:space="preserve"> most convenient</w:t>
      </w:r>
      <w:r w:rsidR="003E1225">
        <w:t xml:space="preserve"> for them</w:t>
      </w:r>
      <w:r w:rsidR="00C62237">
        <w:t>.</w:t>
      </w:r>
      <w:r w:rsidR="00C62237">
        <w:rPr>
          <w:rStyle w:val="FootnoteReference"/>
        </w:rPr>
        <w:footnoteReference w:id="77"/>
      </w:r>
      <w:r w:rsidR="00C62237">
        <w:t xml:space="preserve"> In addition, </w:t>
      </w:r>
      <w:r w:rsidR="003E1225">
        <w:t>on</w:t>
      </w:r>
      <w:r w:rsidR="00C62237">
        <w:t xml:space="preserve"> the election day, b</w:t>
      </w:r>
      <w:r w:rsidR="00C62237" w:rsidRPr="00C62237">
        <w:t>oards with Braille text</w:t>
      </w:r>
      <w:r w:rsidR="00EC020F">
        <w:t>,</w:t>
      </w:r>
      <w:r w:rsidR="00C62237" w:rsidRPr="00C62237">
        <w:t xml:space="preserve"> </w:t>
      </w:r>
      <w:r w:rsidR="00EC020F" w:rsidRPr="00C62237">
        <w:t>QR code</w:t>
      </w:r>
      <w:r w:rsidR="00EC020F">
        <w:t>s,</w:t>
      </w:r>
      <w:r w:rsidR="00EC020F" w:rsidRPr="00C62237">
        <w:t xml:space="preserve"> and sound information</w:t>
      </w:r>
      <w:r w:rsidR="00EC020F">
        <w:t xml:space="preserve"> </w:t>
      </w:r>
      <w:r w:rsidR="00C62237">
        <w:t xml:space="preserve">were </w:t>
      </w:r>
      <w:r w:rsidR="00C62237" w:rsidRPr="00C62237">
        <w:t xml:space="preserve">placed in front of 35 polling stations in Burgas to </w:t>
      </w:r>
      <w:r w:rsidR="00EC020F">
        <w:t>assist</w:t>
      </w:r>
      <w:r w:rsidR="00C62237" w:rsidRPr="00C62237">
        <w:t xml:space="preserve"> </w:t>
      </w:r>
      <w:r w:rsidR="00C62237">
        <w:t xml:space="preserve">visually impaired </w:t>
      </w:r>
      <w:r w:rsidR="003E1225">
        <w:t>voters</w:t>
      </w:r>
      <w:r w:rsidR="00C62237" w:rsidRPr="00C62237">
        <w:t xml:space="preserve">. </w:t>
      </w:r>
      <w:r w:rsidR="00EC020F">
        <w:rPr>
          <w:rStyle w:val="FootnoteReference"/>
        </w:rPr>
        <w:footnoteReference w:id="78"/>
      </w:r>
    </w:p>
    <w:p w14:paraId="589030C1" w14:textId="77777777" w:rsidR="00570A8C" w:rsidRDefault="00570A8C" w:rsidP="0055306F">
      <w:pPr>
        <w:pStyle w:val="FRABodyText"/>
      </w:pPr>
    </w:p>
    <w:p w14:paraId="1CD3753B" w14:textId="77777777" w:rsidR="00470E5F" w:rsidRPr="00306D1D" w:rsidRDefault="00470E5F" w:rsidP="00C468EA">
      <w:pPr>
        <w:rPr>
          <w:rFonts w:asciiTheme="minorHAnsi" w:hAnsiTheme="minorHAnsi" w:cstheme="minorHAnsi"/>
          <w:szCs w:val="24"/>
        </w:rPr>
      </w:pPr>
    </w:p>
    <w:p w14:paraId="2F3CF770" w14:textId="77777777" w:rsidR="00470E5F" w:rsidRPr="00306D1D" w:rsidRDefault="00470E5F" w:rsidP="00C468EA">
      <w:pPr>
        <w:rPr>
          <w:rFonts w:asciiTheme="minorHAnsi" w:hAnsiTheme="minorHAnsi" w:cstheme="minorHAnsi"/>
          <w:szCs w:val="24"/>
        </w:rPr>
      </w:pPr>
    </w:p>
    <w:p w14:paraId="3BD0E53C" w14:textId="77777777" w:rsidR="00470E5F" w:rsidRPr="00306D1D" w:rsidRDefault="00470E5F" w:rsidP="00C468EA">
      <w:pPr>
        <w:rPr>
          <w:rFonts w:asciiTheme="minorHAnsi" w:hAnsiTheme="minorHAnsi" w:cstheme="minorHAnsi"/>
          <w:szCs w:val="24"/>
        </w:rPr>
      </w:pPr>
    </w:p>
    <w:p w14:paraId="3A60EEE8" w14:textId="77777777" w:rsidR="00470E5F" w:rsidRPr="00306D1D" w:rsidRDefault="00470E5F" w:rsidP="00C468EA">
      <w:pPr>
        <w:rPr>
          <w:rFonts w:asciiTheme="minorHAnsi" w:hAnsiTheme="minorHAnsi" w:cstheme="minorHAnsi"/>
          <w:szCs w:val="24"/>
        </w:rPr>
      </w:pPr>
    </w:p>
    <w:p w14:paraId="029D5237" w14:textId="77777777" w:rsidR="00470E5F" w:rsidRPr="00306D1D" w:rsidRDefault="00470E5F" w:rsidP="00C468EA">
      <w:pPr>
        <w:rPr>
          <w:rFonts w:asciiTheme="minorHAnsi" w:hAnsiTheme="minorHAnsi" w:cstheme="minorHAnsi"/>
          <w:szCs w:val="24"/>
        </w:rPr>
      </w:pPr>
    </w:p>
    <w:p w14:paraId="706C73B5" w14:textId="77777777" w:rsidR="00470E5F" w:rsidRPr="00306D1D" w:rsidRDefault="00470E5F" w:rsidP="00C468EA">
      <w:pPr>
        <w:rPr>
          <w:rFonts w:asciiTheme="minorHAnsi" w:hAnsiTheme="minorHAnsi" w:cstheme="minorHAnsi"/>
          <w:szCs w:val="24"/>
        </w:rPr>
      </w:pPr>
    </w:p>
    <w:p w14:paraId="70D9B540" w14:textId="77777777" w:rsidR="00470E5F" w:rsidRPr="00306D1D" w:rsidRDefault="00470E5F" w:rsidP="00C468EA">
      <w:pPr>
        <w:rPr>
          <w:rFonts w:asciiTheme="minorHAnsi" w:hAnsiTheme="minorHAnsi" w:cstheme="minorHAnsi"/>
          <w:szCs w:val="24"/>
        </w:rPr>
      </w:pPr>
    </w:p>
    <w:p w14:paraId="670F66D3" w14:textId="77777777" w:rsidR="00586AB9" w:rsidRPr="00306D1D" w:rsidRDefault="00586AB9" w:rsidP="004512DA">
      <w:pPr>
        <w:rPr>
          <w:rFonts w:asciiTheme="minorHAnsi" w:hAnsiTheme="minorHAnsi" w:cstheme="minorHAnsi"/>
          <w:szCs w:val="24"/>
        </w:rPr>
      </w:pPr>
    </w:p>
    <w:sectPr w:rsidR="00586AB9" w:rsidRPr="00306D1D" w:rsidSect="005D6899">
      <w:footerReference w:type="first" r:id="rId18"/>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D239A" w14:textId="77777777" w:rsidR="005D6899" w:rsidRDefault="005D6899">
      <w:pPr>
        <w:spacing w:after="0" w:line="240" w:lineRule="auto"/>
      </w:pPr>
      <w:r>
        <w:separator/>
      </w:r>
    </w:p>
  </w:endnote>
  <w:endnote w:type="continuationSeparator" w:id="0">
    <w:p w14:paraId="765C9C7C" w14:textId="77777777" w:rsidR="005D6899" w:rsidRDefault="005D6899">
      <w:pPr>
        <w:spacing w:after="0" w:line="240" w:lineRule="auto"/>
      </w:pPr>
      <w:r>
        <w:continuationSeparator/>
      </w:r>
    </w:p>
  </w:endnote>
  <w:endnote w:type="continuationNotice" w:id="1">
    <w:p w14:paraId="5625D64A" w14:textId="77777777" w:rsidR="005D6899" w:rsidRDefault="005D6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2B611F" w:rsidRDefault="002B611F">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708F9BB1" w:rsidR="002B611F" w:rsidRDefault="002B61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9B2FC" w14:textId="0EDC5DB0" w:rsidR="002B611F" w:rsidRPr="00F64505" w:rsidRDefault="002B611F"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2B611F" w:rsidRDefault="002B611F">
    <w:pPr>
      <w:pStyle w:val="Footer"/>
      <w:jc w:val="right"/>
    </w:pPr>
  </w:p>
  <w:p w14:paraId="254DC3F9" w14:textId="77777777" w:rsidR="002B611F" w:rsidRDefault="002B61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73DA0755" w:rsidR="002B611F" w:rsidRDefault="002B61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972BE" w14:textId="77777777" w:rsidR="002B611F" w:rsidRDefault="002B6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1F2FC" w14:textId="77777777" w:rsidR="005D6899" w:rsidRDefault="005D6899">
      <w:pPr>
        <w:spacing w:after="0" w:line="240" w:lineRule="auto"/>
      </w:pPr>
      <w:r>
        <w:separator/>
      </w:r>
    </w:p>
  </w:footnote>
  <w:footnote w:type="continuationSeparator" w:id="0">
    <w:p w14:paraId="246FCB6A" w14:textId="77777777" w:rsidR="005D6899" w:rsidRDefault="005D6899">
      <w:pPr>
        <w:spacing w:after="0" w:line="240" w:lineRule="auto"/>
      </w:pPr>
      <w:r>
        <w:continuationSeparator/>
      </w:r>
    </w:p>
  </w:footnote>
  <w:footnote w:type="continuationNotice" w:id="1">
    <w:p w14:paraId="4D2FAF85" w14:textId="77777777" w:rsidR="005D6899" w:rsidRDefault="005D6899">
      <w:pPr>
        <w:spacing w:after="0" w:line="240" w:lineRule="auto"/>
      </w:pPr>
    </w:p>
  </w:footnote>
  <w:footnote w:id="2">
    <w:p w14:paraId="0A194C36" w14:textId="6B1A136C" w:rsidR="002B611F" w:rsidRPr="006A2988" w:rsidRDefault="002B611F">
      <w:pPr>
        <w:pStyle w:val="FootnoteText"/>
        <w:rPr>
          <w:lang w:val="en-US"/>
        </w:rPr>
      </w:pPr>
      <w:r>
        <w:rPr>
          <w:rStyle w:val="FootnoteReference"/>
        </w:rPr>
        <w:footnoteRef/>
      </w:r>
      <w:r>
        <w:t xml:space="preserve"> </w:t>
      </w:r>
      <w:r>
        <w:rPr>
          <w:lang w:val="en-US"/>
        </w:rPr>
        <w:t xml:space="preserve">Bulgaria, </w:t>
      </w:r>
      <w:r w:rsidR="00AA20AF">
        <w:rPr>
          <w:lang w:val="en-US"/>
        </w:rPr>
        <w:t>Council of Ministers (</w:t>
      </w:r>
      <w:r w:rsidR="00AA20AF">
        <w:rPr>
          <w:i/>
          <w:iCs/>
          <w:lang w:val="bg-BG"/>
        </w:rPr>
        <w:t>Министерски съвет</w:t>
      </w:r>
      <w:r w:rsidR="00AA20AF">
        <w:rPr>
          <w:lang w:val="en-US"/>
        </w:rPr>
        <w:t xml:space="preserve">) (2020), </w:t>
      </w:r>
      <w:r w:rsidRPr="006A2988">
        <w:rPr>
          <w:lang w:val="en-US"/>
        </w:rPr>
        <w:t xml:space="preserve">National Disability Strategy 2021 </w:t>
      </w:r>
      <w:r w:rsidR="00AA20AF">
        <w:rPr>
          <w:lang w:val="en-US"/>
        </w:rPr>
        <w:t>–</w:t>
      </w:r>
      <w:r w:rsidRPr="006A2988">
        <w:rPr>
          <w:lang w:val="en-US"/>
        </w:rPr>
        <w:t xml:space="preserve"> 2030</w:t>
      </w:r>
      <w:r w:rsidR="00AA20AF">
        <w:rPr>
          <w:lang w:val="en-US"/>
        </w:rPr>
        <w:t xml:space="preserve"> </w:t>
      </w:r>
      <w:r w:rsidRPr="00AA20AF">
        <w:rPr>
          <w:lang w:val="bg-BG"/>
        </w:rPr>
        <w:t>(</w:t>
      </w:r>
      <w:hyperlink r:id="rId1" w:history="1">
        <w:r w:rsidRPr="00AA20AF">
          <w:rPr>
            <w:rStyle w:val="Hyperlink"/>
            <w:i/>
            <w:lang w:val="bg-BG"/>
          </w:rPr>
          <w:t>Национална стратегия за хората с увреждания 2021 – 2030 г.</w:t>
        </w:r>
      </w:hyperlink>
      <w:r w:rsidRPr="00AA20AF">
        <w:rPr>
          <w:lang w:val="bg-BG"/>
        </w:rPr>
        <w:t>)</w:t>
      </w:r>
      <w:r>
        <w:rPr>
          <w:lang w:val="en-US"/>
        </w:rPr>
        <w:t>, 23 December 2020</w:t>
      </w:r>
      <w:r w:rsidRPr="006A2988">
        <w:rPr>
          <w:lang w:val="en-US"/>
        </w:rPr>
        <w:t>.</w:t>
      </w:r>
    </w:p>
  </w:footnote>
  <w:footnote w:id="3">
    <w:p w14:paraId="23AB355D" w14:textId="74AE94F6" w:rsidR="002B611F" w:rsidRPr="00030679" w:rsidRDefault="002B611F">
      <w:pPr>
        <w:pStyle w:val="FootnoteText"/>
        <w:rPr>
          <w:lang w:val="en-US"/>
        </w:rPr>
      </w:pPr>
      <w:r>
        <w:rPr>
          <w:rStyle w:val="FootnoteReference"/>
        </w:rPr>
        <w:footnoteRef/>
      </w:r>
      <w:r>
        <w:t xml:space="preserve"> </w:t>
      </w:r>
      <w:r>
        <w:rPr>
          <w:lang w:val="en-US"/>
        </w:rPr>
        <w:t xml:space="preserve">Bulgaria, Constitution of the Republic of Bulgaria </w:t>
      </w:r>
      <w:r w:rsidRPr="00AA20AF">
        <w:rPr>
          <w:lang w:val="bg-BG"/>
        </w:rPr>
        <w:t>(</w:t>
      </w:r>
      <w:hyperlink r:id="rId2" w:history="1">
        <w:r w:rsidRPr="00AA20AF">
          <w:rPr>
            <w:rStyle w:val="Hyperlink"/>
            <w:i/>
            <w:lang w:val="bg-BG"/>
          </w:rPr>
          <w:t>Конституция на Република България</w:t>
        </w:r>
      </w:hyperlink>
      <w:r w:rsidRPr="00AA20AF">
        <w:rPr>
          <w:lang w:val="bg-BG"/>
        </w:rPr>
        <w:t>)</w:t>
      </w:r>
      <w:r>
        <w:rPr>
          <w:lang w:val="bg-BG"/>
        </w:rPr>
        <w:t xml:space="preserve">, 13 </w:t>
      </w:r>
      <w:r>
        <w:rPr>
          <w:lang w:val="en-US"/>
        </w:rPr>
        <w:t xml:space="preserve">July 1991, </w:t>
      </w:r>
      <w:r w:rsidR="00AA20AF">
        <w:rPr>
          <w:lang w:val="en-US"/>
        </w:rPr>
        <w:t xml:space="preserve">last amended 18 December 2015, </w:t>
      </w:r>
      <w:r>
        <w:rPr>
          <w:lang w:val="en-US"/>
        </w:rPr>
        <w:t>Art. 42.</w:t>
      </w:r>
    </w:p>
  </w:footnote>
  <w:footnote w:id="4">
    <w:p w14:paraId="1A7D865A" w14:textId="0276171F" w:rsidR="002B611F" w:rsidRPr="009266BD"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C55AF7">
        <w:rPr>
          <w:lang w:val="bg-BG"/>
        </w:rPr>
        <w:t>(</w:t>
      </w:r>
      <w:hyperlink r:id="rId3" w:history="1">
        <w:r w:rsidRPr="00C55AF7">
          <w:rPr>
            <w:rStyle w:val="Hyperlink"/>
            <w:i/>
            <w:lang w:val="bg-BG"/>
          </w:rPr>
          <w:t>Изборен кодекс</w:t>
        </w:r>
      </w:hyperlink>
      <w:r w:rsidRPr="00C55AF7">
        <w:rPr>
          <w:lang w:val="bg-BG"/>
        </w:rPr>
        <w:t>)</w:t>
      </w:r>
      <w:r>
        <w:rPr>
          <w:lang w:val="en-US"/>
        </w:rPr>
        <w:t>, 5 March 2014</w:t>
      </w:r>
      <w:r w:rsidR="00C55AF7">
        <w:rPr>
          <w:lang w:val="en-US"/>
        </w:rPr>
        <w:t>,</w:t>
      </w:r>
      <w:r>
        <w:rPr>
          <w:lang w:val="en-US"/>
        </w:rPr>
        <w:t xml:space="preserve"> last amended 30 December 2022, Art.</w:t>
      </w:r>
      <w:r w:rsidRPr="009266BD">
        <w:t xml:space="preserve"> </w:t>
      </w:r>
      <w:r>
        <w:t>38 (2).</w:t>
      </w:r>
    </w:p>
  </w:footnote>
  <w:footnote w:id="5">
    <w:p w14:paraId="208465D2" w14:textId="4128D335" w:rsidR="002B611F" w:rsidRPr="00D8204A"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C55AF7">
        <w:rPr>
          <w:lang w:val="bg-BG"/>
        </w:rPr>
        <w:t>(</w:t>
      </w:r>
      <w:hyperlink r:id="rId4" w:history="1">
        <w:r w:rsidRPr="00C55AF7">
          <w:rPr>
            <w:rStyle w:val="Hyperlink"/>
            <w:i/>
            <w:lang w:val="bg-BG"/>
          </w:rPr>
          <w:t>Изборен кодекс</w:t>
        </w:r>
      </w:hyperlink>
      <w:r w:rsidRPr="00C55AF7">
        <w:rPr>
          <w:lang w:val="bg-BG"/>
        </w:rPr>
        <w:t>),</w:t>
      </w:r>
      <w:r>
        <w:rPr>
          <w:lang w:val="en-US"/>
        </w:rPr>
        <w:t xml:space="preserve"> 5 March 2014</w:t>
      </w:r>
      <w:r w:rsidR="00C55AF7">
        <w:rPr>
          <w:lang w:val="en-US"/>
        </w:rPr>
        <w:t>,</w:t>
      </w:r>
      <w:r>
        <w:rPr>
          <w:lang w:val="en-US"/>
        </w:rPr>
        <w:t xml:space="preserve"> last amended 30 December 2022, Art.</w:t>
      </w:r>
      <w:r w:rsidRPr="009266BD">
        <w:t xml:space="preserve"> </w:t>
      </w:r>
      <w:r>
        <w:t>24 (2).</w:t>
      </w:r>
    </w:p>
  </w:footnote>
  <w:footnote w:id="6">
    <w:p w14:paraId="1E1606DC" w14:textId="335528E6" w:rsidR="002B611F" w:rsidRPr="00615FC0"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C55AF7">
        <w:rPr>
          <w:lang w:val="bg-BG"/>
        </w:rPr>
        <w:t>(</w:t>
      </w:r>
      <w:hyperlink r:id="rId5" w:history="1">
        <w:r w:rsidRPr="00C55AF7">
          <w:rPr>
            <w:rStyle w:val="Hyperlink"/>
            <w:i/>
            <w:lang w:val="bg-BG"/>
          </w:rPr>
          <w:t>Изборен кодекс</w:t>
        </w:r>
      </w:hyperlink>
      <w:r w:rsidRPr="00C55AF7">
        <w:rPr>
          <w:lang w:val="bg-BG"/>
        </w:rPr>
        <w:t>)</w:t>
      </w:r>
      <w:r>
        <w:rPr>
          <w:lang w:val="en-US"/>
        </w:rPr>
        <w:t>, 5 March 2014</w:t>
      </w:r>
      <w:r w:rsidR="00C55AF7">
        <w:rPr>
          <w:lang w:val="en-US"/>
        </w:rPr>
        <w:t>,</w:t>
      </w:r>
      <w:r>
        <w:rPr>
          <w:lang w:val="en-US"/>
        </w:rPr>
        <w:t xml:space="preserve"> last amended 30 December 2022, Art.</w:t>
      </w:r>
      <w:r w:rsidRPr="009266BD">
        <w:t xml:space="preserve"> </w:t>
      </w:r>
      <w:r>
        <w:t>36.</w:t>
      </w:r>
    </w:p>
  </w:footnote>
  <w:footnote w:id="7">
    <w:p w14:paraId="00056F14" w14:textId="3593F0D7" w:rsidR="002B611F" w:rsidRPr="00CE1546" w:rsidRDefault="002B611F" w:rsidP="00CE1546">
      <w:pPr>
        <w:pStyle w:val="FootnoteText"/>
        <w:rPr>
          <w:lang w:val="en-US"/>
        </w:rPr>
      </w:pPr>
      <w:r>
        <w:rPr>
          <w:rStyle w:val="FootnoteReference"/>
        </w:rPr>
        <w:footnoteRef/>
      </w:r>
      <w:r>
        <w:t xml:space="preserve"> </w:t>
      </w:r>
      <w:r w:rsidR="00C55AF7">
        <w:rPr>
          <w:lang w:val="en-US"/>
        </w:rPr>
        <w:t xml:space="preserve">Bulgaria, Persons with </w:t>
      </w:r>
      <w:r>
        <w:rPr>
          <w:lang w:val="en-US"/>
        </w:rPr>
        <w:t>Disabilit</w:t>
      </w:r>
      <w:r w:rsidR="00C55AF7">
        <w:rPr>
          <w:lang w:val="en-US"/>
        </w:rPr>
        <w:t>ies</w:t>
      </w:r>
      <w:r>
        <w:rPr>
          <w:lang w:val="en-US"/>
        </w:rPr>
        <w:t xml:space="preserve"> Act (</w:t>
      </w:r>
      <w:hyperlink r:id="rId6" w:history="1">
        <w:r w:rsidRPr="00CE1546">
          <w:rPr>
            <w:rStyle w:val="Hyperlink"/>
            <w:i/>
            <w:lang w:val="bg-BG"/>
          </w:rPr>
          <w:t>Закон за хората с увреждания</w:t>
        </w:r>
      </w:hyperlink>
      <w:r>
        <w:rPr>
          <w:lang w:val="bg-BG"/>
        </w:rPr>
        <w:t>)</w:t>
      </w:r>
      <w:r w:rsidR="00C55AF7">
        <w:rPr>
          <w:lang w:val="en-US"/>
        </w:rPr>
        <w:t xml:space="preserve">, </w:t>
      </w:r>
      <w:r w:rsidR="00C55AF7">
        <w:rPr>
          <w:lang w:val="bg-BG"/>
        </w:rPr>
        <w:t xml:space="preserve">18 </w:t>
      </w:r>
      <w:r w:rsidR="00C55AF7">
        <w:rPr>
          <w:lang w:val="en-US"/>
        </w:rPr>
        <w:t xml:space="preserve">December 2018, last amended 25 January 2023, additional provisions, </w:t>
      </w:r>
      <w:r w:rsidR="00C55AF7" w:rsidRPr="00C55AF7">
        <w:rPr>
          <w:lang w:val="en-US"/>
        </w:rPr>
        <w:t>§ 1</w:t>
      </w:r>
      <w:r w:rsidR="005E5557">
        <w:rPr>
          <w:lang w:val="en-US"/>
        </w:rPr>
        <w:t xml:space="preserve"> </w:t>
      </w:r>
      <w:r w:rsidR="00C55AF7">
        <w:rPr>
          <w:lang w:val="en-US"/>
        </w:rPr>
        <w:t>(2).</w:t>
      </w:r>
    </w:p>
  </w:footnote>
  <w:footnote w:id="8">
    <w:p w14:paraId="6F7B56D3" w14:textId="470F6B4B" w:rsidR="002B611F" w:rsidRPr="00386F51" w:rsidRDefault="002B611F" w:rsidP="00386F51">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5E5557">
        <w:rPr>
          <w:lang w:val="bg-BG"/>
        </w:rPr>
        <w:t>(</w:t>
      </w:r>
      <w:hyperlink r:id="rId7" w:history="1">
        <w:r w:rsidRPr="005E5557">
          <w:rPr>
            <w:rStyle w:val="Hyperlink"/>
            <w:i/>
            <w:lang w:val="bg-BG"/>
          </w:rPr>
          <w:t>Изборен кодекс</w:t>
        </w:r>
      </w:hyperlink>
      <w:r w:rsidRPr="005E5557">
        <w:rPr>
          <w:lang w:val="bg-BG"/>
        </w:rPr>
        <w:t>)</w:t>
      </w:r>
      <w:r>
        <w:rPr>
          <w:lang w:val="en-US"/>
        </w:rPr>
        <w:t>, 5 March 2014</w:t>
      </w:r>
      <w:r w:rsidR="005E5557">
        <w:rPr>
          <w:lang w:val="en-US"/>
        </w:rPr>
        <w:t>,</w:t>
      </w:r>
      <w:r>
        <w:rPr>
          <w:lang w:val="en-US"/>
        </w:rPr>
        <w:t xml:space="preserve"> last amended 30 December 2022, Art.</w:t>
      </w:r>
      <w:r w:rsidRPr="009266BD">
        <w:t xml:space="preserve"> </w:t>
      </w:r>
      <w:r>
        <w:t>37.</w:t>
      </w:r>
    </w:p>
  </w:footnote>
  <w:footnote w:id="9">
    <w:p w14:paraId="2E7CD45F" w14:textId="6F964BD5" w:rsidR="002B611F" w:rsidRPr="00F160E5"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5E5557">
        <w:rPr>
          <w:lang w:val="bg-BG"/>
        </w:rPr>
        <w:t>(</w:t>
      </w:r>
      <w:hyperlink r:id="rId8" w:history="1">
        <w:r w:rsidRPr="005E5557">
          <w:rPr>
            <w:rStyle w:val="Hyperlink"/>
            <w:i/>
            <w:lang w:val="bg-BG"/>
          </w:rPr>
          <w:t>Изборен кодекс</w:t>
        </w:r>
      </w:hyperlink>
      <w:r w:rsidRPr="005E5557">
        <w:rPr>
          <w:lang w:val="bg-BG"/>
        </w:rPr>
        <w:t>)</w:t>
      </w:r>
      <w:r>
        <w:rPr>
          <w:lang w:val="en-US"/>
        </w:rPr>
        <w:t>, 5 March 2014</w:t>
      </w:r>
      <w:r w:rsidR="005E5557">
        <w:rPr>
          <w:lang w:val="en-US"/>
        </w:rPr>
        <w:t>,</w:t>
      </w:r>
      <w:r>
        <w:rPr>
          <w:lang w:val="en-US"/>
        </w:rPr>
        <w:t xml:space="preserve"> last amended 30 December 2022, Art.</w:t>
      </w:r>
      <w:r w:rsidRPr="009266BD">
        <w:t xml:space="preserve"> </w:t>
      </w:r>
      <w:r>
        <w:t>37 (3a).</w:t>
      </w:r>
    </w:p>
  </w:footnote>
  <w:footnote w:id="10">
    <w:p w14:paraId="18FAF9A8" w14:textId="69A9595C" w:rsidR="002B611F" w:rsidRPr="00F160E5" w:rsidRDefault="002B611F" w:rsidP="00F160E5">
      <w:pPr>
        <w:pStyle w:val="FootnoteText"/>
        <w:rPr>
          <w:lang w:val="en-US"/>
        </w:rPr>
      </w:pPr>
      <w:r>
        <w:rPr>
          <w:rStyle w:val="FootnoteReference"/>
        </w:rPr>
        <w:footnoteRef/>
      </w:r>
      <w:r>
        <w:t xml:space="preserve"> Bulgaria, Central Electoral Commission (</w:t>
      </w:r>
      <w:r w:rsidRPr="00F160E5">
        <w:rPr>
          <w:i/>
          <w:lang w:val="bg-BG"/>
        </w:rPr>
        <w:t>Централна избирателна комисия</w:t>
      </w:r>
      <w:r>
        <w:rPr>
          <w:lang w:val="bg-BG"/>
        </w:rPr>
        <w:t xml:space="preserve">), </w:t>
      </w:r>
      <w:r>
        <w:rPr>
          <w:lang w:val="en-US"/>
        </w:rPr>
        <w:t>Decision No 2599-</w:t>
      </w:r>
      <w:r>
        <w:rPr>
          <w:lang w:val="bg-BG"/>
        </w:rPr>
        <w:t xml:space="preserve">НС </w:t>
      </w:r>
      <w:r>
        <w:rPr>
          <w:lang w:val="en-US"/>
        </w:rPr>
        <w:t xml:space="preserve">Sofia </w:t>
      </w:r>
      <w:r w:rsidRPr="004F1BFA">
        <w:rPr>
          <w:lang w:val="bg-BG"/>
        </w:rPr>
        <w:t>(</w:t>
      </w:r>
      <w:hyperlink r:id="rId9" w:history="1">
        <w:r w:rsidRPr="004F1BFA">
          <w:rPr>
            <w:rStyle w:val="Hyperlink"/>
            <w:i/>
            <w:lang w:val="bg-BG"/>
          </w:rPr>
          <w:t>Решение № 2599-НС София</w:t>
        </w:r>
      </w:hyperlink>
      <w:r w:rsidRPr="004F1BFA">
        <w:rPr>
          <w:lang w:val="bg-BG"/>
        </w:rPr>
        <w:t>)</w:t>
      </w:r>
      <w:r>
        <w:rPr>
          <w:lang w:val="en-US"/>
        </w:rPr>
        <w:t>, 5 October 2023.</w:t>
      </w:r>
    </w:p>
  </w:footnote>
  <w:footnote w:id="11">
    <w:p w14:paraId="48378B09" w14:textId="2BD4A329" w:rsidR="002B611F" w:rsidRPr="001D1BA3"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A765B3">
        <w:rPr>
          <w:lang w:val="bg-BG"/>
        </w:rPr>
        <w:t>(</w:t>
      </w:r>
      <w:hyperlink r:id="rId10" w:history="1">
        <w:r w:rsidRPr="00A765B3">
          <w:rPr>
            <w:rStyle w:val="Hyperlink"/>
            <w:i/>
            <w:lang w:val="bg-BG"/>
          </w:rPr>
          <w:t>Изборен кодекс</w:t>
        </w:r>
      </w:hyperlink>
      <w:r w:rsidRPr="00A765B3">
        <w:rPr>
          <w:lang w:val="bg-BG"/>
        </w:rPr>
        <w:t>)</w:t>
      </w:r>
      <w:r>
        <w:rPr>
          <w:lang w:val="en-US"/>
        </w:rPr>
        <w:t>, 5 March 2014</w:t>
      </w:r>
      <w:r w:rsidR="00A765B3">
        <w:rPr>
          <w:lang w:val="en-US"/>
        </w:rPr>
        <w:t>,</w:t>
      </w:r>
      <w:r>
        <w:rPr>
          <w:lang w:val="en-US"/>
        </w:rPr>
        <w:t xml:space="preserve"> last amended 30 December 2022, Art.</w:t>
      </w:r>
      <w:r w:rsidRPr="009266BD">
        <w:t xml:space="preserve"> </w:t>
      </w:r>
      <w:r>
        <w:t>9.</w:t>
      </w:r>
    </w:p>
  </w:footnote>
  <w:footnote w:id="12">
    <w:p w14:paraId="0C39A897" w14:textId="1111E332" w:rsidR="002B611F" w:rsidRPr="004F1CEA" w:rsidRDefault="002B611F">
      <w:pPr>
        <w:pStyle w:val="FootnoteText"/>
        <w:rPr>
          <w:lang w:val="en-US"/>
        </w:rPr>
      </w:pPr>
      <w:r>
        <w:rPr>
          <w:rStyle w:val="FootnoteReference"/>
        </w:rPr>
        <w:footnoteRef/>
      </w:r>
      <w:r>
        <w:t xml:space="preserve"> </w:t>
      </w:r>
      <w:r w:rsidRPr="004F1CEA">
        <w:t>Bulgaria, Central Electoral Commission (</w:t>
      </w:r>
      <w:r w:rsidRPr="005626D4">
        <w:rPr>
          <w:i/>
          <w:lang w:val="bg-BG"/>
        </w:rPr>
        <w:t>Централна избирателна комисия</w:t>
      </w:r>
      <w:r w:rsidRPr="004F1CEA">
        <w:t>), Decision No 2</w:t>
      </w:r>
      <w:r>
        <w:t>666</w:t>
      </w:r>
      <w:r w:rsidRPr="004F1CEA">
        <w:t>-</w:t>
      </w:r>
      <w:r>
        <w:rPr>
          <w:lang w:val="bg-BG"/>
        </w:rPr>
        <w:t>МИ</w:t>
      </w:r>
      <w:r w:rsidRPr="004F1CEA">
        <w:t xml:space="preserve"> Sofia </w:t>
      </w:r>
      <w:r w:rsidRPr="005626D4">
        <w:rPr>
          <w:lang w:val="bg-BG"/>
        </w:rPr>
        <w:t>(</w:t>
      </w:r>
      <w:hyperlink r:id="rId11" w:history="1">
        <w:r w:rsidRPr="005626D4">
          <w:rPr>
            <w:rStyle w:val="Hyperlink"/>
            <w:i/>
            <w:lang w:val="bg-BG"/>
          </w:rPr>
          <w:t>Решение № 2666-МИ София</w:t>
        </w:r>
      </w:hyperlink>
      <w:r w:rsidR="005626D4">
        <w:rPr>
          <w:lang w:val="en-US"/>
        </w:rPr>
        <w:t>), 1</w:t>
      </w:r>
      <w:r>
        <w:rPr>
          <w:lang w:val="bg-BG"/>
        </w:rPr>
        <w:t>3</w:t>
      </w:r>
      <w:r w:rsidRPr="004F1CEA">
        <w:t xml:space="preserve"> October 2023.</w:t>
      </w:r>
    </w:p>
  </w:footnote>
  <w:footnote w:id="13">
    <w:p w14:paraId="3E38661C" w14:textId="7251AA61" w:rsidR="002B611F" w:rsidRPr="001A4965"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AE7130">
        <w:rPr>
          <w:lang w:val="bg-BG"/>
        </w:rPr>
        <w:t>(</w:t>
      </w:r>
      <w:hyperlink r:id="rId12" w:history="1">
        <w:r w:rsidRPr="00AE7130">
          <w:rPr>
            <w:rStyle w:val="Hyperlink"/>
            <w:i/>
            <w:lang w:val="bg-BG"/>
          </w:rPr>
          <w:t>Изборен кодекс</w:t>
        </w:r>
      </w:hyperlink>
      <w:r w:rsidRPr="00AE7130">
        <w:rPr>
          <w:lang w:val="bg-BG"/>
        </w:rPr>
        <w:t>)</w:t>
      </w:r>
      <w:r>
        <w:rPr>
          <w:lang w:val="en-US"/>
        </w:rPr>
        <w:t>, 5 March 2014</w:t>
      </w:r>
      <w:r w:rsidR="00AE7130">
        <w:rPr>
          <w:lang w:val="en-US"/>
        </w:rPr>
        <w:t>,</w:t>
      </w:r>
      <w:r>
        <w:rPr>
          <w:lang w:val="en-US"/>
        </w:rPr>
        <w:t xml:space="preserve"> last amended 30 December 2022, Art.</w:t>
      </w:r>
      <w:r w:rsidRPr="009266BD">
        <w:t xml:space="preserve"> </w:t>
      </w:r>
      <w:r>
        <w:t>236.</w:t>
      </w:r>
    </w:p>
  </w:footnote>
  <w:footnote w:id="14">
    <w:p w14:paraId="22DD0A28" w14:textId="7396CD5D" w:rsidR="002B611F" w:rsidRPr="00D863E7" w:rsidRDefault="002B611F" w:rsidP="00D863E7">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AE7130">
        <w:rPr>
          <w:lang w:val="bg-BG"/>
        </w:rPr>
        <w:t>(</w:t>
      </w:r>
      <w:hyperlink r:id="rId13" w:history="1">
        <w:r w:rsidRPr="00AE7130">
          <w:rPr>
            <w:rStyle w:val="Hyperlink"/>
            <w:i/>
            <w:lang w:val="bg-BG"/>
          </w:rPr>
          <w:t>Изборен кодекс</w:t>
        </w:r>
      </w:hyperlink>
      <w:r w:rsidRPr="00AE7130">
        <w:rPr>
          <w:lang w:val="bg-BG"/>
        </w:rPr>
        <w:t>)</w:t>
      </w:r>
      <w:r>
        <w:rPr>
          <w:lang w:val="en-US"/>
        </w:rPr>
        <w:t>, 5 March 2014</w:t>
      </w:r>
      <w:r w:rsidR="00AE7130">
        <w:rPr>
          <w:lang w:val="en-US"/>
        </w:rPr>
        <w:t>,</w:t>
      </w:r>
      <w:r>
        <w:rPr>
          <w:lang w:val="en-US"/>
        </w:rPr>
        <w:t xml:space="preserve"> last amended 30 December 2022, Art.</w:t>
      </w:r>
      <w:r w:rsidRPr="009266BD">
        <w:t xml:space="preserve"> </w:t>
      </w:r>
      <w:r>
        <w:t>236.</w:t>
      </w:r>
    </w:p>
  </w:footnote>
  <w:footnote w:id="15">
    <w:p w14:paraId="63305CFE" w14:textId="700D5BB5" w:rsidR="00AE7130" w:rsidRPr="00472B79" w:rsidRDefault="00AE7130" w:rsidP="00AE7130">
      <w:pPr>
        <w:pStyle w:val="FootnoteText"/>
        <w:rPr>
          <w:lang w:val="en-US"/>
        </w:rPr>
      </w:pPr>
      <w:r>
        <w:rPr>
          <w:rStyle w:val="FootnoteReference"/>
        </w:rPr>
        <w:footnoteRef/>
      </w:r>
      <w:r>
        <w:t xml:space="preserve"> </w:t>
      </w:r>
      <w:r w:rsidRPr="00472B79">
        <w:t>Bulgaria, Central Electoral Commission (</w:t>
      </w:r>
      <w:r w:rsidRPr="009959EA">
        <w:rPr>
          <w:i/>
          <w:lang w:val="bg-BG"/>
        </w:rPr>
        <w:t>Централна избирателна комисия</w:t>
      </w:r>
      <w:r w:rsidRPr="00472B79">
        <w:t>), Decision No 2</w:t>
      </w:r>
      <w:r>
        <w:t>545</w:t>
      </w:r>
      <w:r w:rsidRPr="00472B79">
        <w:t xml:space="preserve">-МИ Sofia </w:t>
      </w:r>
      <w:r w:rsidRPr="009959EA">
        <w:rPr>
          <w:lang w:val="bg-BG"/>
        </w:rPr>
        <w:t>(</w:t>
      </w:r>
      <w:hyperlink r:id="rId14" w:history="1">
        <w:r w:rsidRPr="009959EA">
          <w:rPr>
            <w:rStyle w:val="Hyperlink"/>
            <w:i/>
            <w:lang w:val="bg-BG"/>
          </w:rPr>
          <w:t>Решение № 2545-МИ София</w:t>
        </w:r>
      </w:hyperlink>
      <w:r w:rsidRPr="009959EA">
        <w:rPr>
          <w:lang w:val="bg-BG"/>
        </w:rPr>
        <w:t>)</w:t>
      </w:r>
      <w:r w:rsidRPr="00472B79">
        <w:t xml:space="preserve">, </w:t>
      </w:r>
      <w:r>
        <w:rPr>
          <w:lang w:val="bg-BG"/>
        </w:rPr>
        <w:t>29</w:t>
      </w:r>
      <w:r w:rsidRPr="00472B79">
        <w:t xml:space="preserve"> </w:t>
      </w:r>
      <w:r>
        <w:rPr>
          <w:lang w:val="en-US"/>
        </w:rPr>
        <w:t>September</w:t>
      </w:r>
      <w:r w:rsidRPr="00472B79">
        <w:t xml:space="preserve"> 2023.</w:t>
      </w:r>
    </w:p>
  </w:footnote>
  <w:footnote w:id="16">
    <w:p w14:paraId="305857FE" w14:textId="6253A43D" w:rsidR="002B611F" w:rsidRPr="001A4965" w:rsidRDefault="002B611F">
      <w:pPr>
        <w:pStyle w:val="FootnoteText"/>
        <w:rPr>
          <w:lang w:val="en-US"/>
        </w:rPr>
      </w:pPr>
      <w:r>
        <w:rPr>
          <w:rStyle w:val="FootnoteReference"/>
        </w:rPr>
        <w:footnoteRef/>
      </w:r>
      <w:r>
        <w:t xml:space="preserve"> </w:t>
      </w:r>
      <w:r w:rsidR="00F95ECB">
        <w:t xml:space="preserve">Bulgaria, </w:t>
      </w:r>
      <w:r w:rsidR="00F95ECB" w:rsidRPr="00733DF5">
        <w:rPr>
          <w:lang w:val="en-US"/>
        </w:rPr>
        <w:t>Ombudsman of the Republic of Bulgaria (</w:t>
      </w:r>
      <w:r w:rsidR="00F95ECB" w:rsidRPr="00F95ECB">
        <w:rPr>
          <w:i/>
          <w:lang w:val="bg-BG"/>
        </w:rPr>
        <w:t>Омбудсман на Република България</w:t>
      </w:r>
      <w:r w:rsidR="00F95ECB" w:rsidRPr="00733DF5">
        <w:rPr>
          <w:lang w:val="en-US"/>
        </w:rPr>
        <w:t>)</w:t>
      </w:r>
      <w:r w:rsidR="00F95ECB">
        <w:rPr>
          <w:lang w:val="en-US"/>
        </w:rPr>
        <w:t xml:space="preserve">, </w:t>
      </w:r>
      <w:r>
        <w:rPr>
          <w:lang w:val="en-US"/>
        </w:rPr>
        <w:t>Letter No 74-14 to the Center for the Study of Democracy</w:t>
      </w:r>
      <w:r w:rsidR="00F95ECB">
        <w:rPr>
          <w:lang w:val="en-US"/>
        </w:rPr>
        <w:t>, 21 November 2023</w:t>
      </w:r>
      <w:r>
        <w:rPr>
          <w:lang w:val="en-US"/>
        </w:rPr>
        <w:t>.</w:t>
      </w:r>
    </w:p>
  </w:footnote>
  <w:footnote w:id="17">
    <w:p w14:paraId="4F193A67" w14:textId="4416F252" w:rsidR="002B611F" w:rsidRPr="00EE2654"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F95ECB">
        <w:rPr>
          <w:lang w:val="bg-BG"/>
        </w:rPr>
        <w:t>(</w:t>
      </w:r>
      <w:hyperlink r:id="rId15" w:history="1">
        <w:r w:rsidRPr="00F95ECB">
          <w:rPr>
            <w:rStyle w:val="Hyperlink"/>
            <w:i/>
            <w:lang w:val="bg-BG"/>
          </w:rPr>
          <w:t>Изборен кодекс</w:t>
        </w:r>
      </w:hyperlink>
      <w:r w:rsidRPr="00F95ECB">
        <w:rPr>
          <w:lang w:val="bg-BG"/>
        </w:rPr>
        <w:t>)</w:t>
      </w:r>
      <w:r>
        <w:rPr>
          <w:lang w:val="en-US"/>
        </w:rPr>
        <w:t>, 5 March 2014</w:t>
      </w:r>
      <w:r w:rsidR="00F95ECB">
        <w:rPr>
          <w:lang w:val="en-US"/>
        </w:rPr>
        <w:t>,</w:t>
      </w:r>
      <w:r>
        <w:rPr>
          <w:lang w:val="en-US"/>
        </w:rPr>
        <w:t xml:space="preserve"> last amended 30 December 2022, Art.</w:t>
      </w:r>
      <w:r w:rsidRPr="009266BD">
        <w:t xml:space="preserve"> </w:t>
      </w:r>
      <w:r>
        <w:t>39.</w:t>
      </w:r>
    </w:p>
  </w:footnote>
  <w:footnote w:id="18">
    <w:p w14:paraId="76377674" w14:textId="40EEDFB7" w:rsidR="002B611F" w:rsidRPr="002B611F" w:rsidRDefault="002B611F">
      <w:pPr>
        <w:pStyle w:val="FootnoteText"/>
        <w:rPr>
          <w:lang w:val="en-US"/>
        </w:rPr>
      </w:pPr>
      <w:r>
        <w:rPr>
          <w:rStyle w:val="FootnoteReference"/>
        </w:rPr>
        <w:footnoteRef/>
      </w:r>
      <w:r>
        <w:t xml:space="preserve"> </w:t>
      </w:r>
      <w:r>
        <w:rPr>
          <w:lang w:val="en-US"/>
        </w:rPr>
        <w:t xml:space="preserve">For more information, see the </w:t>
      </w:r>
      <w:hyperlink r:id="rId16" w:history="1">
        <w:r w:rsidRPr="002B611F">
          <w:rPr>
            <w:rStyle w:val="Hyperlink"/>
            <w:lang w:val="en-US"/>
          </w:rPr>
          <w:t>website</w:t>
        </w:r>
      </w:hyperlink>
      <w:r w:rsidR="0087751E">
        <w:rPr>
          <w:lang w:val="en-US"/>
        </w:rPr>
        <w:t xml:space="preserve"> of the Central Electoral Commission.</w:t>
      </w:r>
    </w:p>
  </w:footnote>
  <w:footnote w:id="19">
    <w:p w14:paraId="1619A99F" w14:textId="5895696A" w:rsidR="0087751E" w:rsidRPr="003B70EA" w:rsidRDefault="0087751E" w:rsidP="0087751E">
      <w:pPr>
        <w:pStyle w:val="FootnoteText"/>
        <w:rPr>
          <w:lang w:val="bg-BG"/>
        </w:rPr>
      </w:pPr>
      <w:r>
        <w:rPr>
          <w:rStyle w:val="FootnoteReference"/>
        </w:rPr>
        <w:footnoteRef/>
      </w:r>
      <w:r>
        <w:t xml:space="preserve"> Bulgaria, </w:t>
      </w:r>
      <w:r w:rsidRPr="003B70EA">
        <w:t xml:space="preserve">Regulation on the general requirements for information systems, registers and electronic administrative services </w:t>
      </w:r>
      <w:r w:rsidRPr="0087751E">
        <w:rPr>
          <w:lang w:val="bg-BG"/>
        </w:rPr>
        <w:t>(</w:t>
      </w:r>
      <w:hyperlink r:id="rId17" w:history="1">
        <w:r w:rsidRPr="0087751E">
          <w:rPr>
            <w:rStyle w:val="Hyperlink"/>
            <w:i/>
            <w:lang w:val="bg-BG"/>
          </w:rPr>
          <w:t>Наредба за общите изисквания към информационните системи, регистрите и електронните административни услуги</w:t>
        </w:r>
      </w:hyperlink>
      <w:r w:rsidRPr="0087751E">
        <w:rPr>
          <w:lang w:val="bg-BG"/>
        </w:rPr>
        <w:t>)</w:t>
      </w:r>
      <w:r>
        <w:t>, 17 January 2017, last amended 24 June 2022.</w:t>
      </w:r>
    </w:p>
  </w:footnote>
  <w:footnote w:id="20">
    <w:p w14:paraId="3B8C2F05" w14:textId="264FB348" w:rsidR="002B611F" w:rsidRPr="00342F3A" w:rsidRDefault="002B611F" w:rsidP="002B611F">
      <w:pPr>
        <w:pStyle w:val="FootnoteText"/>
        <w:rPr>
          <w:lang w:val="en-US"/>
        </w:rPr>
      </w:pPr>
      <w:r>
        <w:rPr>
          <w:rStyle w:val="FootnoteReference"/>
        </w:rPr>
        <w:footnoteRef/>
      </w:r>
      <w:r>
        <w:t xml:space="preserve"> </w:t>
      </w:r>
      <w:r>
        <w:rPr>
          <w:lang w:val="en-US"/>
        </w:rPr>
        <w:t xml:space="preserve">For more information, see the </w:t>
      </w:r>
      <w:hyperlink r:id="rId18" w:history="1">
        <w:r w:rsidRPr="00342F3A">
          <w:rPr>
            <w:rStyle w:val="Hyperlink"/>
            <w:lang w:val="en-US"/>
          </w:rPr>
          <w:t>website</w:t>
        </w:r>
      </w:hyperlink>
      <w:r w:rsidR="0087751E">
        <w:rPr>
          <w:lang w:val="en-US"/>
        </w:rPr>
        <w:t xml:space="preserve"> of Web Accessibility Initiative</w:t>
      </w:r>
    </w:p>
  </w:footnote>
  <w:footnote w:id="21">
    <w:p w14:paraId="0BF4AED5" w14:textId="555B0B3B" w:rsidR="002B611F" w:rsidRPr="00342F3A" w:rsidRDefault="002B611F" w:rsidP="002B611F">
      <w:pPr>
        <w:pStyle w:val="FootnoteText"/>
        <w:rPr>
          <w:lang w:val="en-US"/>
        </w:rPr>
      </w:pPr>
      <w:r>
        <w:rPr>
          <w:rStyle w:val="FootnoteReference"/>
        </w:rPr>
        <w:footnoteRef/>
      </w:r>
      <w:r>
        <w:t xml:space="preserve"> </w:t>
      </w:r>
      <w:r>
        <w:rPr>
          <w:lang w:val="en-US"/>
        </w:rPr>
        <w:t xml:space="preserve">For more information, see the </w:t>
      </w:r>
      <w:hyperlink r:id="rId19" w:history="1">
        <w:r w:rsidR="000C0451">
          <w:rPr>
            <w:rStyle w:val="Hyperlink"/>
            <w:lang w:val="en-US"/>
          </w:rPr>
          <w:t>a</w:t>
        </w:r>
        <w:r w:rsidRPr="00342F3A">
          <w:rPr>
            <w:rStyle w:val="Hyperlink"/>
            <w:lang w:val="en-US"/>
          </w:rPr>
          <w:t>ccessibility report</w:t>
        </w:r>
      </w:hyperlink>
      <w:r>
        <w:rPr>
          <w:lang w:val="en-US"/>
        </w:rPr>
        <w:t>.</w:t>
      </w:r>
    </w:p>
  </w:footnote>
  <w:footnote w:id="22">
    <w:p w14:paraId="5E2F8A8F" w14:textId="6F5D8997" w:rsidR="002B611F" w:rsidRPr="00FC15D9" w:rsidRDefault="002B611F" w:rsidP="005D63FF">
      <w:pPr>
        <w:pStyle w:val="FootnoteText"/>
        <w:rPr>
          <w:lang w:val="en-US"/>
        </w:rPr>
      </w:pPr>
      <w:r>
        <w:rPr>
          <w:rStyle w:val="FootnoteReference"/>
        </w:rPr>
        <w:footnoteRef/>
      </w:r>
      <w:r>
        <w:t xml:space="preserve"> </w:t>
      </w:r>
      <w:r>
        <w:rPr>
          <w:lang w:val="en-US"/>
        </w:rPr>
        <w:t xml:space="preserve">Bulgaria, </w:t>
      </w:r>
      <w:r w:rsidRPr="005D63FF">
        <w:rPr>
          <w:lang w:val="en-US"/>
        </w:rPr>
        <w:t xml:space="preserve">Administrative Court </w:t>
      </w:r>
      <w:r>
        <w:rPr>
          <w:lang w:val="en-US"/>
        </w:rPr>
        <w:t>–</w:t>
      </w:r>
      <w:r w:rsidRPr="005D63FF">
        <w:rPr>
          <w:lang w:val="en-US"/>
        </w:rPr>
        <w:t xml:space="preserve"> Pazardzhik</w:t>
      </w:r>
      <w:r>
        <w:rPr>
          <w:lang w:val="bg-BG"/>
        </w:rPr>
        <w:t xml:space="preserve"> </w:t>
      </w:r>
      <w:r w:rsidRPr="008A56AD">
        <w:rPr>
          <w:lang w:val="bg-BG"/>
        </w:rPr>
        <w:t>(</w:t>
      </w:r>
      <w:r w:rsidRPr="008A56AD">
        <w:rPr>
          <w:i/>
          <w:lang w:val="bg-BG"/>
        </w:rPr>
        <w:t>Административен съд – Пазарджик</w:t>
      </w:r>
      <w:r w:rsidRPr="008A56AD">
        <w:rPr>
          <w:lang w:val="bg-BG"/>
        </w:rPr>
        <w:t>)</w:t>
      </w:r>
      <w:r>
        <w:rPr>
          <w:lang w:val="bg-BG"/>
        </w:rPr>
        <w:t xml:space="preserve">, </w:t>
      </w:r>
      <w:r w:rsidRPr="005D63FF">
        <w:rPr>
          <w:lang w:val="en-US"/>
        </w:rPr>
        <w:t xml:space="preserve">Decision No 173 in administrative case No 308/2023 </w:t>
      </w:r>
      <w:r w:rsidRPr="008A56AD">
        <w:rPr>
          <w:lang w:val="bg-BG"/>
        </w:rPr>
        <w:t>(</w:t>
      </w:r>
      <w:hyperlink r:id="rId20" w:history="1">
        <w:r w:rsidRPr="008A56AD">
          <w:rPr>
            <w:rStyle w:val="Hyperlink"/>
            <w:i/>
            <w:lang w:val="bg-BG"/>
          </w:rPr>
          <w:t>Решение № 173 по адм</w:t>
        </w:r>
        <w:r w:rsidR="008A56AD">
          <w:rPr>
            <w:rStyle w:val="Hyperlink"/>
            <w:i/>
            <w:lang w:val="bg-BG"/>
          </w:rPr>
          <w:t>инистративно дело</w:t>
        </w:r>
        <w:r w:rsidRPr="008A56AD">
          <w:rPr>
            <w:rStyle w:val="Hyperlink"/>
            <w:i/>
            <w:lang w:val="bg-BG"/>
          </w:rPr>
          <w:t xml:space="preserve"> № 308/2023 г.</w:t>
        </w:r>
      </w:hyperlink>
      <w:r w:rsidRPr="008A56AD">
        <w:rPr>
          <w:lang w:val="bg-BG"/>
        </w:rPr>
        <w:t>)</w:t>
      </w:r>
      <w:r>
        <w:rPr>
          <w:lang w:val="bg-BG"/>
        </w:rPr>
        <w:t xml:space="preserve">, </w:t>
      </w:r>
      <w:r w:rsidR="008A56AD" w:rsidRPr="008A56AD">
        <w:rPr>
          <w:lang w:val="bg-BG"/>
        </w:rPr>
        <w:t>ECLI:BG:AD715:2023:20230700308.001</w:t>
      </w:r>
      <w:r w:rsidR="008A56AD">
        <w:rPr>
          <w:lang w:val="bg-BG"/>
        </w:rPr>
        <w:t xml:space="preserve">, </w:t>
      </w:r>
      <w:r>
        <w:rPr>
          <w:lang w:val="bg-BG"/>
        </w:rPr>
        <w:t xml:space="preserve">29 </w:t>
      </w:r>
      <w:r>
        <w:rPr>
          <w:lang w:val="en-US"/>
        </w:rPr>
        <w:t xml:space="preserve">March 2023; Bulgaria, </w:t>
      </w:r>
      <w:r w:rsidRPr="005D63FF">
        <w:rPr>
          <w:lang w:val="en-US"/>
        </w:rPr>
        <w:t xml:space="preserve">Administrative Court </w:t>
      </w:r>
      <w:r>
        <w:rPr>
          <w:lang w:val="en-US"/>
        </w:rPr>
        <w:t>–</w:t>
      </w:r>
      <w:r w:rsidRPr="005D63FF">
        <w:rPr>
          <w:lang w:val="en-US"/>
        </w:rPr>
        <w:t xml:space="preserve"> Pazardzhik</w:t>
      </w:r>
      <w:r>
        <w:rPr>
          <w:lang w:val="bg-BG"/>
        </w:rPr>
        <w:t xml:space="preserve"> </w:t>
      </w:r>
      <w:r w:rsidRPr="008A56AD">
        <w:rPr>
          <w:lang w:val="bg-BG"/>
        </w:rPr>
        <w:t>(</w:t>
      </w:r>
      <w:r w:rsidRPr="008A56AD">
        <w:rPr>
          <w:i/>
          <w:lang w:val="bg-BG"/>
        </w:rPr>
        <w:t>Административен съд – Пазарджик</w:t>
      </w:r>
      <w:r w:rsidRPr="008A56AD">
        <w:rPr>
          <w:lang w:val="bg-BG"/>
        </w:rPr>
        <w:t>)</w:t>
      </w:r>
      <w:r>
        <w:rPr>
          <w:lang w:val="bg-BG"/>
        </w:rPr>
        <w:t xml:space="preserve">, </w:t>
      </w:r>
      <w:r w:rsidRPr="005D63FF">
        <w:rPr>
          <w:lang w:val="en-US"/>
        </w:rPr>
        <w:t xml:space="preserve">Decision No </w:t>
      </w:r>
      <w:r>
        <w:rPr>
          <w:lang w:val="en-US"/>
        </w:rPr>
        <w:t xml:space="preserve">174 </w:t>
      </w:r>
      <w:r w:rsidRPr="005D63FF">
        <w:rPr>
          <w:lang w:val="en-US"/>
        </w:rPr>
        <w:t>in administrative case No 30</w:t>
      </w:r>
      <w:r>
        <w:rPr>
          <w:lang w:val="en-US"/>
        </w:rPr>
        <w:t>9</w:t>
      </w:r>
      <w:r w:rsidRPr="005D63FF">
        <w:rPr>
          <w:lang w:val="en-US"/>
        </w:rPr>
        <w:t xml:space="preserve">/2023 </w:t>
      </w:r>
      <w:r w:rsidRPr="008A56AD">
        <w:rPr>
          <w:lang w:val="bg-BG"/>
        </w:rPr>
        <w:t>(</w:t>
      </w:r>
      <w:hyperlink r:id="rId21" w:history="1">
        <w:r w:rsidRPr="008A56AD">
          <w:rPr>
            <w:rStyle w:val="Hyperlink"/>
            <w:i/>
            <w:lang w:val="bg-BG"/>
          </w:rPr>
          <w:t>Решение № 174 по адм</w:t>
        </w:r>
        <w:r w:rsidR="008A56AD">
          <w:rPr>
            <w:rStyle w:val="Hyperlink"/>
            <w:i/>
            <w:lang w:val="bg-BG"/>
          </w:rPr>
          <w:t>инистративно дело</w:t>
        </w:r>
        <w:r w:rsidRPr="008A56AD">
          <w:rPr>
            <w:rStyle w:val="Hyperlink"/>
            <w:i/>
            <w:lang w:val="bg-BG"/>
          </w:rPr>
          <w:t xml:space="preserve"> № 309/2023 г.</w:t>
        </w:r>
      </w:hyperlink>
      <w:r w:rsidRPr="008A56AD">
        <w:rPr>
          <w:lang w:val="bg-BG"/>
        </w:rPr>
        <w:t>)</w:t>
      </w:r>
      <w:r>
        <w:rPr>
          <w:lang w:val="en-US"/>
        </w:rPr>
        <w:t xml:space="preserve">, </w:t>
      </w:r>
      <w:r w:rsidR="008A56AD" w:rsidRPr="008A56AD">
        <w:rPr>
          <w:lang w:val="en-US"/>
        </w:rPr>
        <w:t>ECLI:BG:AD715:2023:20230700309.001</w:t>
      </w:r>
      <w:r w:rsidR="008A56AD">
        <w:rPr>
          <w:lang w:val="bg-BG"/>
        </w:rPr>
        <w:t xml:space="preserve">, </w:t>
      </w:r>
      <w:r>
        <w:rPr>
          <w:lang w:val="bg-BG"/>
        </w:rPr>
        <w:t xml:space="preserve">29 </w:t>
      </w:r>
      <w:r>
        <w:rPr>
          <w:lang w:val="en-US"/>
        </w:rPr>
        <w:t xml:space="preserve">March 2023;  Bulgaria, </w:t>
      </w:r>
      <w:r w:rsidRPr="005D63FF">
        <w:rPr>
          <w:lang w:val="en-US"/>
        </w:rPr>
        <w:t xml:space="preserve">Administrative Court </w:t>
      </w:r>
      <w:r>
        <w:rPr>
          <w:lang w:val="en-US"/>
        </w:rPr>
        <w:t>–</w:t>
      </w:r>
      <w:r w:rsidRPr="005D63FF">
        <w:rPr>
          <w:lang w:val="en-US"/>
        </w:rPr>
        <w:t xml:space="preserve"> Pazardzhik</w:t>
      </w:r>
      <w:r>
        <w:rPr>
          <w:lang w:val="bg-BG"/>
        </w:rPr>
        <w:t xml:space="preserve"> </w:t>
      </w:r>
      <w:r w:rsidRPr="008A56AD">
        <w:rPr>
          <w:lang w:val="bg-BG"/>
        </w:rPr>
        <w:t>(</w:t>
      </w:r>
      <w:r w:rsidRPr="008A56AD">
        <w:rPr>
          <w:i/>
          <w:lang w:val="bg-BG"/>
        </w:rPr>
        <w:t>Административен съд – Пазарджик</w:t>
      </w:r>
      <w:r w:rsidRPr="008A56AD">
        <w:rPr>
          <w:lang w:val="bg-BG"/>
        </w:rPr>
        <w:t>)</w:t>
      </w:r>
      <w:r>
        <w:rPr>
          <w:lang w:val="bg-BG"/>
        </w:rPr>
        <w:t xml:space="preserve">, </w:t>
      </w:r>
      <w:r w:rsidRPr="005D63FF">
        <w:rPr>
          <w:lang w:val="en-US"/>
        </w:rPr>
        <w:t>Decision No. 17</w:t>
      </w:r>
      <w:r>
        <w:rPr>
          <w:lang w:val="en-US"/>
        </w:rPr>
        <w:t>5</w:t>
      </w:r>
      <w:r w:rsidRPr="005D63FF">
        <w:rPr>
          <w:lang w:val="en-US"/>
        </w:rPr>
        <w:t xml:space="preserve"> in administrative case No. 3</w:t>
      </w:r>
      <w:r>
        <w:rPr>
          <w:lang w:val="en-US"/>
        </w:rPr>
        <w:t>10</w:t>
      </w:r>
      <w:r w:rsidRPr="005D63FF">
        <w:rPr>
          <w:lang w:val="en-US"/>
        </w:rPr>
        <w:t xml:space="preserve">/2023 </w:t>
      </w:r>
      <w:r w:rsidRPr="008A56AD">
        <w:rPr>
          <w:lang w:val="bg-BG"/>
        </w:rPr>
        <w:t>(</w:t>
      </w:r>
      <w:hyperlink r:id="rId22" w:history="1">
        <w:r w:rsidRPr="008A56AD">
          <w:rPr>
            <w:rStyle w:val="Hyperlink"/>
            <w:i/>
            <w:lang w:val="bg-BG"/>
          </w:rPr>
          <w:t>Решение № 175 по адм</w:t>
        </w:r>
        <w:r w:rsidR="008A56AD">
          <w:rPr>
            <w:rStyle w:val="Hyperlink"/>
            <w:i/>
            <w:lang w:val="bg-BG"/>
          </w:rPr>
          <w:t>инистративно дело</w:t>
        </w:r>
        <w:r w:rsidRPr="008A56AD">
          <w:rPr>
            <w:rStyle w:val="Hyperlink"/>
            <w:i/>
            <w:lang w:val="bg-BG"/>
          </w:rPr>
          <w:t xml:space="preserve"> № 310/2023</w:t>
        </w:r>
        <w:r w:rsidRPr="008A56AD">
          <w:rPr>
            <w:rStyle w:val="Hyperlink"/>
            <w:lang w:val="bg-BG"/>
          </w:rPr>
          <w:t xml:space="preserve"> </w:t>
        </w:r>
        <w:r w:rsidRPr="008A56AD">
          <w:rPr>
            <w:rStyle w:val="Hyperlink"/>
            <w:i/>
            <w:lang w:val="bg-BG"/>
          </w:rPr>
          <w:t>г.</w:t>
        </w:r>
      </w:hyperlink>
      <w:r w:rsidRPr="008A56AD">
        <w:rPr>
          <w:lang w:val="bg-BG"/>
        </w:rPr>
        <w:t>)</w:t>
      </w:r>
      <w:r>
        <w:rPr>
          <w:lang w:val="en-US"/>
        </w:rPr>
        <w:t xml:space="preserve">, </w:t>
      </w:r>
      <w:r w:rsidR="008A56AD" w:rsidRPr="008A56AD">
        <w:rPr>
          <w:lang w:val="en-US"/>
        </w:rPr>
        <w:t>ECLI:BG:AD715:2023:20230700310.001</w:t>
      </w:r>
      <w:r w:rsidR="008A56AD">
        <w:rPr>
          <w:lang w:val="bg-BG"/>
        </w:rPr>
        <w:t xml:space="preserve">, </w:t>
      </w:r>
      <w:r>
        <w:rPr>
          <w:lang w:val="en-US"/>
        </w:rPr>
        <w:t>29 March 2023.</w:t>
      </w:r>
    </w:p>
  </w:footnote>
  <w:footnote w:id="23">
    <w:p w14:paraId="4859BD46" w14:textId="22BE24DC" w:rsidR="002B611F" w:rsidRPr="00DA0A24" w:rsidRDefault="002B611F">
      <w:pPr>
        <w:pStyle w:val="FootnoteText"/>
        <w:rPr>
          <w:lang w:val="en-US"/>
        </w:rPr>
      </w:pPr>
      <w:r>
        <w:rPr>
          <w:rStyle w:val="FootnoteReference"/>
        </w:rPr>
        <w:footnoteRef/>
      </w:r>
      <w:r>
        <w:t xml:space="preserve"> </w:t>
      </w:r>
      <w:r>
        <w:rPr>
          <w:lang w:val="en-US"/>
        </w:rPr>
        <w:t xml:space="preserve">For more information, see the </w:t>
      </w:r>
      <w:hyperlink r:id="rId23" w:history="1">
        <w:r w:rsidR="00285302">
          <w:rPr>
            <w:rStyle w:val="Hyperlink"/>
            <w:lang w:val="en-US"/>
          </w:rPr>
          <w:t>r</w:t>
        </w:r>
        <w:r w:rsidRPr="00DA0A24">
          <w:rPr>
            <w:rStyle w:val="Hyperlink"/>
            <w:lang w:val="en-US"/>
          </w:rPr>
          <w:t>egistry of complaints</w:t>
        </w:r>
      </w:hyperlink>
      <w:r>
        <w:rPr>
          <w:lang w:val="en-US"/>
        </w:rPr>
        <w:t xml:space="preserve"> </w:t>
      </w:r>
      <w:r w:rsidR="00285302">
        <w:rPr>
          <w:lang w:val="en-US"/>
        </w:rPr>
        <w:t>on</w:t>
      </w:r>
      <w:r>
        <w:rPr>
          <w:lang w:val="en-US"/>
        </w:rPr>
        <w:t xml:space="preserve"> the website of the Central Electoral Commission. An exemplary decision is available </w:t>
      </w:r>
      <w:hyperlink r:id="rId24" w:history="1">
        <w:r w:rsidRPr="004C3954">
          <w:rPr>
            <w:rStyle w:val="Hyperlink"/>
            <w:lang w:val="en-US"/>
          </w:rPr>
          <w:t>here</w:t>
        </w:r>
      </w:hyperlink>
      <w:r>
        <w:rPr>
          <w:lang w:val="en-US"/>
        </w:rPr>
        <w:t>.</w:t>
      </w:r>
    </w:p>
  </w:footnote>
  <w:footnote w:id="24">
    <w:p w14:paraId="7E69F666" w14:textId="5AEF6CB5" w:rsidR="002B611F" w:rsidRPr="00573F3B" w:rsidRDefault="002B611F">
      <w:pPr>
        <w:pStyle w:val="FootnoteText"/>
        <w:rPr>
          <w:lang w:val="en-US"/>
        </w:rPr>
      </w:pPr>
      <w:r>
        <w:rPr>
          <w:rStyle w:val="FootnoteReference"/>
        </w:rPr>
        <w:footnoteRef/>
      </w:r>
      <w:r>
        <w:t xml:space="preserve"> </w:t>
      </w:r>
      <w:r w:rsidR="00285302">
        <w:t xml:space="preserve">Bulgaria, </w:t>
      </w:r>
      <w:r w:rsidR="00285302" w:rsidRPr="00733DF5">
        <w:rPr>
          <w:lang w:val="en-US"/>
        </w:rPr>
        <w:t>Ombudsman of the Republic of Bulgaria (</w:t>
      </w:r>
      <w:r w:rsidR="00285302" w:rsidRPr="00F95ECB">
        <w:rPr>
          <w:i/>
          <w:lang w:val="bg-BG"/>
        </w:rPr>
        <w:t>Омбудсман на Република България</w:t>
      </w:r>
      <w:r w:rsidR="00285302" w:rsidRPr="00733DF5">
        <w:rPr>
          <w:lang w:val="en-US"/>
        </w:rPr>
        <w:t>)</w:t>
      </w:r>
      <w:r w:rsidR="00285302">
        <w:rPr>
          <w:lang w:val="en-US"/>
        </w:rPr>
        <w:t>, Letter No 74-14 to the Center for the Study of Democracy, 21 November 2023</w:t>
      </w:r>
      <w:r>
        <w:rPr>
          <w:lang w:val="en-US"/>
        </w:rPr>
        <w:t>.</w:t>
      </w:r>
    </w:p>
  </w:footnote>
  <w:footnote w:id="25">
    <w:p w14:paraId="343C64DD" w14:textId="702BE686" w:rsidR="002B611F" w:rsidRPr="00436E96" w:rsidRDefault="002B611F">
      <w:pPr>
        <w:pStyle w:val="FootnoteText"/>
        <w:rPr>
          <w:lang w:val="en-US"/>
        </w:rPr>
      </w:pPr>
      <w:r>
        <w:rPr>
          <w:rStyle w:val="FootnoteReference"/>
        </w:rPr>
        <w:footnoteRef/>
      </w:r>
      <w:r>
        <w:t xml:space="preserve"> </w:t>
      </w:r>
      <w:r w:rsidR="00285302">
        <w:t xml:space="preserve">Bulgaria, </w:t>
      </w:r>
      <w:r w:rsidR="00285302">
        <w:rPr>
          <w:lang w:val="en-US"/>
        </w:rPr>
        <w:t>Commission for Protection against Discrimination (</w:t>
      </w:r>
      <w:r w:rsidR="00285302" w:rsidRPr="00436E96">
        <w:rPr>
          <w:i/>
          <w:lang w:val="bg-BG"/>
        </w:rPr>
        <w:t>Комисия за защита от дискриминацията</w:t>
      </w:r>
      <w:r w:rsidR="00285302">
        <w:rPr>
          <w:lang w:val="bg-BG"/>
        </w:rPr>
        <w:t>)</w:t>
      </w:r>
      <w:r w:rsidR="00285302">
        <w:rPr>
          <w:lang w:val="en-US"/>
        </w:rPr>
        <w:t xml:space="preserve">, </w:t>
      </w:r>
      <w:r>
        <w:rPr>
          <w:lang w:val="en-US"/>
        </w:rPr>
        <w:t>Letter No 12-20-56 to the Center for the Study of Democracy</w:t>
      </w:r>
      <w:r w:rsidR="00285302">
        <w:rPr>
          <w:lang w:val="en-US"/>
        </w:rPr>
        <w:t>, 14 November 2023</w:t>
      </w:r>
      <w:r>
        <w:rPr>
          <w:lang w:val="en-US"/>
        </w:rPr>
        <w:t>.</w:t>
      </w:r>
    </w:p>
  </w:footnote>
  <w:footnote w:id="26">
    <w:p w14:paraId="164A2083" w14:textId="79A85565" w:rsidR="002B611F" w:rsidRPr="00436E96" w:rsidRDefault="002B611F">
      <w:pPr>
        <w:pStyle w:val="FootnoteText"/>
        <w:rPr>
          <w:lang w:val="en-US"/>
        </w:rPr>
      </w:pPr>
      <w:r>
        <w:rPr>
          <w:rStyle w:val="FootnoteReference"/>
        </w:rPr>
        <w:footnoteRef/>
      </w:r>
      <w:r>
        <w:t xml:space="preserve"> </w:t>
      </w:r>
      <w:r w:rsidR="00285302">
        <w:t>Bulgaria, National Assembly (</w:t>
      </w:r>
      <w:r w:rsidR="00285302">
        <w:rPr>
          <w:i/>
          <w:iCs/>
          <w:lang w:val="bg-BG"/>
        </w:rPr>
        <w:t>Народно събрание</w:t>
      </w:r>
      <w:r w:rsidR="00285302">
        <w:t>)</w:t>
      </w:r>
      <w:r w:rsidR="00285302">
        <w:rPr>
          <w:lang w:val="en-US"/>
        </w:rPr>
        <w:t>,</w:t>
      </w:r>
      <w:r w:rsidR="00285302">
        <w:t xml:space="preserve"> </w:t>
      </w:r>
      <w:r>
        <w:t xml:space="preserve">Access to </w:t>
      </w:r>
      <w:r w:rsidR="00285302">
        <w:t>P</w:t>
      </w:r>
      <w:r>
        <w:t xml:space="preserve">ublic </w:t>
      </w:r>
      <w:r w:rsidR="00285302">
        <w:t>I</w:t>
      </w:r>
      <w:r>
        <w:t xml:space="preserve">nformation </w:t>
      </w:r>
      <w:r>
        <w:rPr>
          <w:lang w:val="en-US"/>
        </w:rPr>
        <w:t>Decision N</w:t>
      </w:r>
      <w:r w:rsidR="00285302">
        <w:rPr>
          <w:lang w:val="en-US"/>
        </w:rPr>
        <w:t>o</w:t>
      </w:r>
      <w:r>
        <w:rPr>
          <w:lang w:val="en-US"/>
        </w:rPr>
        <w:t xml:space="preserve"> 49-31-37</w:t>
      </w:r>
      <w:r w:rsidR="00285302">
        <w:rPr>
          <w:lang w:val="en-US"/>
        </w:rPr>
        <w:t>,</w:t>
      </w:r>
      <w:r>
        <w:rPr>
          <w:lang w:val="en-US"/>
        </w:rPr>
        <w:t xml:space="preserve"> 16 November 2023.</w:t>
      </w:r>
    </w:p>
  </w:footnote>
  <w:footnote w:id="27">
    <w:p w14:paraId="180255BC" w14:textId="6F784113" w:rsidR="002B611F" w:rsidRPr="00141024" w:rsidRDefault="002B611F">
      <w:pPr>
        <w:pStyle w:val="FootnoteText"/>
        <w:rPr>
          <w:lang w:val="en-US"/>
        </w:rPr>
      </w:pPr>
      <w:r>
        <w:rPr>
          <w:rStyle w:val="FootnoteReference"/>
        </w:rPr>
        <w:footnoteRef/>
      </w:r>
      <w:r>
        <w:t xml:space="preserve"> </w:t>
      </w:r>
      <w:r w:rsidR="00285302" w:rsidRPr="00555E1E">
        <w:rPr>
          <w:lang w:val="en-US"/>
        </w:rPr>
        <w:t xml:space="preserve">National Association of </w:t>
      </w:r>
      <w:r w:rsidR="00285302">
        <w:rPr>
          <w:lang w:val="en-US"/>
        </w:rPr>
        <w:t>t</w:t>
      </w:r>
      <w:r w:rsidR="00285302" w:rsidRPr="00555E1E">
        <w:rPr>
          <w:lang w:val="en-US"/>
        </w:rPr>
        <w:t xml:space="preserve">he Municipalities </w:t>
      </w:r>
      <w:r w:rsidR="00285302">
        <w:rPr>
          <w:lang w:val="en-US"/>
        </w:rPr>
        <w:t>i</w:t>
      </w:r>
      <w:r w:rsidR="00285302" w:rsidRPr="00555E1E">
        <w:rPr>
          <w:lang w:val="en-US"/>
        </w:rPr>
        <w:t xml:space="preserve">n Republic </w:t>
      </w:r>
      <w:r w:rsidR="00285302">
        <w:rPr>
          <w:lang w:val="en-US"/>
        </w:rPr>
        <w:t>o</w:t>
      </w:r>
      <w:r w:rsidR="00285302" w:rsidRPr="00555E1E">
        <w:rPr>
          <w:lang w:val="en-US"/>
        </w:rPr>
        <w:t>f Bulgaria</w:t>
      </w:r>
      <w:r w:rsidR="00285302">
        <w:rPr>
          <w:lang w:val="en-US"/>
        </w:rPr>
        <w:t xml:space="preserve"> (</w:t>
      </w:r>
      <w:r w:rsidR="00285302" w:rsidRPr="00285302">
        <w:rPr>
          <w:i/>
          <w:lang w:val="bg-BG"/>
        </w:rPr>
        <w:t xml:space="preserve">Национално сдружение на </w:t>
      </w:r>
      <w:r w:rsidR="00285302">
        <w:rPr>
          <w:i/>
          <w:lang w:val="bg-BG"/>
        </w:rPr>
        <w:t>о</w:t>
      </w:r>
      <w:r w:rsidR="00285302" w:rsidRPr="00285302">
        <w:rPr>
          <w:i/>
          <w:lang w:val="bg-BG"/>
        </w:rPr>
        <w:t>бщините в Република България</w:t>
      </w:r>
      <w:r w:rsidR="00285302">
        <w:rPr>
          <w:lang w:val="bg-BG"/>
        </w:rPr>
        <w:t>)</w:t>
      </w:r>
      <w:r w:rsidR="00285302">
        <w:rPr>
          <w:lang w:val="en-US"/>
        </w:rPr>
        <w:t xml:space="preserve">, </w:t>
      </w:r>
      <w:r>
        <w:rPr>
          <w:lang w:val="en-US"/>
        </w:rPr>
        <w:t xml:space="preserve">Letter </w:t>
      </w:r>
      <w:r w:rsidR="000109E6">
        <w:rPr>
          <w:lang w:val="en-US"/>
        </w:rPr>
        <w:t xml:space="preserve">No </w:t>
      </w:r>
      <w:r w:rsidR="000109E6" w:rsidRPr="000109E6">
        <w:rPr>
          <w:lang w:val="en-US"/>
        </w:rPr>
        <w:t>И-1844(2)</w:t>
      </w:r>
      <w:r w:rsidR="000109E6">
        <w:rPr>
          <w:lang w:val="en-US"/>
        </w:rPr>
        <w:t xml:space="preserve"> </w:t>
      </w:r>
      <w:r>
        <w:rPr>
          <w:lang w:val="en-US"/>
        </w:rPr>
        <w:t>to the Center for the Study of Democracy, 10 November 2023.</w:t>
      </w:r>
    </w:p>
  </w:footnote>
  <w:footnote w:id="28">
    <w:p w14:paraId="5E878EED" w14:textId="77777777" w:rsidR="000109E6" w:rsidRPr="00DE3A0E" w:rsidRDefault="000109E6" w:rsidP="000109E6">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F95ECB">
        <w:rPr>
          <w:lang w:val="bg-BG"/>
        </w:rPr>
        <w:t>(</w:t>
      </w:r>
      <w:hyperlink r:id="rId25" w:history="1">
        <w:r w:rsidRPr="00F95ECB">
          <w:rPr>
            <w:rStyle w:val="Hyperlink"/>
            <w:i/>
            <w:lang w:val="bg-BG"/>
          </w:rPr>
          <w:t>Изборен кодекс</w:t>
        </w:r>
      </w:hyperlink>
      <w:r w:rsidRPr="00F95ECB">
        <w:rPr>
          <w:lang w:val="bg-BG"/>
        </w:rPr>
        <w:t>)</w:t>
      </w:r>
      <w:r>
        <w:rPr>
          <w:lang w:val="en-US"/>
        </w:rPr>
        <w:t>, 5 March 2014, last amended 30 December 2022, Art.</w:t>
      </w:r>
      <w:r w:rsidRPr="009266BD">
        <w:t xml:space="preserve"> </w:t>
      </w:r>
      <w:r>
        <w:t>72 (for regional commissions) and Art. 87 (for municipal commissions)</w:t>
      </w:r>
      <w:r>
        <w:rPr>
          <w:lang w:val="en-US"/>
        </w:rPr>
        <w:t>.</w:t>
      </w:r>
    </w:p>
  </w:footnote>
  <w:footnote w:id="29">
    <w:p w14:paraId="698E71DE" w14:textId="2579A978" w:rsidR="002B611F" w:rsidRPr="002E2EFC" w:rsidRDefault="002B611F">
      <w:pPr>
        <w:pStyle w:val="FootnoteText"/>
        <w:rPr>
          <w:lang w:val="en-US"/>
        </w:rPr>
      </w:pPr>
      <w:r>
        <w:rPr>
          <w:rStyle w:val="FootnoteReference"/>
        </w:rPr>
        <w:footnoteRef/>
      </w:r>
      <w:r>
        <w:t xml:space="preserve"> </w:t>
      </w:r>
      <w:r>
        <w:rPr>
          <w:lang w:val="en-US"/>
        </w:rPr>
        <w:t xml:space="preserve">For more information, see the </w:t>
      </w:r>
      <w:hyperlink r:id="rId26" w:history="1">
        <w:r w:rsidRPr="00DE3A0E">
          <w:rPr>
            <w:rStyle w:val="Hyperlink"/>
            <w:lang w:val="en-US"/>
          </w:rPr>
          <w:t>website</w:t>
        </w:r>
      </w:hyperlink>
      <w:r w:rsidR="002E2EFC">
        <w:rPr>
          <w:lang w:val="bg-BG"/>
        </w:rPr>
        <w:t xml:space="preserve"> </w:t>
      </w:r>
      <w:r w:rsidR="002E2EFC">
        <w:rPr>
          <w:lang w:val="en-US"/>
        </w:rPr>
        <w:t>of the Central Electoral Commission.</w:t>
      </w:r>
    </w:p>
  </w:footnote>
  <w:footnote w:id="30">
    <w:p w14:paraId="1CFBDB29" w14:textId="1CC0C4D1" w:rsidR="002B611F" w:rsidRPr="008C7EE6" w:rsidRDefault="002B611F">
      <w:pPr>
        <w:pStyle w:val="FootnoteText"/>
        <w:rPr>
          <w:lang w:val="bg-BG"/>
        </w:rPr>
      </w:pPr>
      <w:r>
        <w:rPr>
          <w:rStyle w:val="FootnoteReference"/>
        </w:rPr>
        <w:footnoteRef/>
      </w:r>
      <w:r>
        <w:t xml:space="preserve"> Bulgaria,</w:t>
      </w:r>
      <w:r w:rsidRPr="008C7EE6">
        <w:t xml:space="preserve"> Statutory Instruments Act</w:t>
      </w:r>
      <w:r>
        <w:t xml:space="preserve"> (</w:t>
      </w:r>
      <w:hyperlink r:id="rId27" w:history="1">
        <w:r w:rsidRPr="008C7EE6">
          <w:rPr>
            <w:rStyle w:val="Hyperlink"/>
            <w:i/>
            <w:lang w:val="bg-BG"/>
          </w:rPr>
          <w:t>Закон за нормативните актове</w:t>
        </w:r>
      </w:hyperlink>
      <w:r>
        <w:rPr>
          <w:lang w:val="bg-BG"/>
        </w:rPr>
        <w:t xml:space="preserve">), 3 </w:t>
      </w:r>
      <w:r>
        <w:rPr>
          <w:lang w:val="en-US"/>
        </w:rPr>
        <w:t>April 1973</w:t>
      </w:r>
      <w:r w:rsidR="002E2EFC">
        <w:rPr>
          <w:lang w:val="en-US"/>
        </w:rPr>
        <w:t>,</w:t>
      </w:r>
      <w:r>
        <w:rPr>
          <w:lang w:val="en-US"/>
        </w:rPr>
        <w:t xml:space="preserve"> last amended 3 May 2016</w:t>
      </w:r>
      <w:r w:rsidR="002E2EFC">
        <w:rPr>
          <w:lang w:val="en-US"/>
        </w:rPr>
        <w:t xml:space="preserve">, additional provisions, </w:t>
      </w:r>
      <w:r w:rsidR="002E2EFC" w:rsidRPr="00C55AF7">
        <w:rPr>
          <w:lang w:val="en-US"/>
        </w:rPr>
        <w:t>§ 1</w:t>
      </w:r>
      <w:r>
        <w:rPr>
          <w:lang w:val="en-US"/>
        </w:rPr>
        <w:t>;</w:t>
      </w:r>
      <w:r w:rsidR="00BD36E0">
        <w:rPr>
          <w:lang w:val="en-US"/>
        </w:rPr>
        <w:t xml:space="preserve"> f</w:t>
      </w:r>
      <w:r>
        <w:t xml:space="preserve">or more information, </w:t>
      </w:r>
      <w:r w:rsidR="00BD36E0">
        <w:t xml:space="preserve">see the </w:t>
      </w:r>
      <w:r w:rsidR="00A806CA">
        <w:rPr>
          <w:lang w:val="en-US"/>
        </w:rPr>
        <w:t>Public Consultations Portal</w:t>
      </w:r>
      <w:r>
        <w:t xml:space="preserve"> </w:t>
      </w:r>
      <w:hyperlink r:id="rId28" w:history="1">
        <w:r w:rsidR="00A806CA">
          <w:rPr>
            <w:rStyle w:val="Hyperlink"/>
          </w:rPr>
          <w:t>Strategy.bg</w:t>
        </w:r>
      </w:hyperlink>
      <w:r>
        <w:t>.</w:t>
      </w:r>
    </w:p>
  </w:footnote>
  <w:footnote w:id="31">
    <w:p w14:paraId="178220E1" w14:textId="29DEE010" w:rsidR="002B611F" w:rsidRPr="008C7EE6" w:rsidRDefault="002B611F">
      <w:pPr>
        <w:pStyle w:val="FootnoteText"/>
        <w:rPr>
          <w:lang w:val="en-US"/>
        </w:rPr>
      </w:pPr>
      <w:r>
        <w:rPr>
          <w:rStyle w:val="FootnoteReference"/>
        </w:rPr>
        <w:footnoteRef/>
      </w:r>
      <w:r>
        <w:t xml:space="preserve"> Bulgaria,</w:t>
      </w:r>
      <w:r w:rsidRPr="008C7EE6">
        <w:t xml:space="preserve"> Statutory Instruments Act</w:t>
      </w:r>
      <w:r>
        <w:t xml:space="preserve"> (</w:t>
      </w:r>
      <w:hyperlink r:id="rId29" w:history="1">
        <w:r w:rsidRPr="008C7EE6">
          <w:rPr>
            <w:rStyle w:val="Hyperlink"/>
            <w:i/>
            <w:lang w:val="bg-BG"/>
          </w:rPr>
          <w:t>Закон за нормативните актове</w:t>
        </w:r>
      </w:hyperlink>
      <w:r>
        <w:rPr>
          <w:lang w:val="bg-BG"/>
        </w:rPr>
        <w:t xml:space="preserve">), 3 </w:t>
      </w:r>
      <w:r>
        <w:rPr>
          <w:lang w:val="en-US"/>
        </w:rPr>
        <w:t>April 1973 (last amended 3 May 2016),</w:t>
      </w:r>
      <w:r>
        <w:t xml:space="preserve"> </w:t>
      </w:r>
      <w:r>
        <w:rPr>
          <w:lang w:val="en-US"/>
        </w:rPr>
        <w:t>Art. 26</w:t>
      </w:r>
      <w:r w:rsidR="00BD36E0">
        <w:rPr>
          <w:lang w:val="en-US"/>
        </w:rPr>
        <w:t>.</w:t>
      </w:r>
    </w:p>
  </w:footnote>
  <w:footnote w:id="32">
    <w:p w14:paraId="3423969F" w14:textId="1BAF29AF" w:rsidR="00BD36E0" w:rsidRPr="008C7EE6" w:rsidRDefault="00BD36E0" w:rsidP="00BD36E0">
      <w:pPr>
        <w:pStyle w:val="FootnoteText"/>
        <w:rPr>
          <w:lang w:val="en-US"/>
        </w:rPr>
      </w:pPr>
      <w:r>
        <w:rPr>
          <w:rStyle w:val="FootnoteReference"/>
        </w:rPr>
        <w:footnoteRef/>
      </w:r>
      <w:r>
        <w:t xml:space="preserve"> Bulgaria,</w:t>
      </w:r>
      <w:r w:rsidRPr="008C7EE6">
        <w:t xml:space="preserve"> Statutory Instruments Act</w:t>
      </w:r>
      <w:r>
        <w:t xml:space="preserve"> (</w:t>
      </w:r>
      <w:hyperlink r:id="rId30" w:history="1">
        <w:r w:rsidRPr="008C7EE6">
          <w:rPr>
            <w:rStyle w:val="Hyperlink"/>
            <w:i/>
            <w:lang w:val="bg-BG"/>
          </w:rPr>
          <w:t>Закон за нормативните актове</w:t>
        </w:r>
      </w:hyperlink>
      <w:r>
        <w:rPr>
          <w:lang w:val="bg-BG"/>
        </w:rPr>
        <w:t xml:space="preserve">), 3 </w:t>
      </w:r>
      <w:r>
        <w:rPr>
          <w:lang w:val="en-US"/>
        </w:rPr>
        <w:t>April 1973 (last amended 3 May 2016),</w:t>
      </w:r>
      <w:r>
        <w:t xml:space="preserve"> </w:t>
      </w:r>
      <w:r>
        <w:rPr>
          <w:lang w:val="en-US"/>
        </w:rPr>
        <w:t>Art. 18.</w:t>
      </w:r>
    </w:p>
  </w:footnote>
  <w:footnote w:id="33">
    <w:p w14:paraId="28144506" w14:textId="5B3D3889" w:rsidR="002B611F" w:rsidRPr="008C7EE6" w:rsidRDefault="002B611F">
      <w:pPr>
        <w:pStyle w:val="FootnoteText"/>
        <w:rPr>
          <w:lang w:val="en-US"/>
        </w:rPr>
      </w:pPr>
      <w:r>
        <w:rPr>
          <w:rStyle w:val="FootnoteReference"/>
        </w:rPr>
        <w:footnoteRef/>
      </w:r>
      <w:r>
        <w:t xml:space="preserve"> For more information</w:t>
      </w:r>
      <w:r w:rsidR="00A806CA">
        <w:t xml:space="preserve"> about the composition and functions of the National Council for Persons with Disabilities</w:t>
      </w:r>
      <w:r>
        <w:t xml:space="preserve">, see the </w:t>
      </w:r>
      <w:hyperlink r:id="rId31" w:history="1">
        <w:r w:rsidR="00A806CA">
          <w:rPr>
            <w:rStyle w:val="Hyperlink"/>
          </w:rPr>
          <w:t>administrative register</w:t>
        </w:r>
      </w:hyperlink>
      <w:r w:rsidR="00A806CA">
        <w:t xml:space="preserve"> of the government’s Integrated Public Administration Information System.</w:t>
      </w:r>
    </w:p>
  </w:footnote>
  <w:footnote w:id="34">
    <w:p w14:paraId="71BCC8E9" w14:textId="113753FD" w:rsidR="002B611F" w:rsidRPr="00631056"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3B0CEE">
        <w:rPr>
          <w:lang w:val="bg-BG"/>
        </w:rPr>
        <w:t>(</w:t>
      </w:r>
      <w:hyperlink r:id="rId32" w:history="1">
        <w:r w:rsidRPr="003B0CEE">
          <w:rPr>
            <w:rStyle w:val="Hyperlink"/>
            <w:i/>
            <w:lang w:val="bg-BG"/>
          </w:rPr>
          <w:t>Изборен кодекс</w:t>
        </w:r>
      </w:hyperlink>
      <w:r w:rsidRPr="003B0CEE">
        <w:rPr>
          <w:lang w:val="bg-BG"/>
        </w:rPr>
        <w:t>)</w:t>
      </w:r>
      <w:r>
        <w:rPr>
          <w:lang w:val="en-US"/>
        </w:rPr>
        <w:t>, 5 March 2014</w:t>
      </w:r>
      <w:r w:rsidR="003B0CEE">
        <w:rPr>
          <w:lang w:val="en-US"/>
        </w:rPr>
        <w:t>,</w:t>
      </w:r>
      <w:r>
        <w:rPr>
          <w:lang w:val="en-US"/>
        </w:rPr>
        <w:t xml:space="preserve"> last amended 30 December 2022, Art. 72 </w:t>
      </w:r>
      <w:r w:rsidR="003B0CEE">
        <w:rPr>
          <w:lang w:val="en-US"/>
        </w:rPr>
        <w:t xml:space="preserve">(for regional commissions) </w:t>
      </w:r>
      <w:r>
        <w:rPr>
          <w:lang w:val="en-US"/>
        </w:rPr>
        <w:t xml:space="preserve">and </w:t>
      </w:r>
      <w:r w:rsidR="003B0CEE">
        <w:rPr>
          <w:lang w:val="en-US"/>
        </w:rPr>
        <w:t xml:space="preserve">Art. </w:t>
      </w:r>
      <w:r>
        <w:rPr>
          <w:lang w:val="en-US"/>
        </w:rPr>
        <w:t>87</w:t>
      </w:r>
      <w:r w:rsidR="003B0CEE">
        <w:rPr>
          <w:lang w:val="en-US"/>
        </w:rPr>
        <w:t xml:space="preserve"> (for municipal commissions)</w:t>
      </w:r>
      <w:r>
        <w:rPr>
          <w:lang w:val="en-US"/>
        </w:rPr>
        <w:t>.</w:t>
      </w:r>
    </w:p>
  </w:footnote>
  <w:footnote w:id="35">
    <w:p w14:paraId="658EE065" w14:textId="50655E0A" w:rsidR="002B611F" w:rsidRPr="00472B79" w:rsidRDefault="002B611F" w:rsidP="00225E7B">
      <w:pPr>
        <w:pStyle w:val="FootnoteText"/>
        <w:rPr>
          <w:lang w:val="en-US"/>
        </w:rPr>
      </w:pPr>
      <w:r>
        <w:rPr>
          <w:rStyle w:val="FootnoteReference"/>
        </w:rPr>
        <w:footnoteRef/>
      </w:r>
      <w:r>
        <w:t xml:space="preserve"> </w:t>
      </w:r>
      <w:r w:rsidRPr="00472B79">
        <w:t xml:space="preserve">Bulgaria, Central Electoral Commission </w:t>
      </w:r>
      <w:r w:rsidRPr="003B0CEE">
        <w:rPr>
          <w:lang w:val="bg-BG"/>
        </w:rPr>
        <w:t>(</w:t>
      </w:r>
      <w:r w:rsidRPr="003B0CEE">
        <w:rPr>
          <w:i/>
          <w:lang w:val="bg-BG"/>
        </w:rPr>
        <w:t>Централна избирателна комисия</w:t>
      </w:r>
      <w:r w:rsidRPr="003B0CEE">
        <w:rPr>
          <w:lang w:val="bg-BG"/>
        </w:rPr>
        <w:t>)</w:t>
      </w:r>
      <w:r w:rsidRPr="00472B79">
        <w:t>, Decision No 2</w:t>
      </w:r>
      <w:r>
        <w:t>545</w:t>
      </w:r>
      <w:r w:rsidRPr="00472B79">
        <w:t xml:space="preserve">-МИ Sofia </w:t>
      </w:r>
      <w:r w:rsidRPr="003B0CEE">
        <w:rPr>
          <w:lang w:val="bg-BG"/>
        </w:rPr>
        <w:t>(</w:t>
      </w:r>
      <w:hyperlink r:id="rId33" w:history="1">
        <w:r w:rsidRPr="003B0CEE">
          <w:rPr>
            <w:rStyle w:val="Hyperlink"/>
            <w:i/>
            <w:lang w:val="bg-BG"/>
          </w:rPr>
          <w:t>Решение № 2545-МИ София</w:t>
        </w:r>
      </w:hyperlink>
      <w:r w:rsidRPr="003B0CEE">
        <w:rPr>
          <w:lang w:val="bg-BG"/>
        </w:rPr>
        <w:t>)</w:t>
      </w:r>
      <w:r w:rsidRPr="00472B79">
        <w:t xml:space="preserve">, </w:t>
      </w:r>
      <w:r>
        <w:rPr>
          <w:lang w:val="bg-BG"/>
        </w:rPr>
        <w:t>29</w:t>
      </w:r>
      <w:r w:rsidRPr="00472B79">
        <w:t xml:space="preserve"> </w:t>
      </w:r>
      <w:r>
        <w:rPr>
          <w:lang w:val="en-US"/>
        </w:rPr>
        <w:t>September</w:t>
      </w:r>
      <w:r w:rsidRPr="00472B79">
        <w:t xml:space="preserve"> 2023.</w:t>
      </w:r>
    </w:p>
  </w:footnote>
  <w:footnote w:id="36">
    <w:p w14:paraId="3647D19E" w14:textId="5DC8DA7E" w:rsidR="002B611F" w:rsidRPr="00133208" w:rsidRDefault="002B611F">
      <w:pPr>
        <w:pStyle w:val="FootnoteText"/>
        <w:rPr>
          <w:lang w:val="en-US"/>
        </w:rPr>
      </w:pPr>
      <w:r>
        <w:rPr>
          <w:rStyle w:val="FootnoteReference"/>
        </w:rPr>
        <w:footnoteRef/>
      </w:r>
      <w:r>
        <w:t xml:space="preserve"> </w:t>
      </w:r>
      <w:r>
        <w:rPr>
          <w:lang w:val="en-US"/>
        </w:rPr>
        <w:t>For more information</w:t>
      </w:r>
      <w:r w:rsidR="009606A1">
        <w:rPr>
          <w:lang w:val="en-US"/>
        </w:rPr>
        <w:t>,</w:t>
      </w:r>
      <w:r>
        <w:rPr>
          <w:lang w:val="en-US"/>
        </w:rPr>
        <w:t xml:space="preserve"> </w:t>
      </w:r>
      <w:r w:rsidR="009606A1">
        <w:rPr>
          <w:lang w:val="en-US"/>
        </w:rPr>
        <w:t xml:space="preserve">see </w:t>
      </w:r>
      <w:r>
        <w:rPr>
          <w:lang w:val="en-US"/>
        </w:rPr>
        <w:t xml:space="preserve">the </w:t>
      </w:r>
      <w:hyperlink r:id="rId34" w:history="1">
        <w:r w:rsidR="009606A1">
          <w:rPr>
            <w:rStyle w:val="Hyperlink"/>
            <w:lang w:val="en-US"/>
          </w:rPr>
          <w:t>lists of candidates</w:t>
        </w:r>
      </w:hyperlink>
      <w:r>
        <w:rPr>
          <w:lang w:val="en-US"/>
        </w:rPr>
        <w:t xml:space="preserve"> and </w:t>
      </w:r>
      <w:r w:rsidR="009606A1">
        <w:rPr>
          <w:lang w:val="en-US"/>
        </w:rPr>
        <w:t>the</w:t>
      </w:r>
      <w:r>
        <w:rPr>
          <w:lang w:val="en-US"/>
        </w:rPr>
        <w:t xml:space="preserve"> </w:t>
      </w:r>
      <w:hyperlink r:id="rId35" w:history="1">
        <w:r w:rsidR="009606A1">
          <w:rPr>
            <w:rStyle w:val="Hyperlink"/>
            <w:lang w:val="en-US"/>
          </w:rPr>
          <w:t>voting instructions</w:t>
        </w:r>
      </w:hyperlink>
      <w:r w:rsidR="009606A1">
        <w:rPr>
          <w:lang w:val="en-US"/>
        </w:rPr>
        <w:t xml:space="preserve"> on the website of the Central Electoral Commission.</w:t>
      </w:r>
    </w:p>
  </w:footnote>
  <w:footnote w:id="37">
    <w:p w14:paraId="7EA58837" w14:textId="77777777" w:rsidR="009606A1" w:rsidRPr="003B70EA" w:rsidRDefault="009606A1" w:rsidP="009606A1">
      <w:pPr>
        <w:pStyle w:val="FootnoteText"/>
        <w:rPr>
          <w:lang w:val="bg-BG"/>
        </w:rPr>
      </w:pPr>
      <w:r>
        <w:rPr>
          <w:rStyle w:val="FootnoteReference"/>
        </w:rPr>
        <w:footnoteRef/>
      </w:r>
      <w:r>
        <w:t xml:space="preserve"> Bulgaria, </w:t>
      </w:r>
      <w:r w:rsidRPr="003B70EA">
        <w:t xml:space="preserve">Regulation on the general requirements for information systems, registers and electronic administrative services </w:t>
      </w:r>
      <w:r w:rsidRPr="0087751E">
        <w:rPr>
          <w:lang w:val="bg-BG"/>
        </w:rPr>
        <w:t>(</w:t>
      </w:r>
      <w:hyperlink r:id="rId36" w:history="1">
        <w:r w:rsidRPr="0087751E">
          <w:rPr>
            <w:rStyle w:val="Hyperlink"/>
            <w:i/>
            <w:lang w:val="bg-BG"/>
          </w:rPr>
          <w:t>Наредба за общите изисквания към информационните системи, регистрите и електронните административни услуги</w:t>
        </w:r>
      </w:hyperlink>
      <w:r w:rsidRPr="0087751E">
        <w:rPr>
          <w:lang w:val="bg-BG"/>
        </w:rPr>
        <w:t>)</w:t>
      </w:r>
      <w:r>
        <w:t>, 17 January 2017, last amended 24 June 2022.</w:t>
      </w:r>
    </w:p>
  </w:footnote>
  <w:footnote w:id="38">
    <w:p w14:paraId="2F6798B2" w14:textId="77777777" w:rsidR="009606A1" w:rsidRPr="00342F3A" w:rsidRDefault="009606A1" w:rsidP="009606A1">
      <w:pPr>
        <w:pStyle w:val="FootnoteText"/>
        <w:rPr>
          <w:lang w:val="en-US"/>
        </w:rPr>
      </w:pPr>
      <w:r>
        <w:rPr>
          <w:rStyle w:val="FootnoteReference"/>
        </w:rPr>
        <w:footnoteRef/>
      </w:r>
      <w:r>
        <w:t xml:space="preserve"> </w:t>
      </w:r>
      <w:r>
        <w:rPr>
          <w:lang w:val="en-US"/>
        </w:rPr>
        <w:t xml:space="preserve">For more information, see the </w:t>
      </w:r>
      <w:hyperlink r:id="rId37" w:history="1">
        <w:r w:rsidRPr="00342F3A">
          <w:rPr>
            <w:rStyle w:val="Hyperlink"/>
            <w:lang w:val="en-US"/>
          </w:rPr>
          <w:t>website</w:t>
        </w:r>
      </w:hyperlink>
      <w:r>
        <w:rPr>
          <w:lang w:val="en-US"/>
        </w:rPr>
        <w:t xml:space="preserve"> of Web Accessibility Initiative</w:t>
      </w:r>
    </w:p>
  </w:footnote>
  <w:footnote w:id="39">
    <w:p w14:paraId="3459C21A" w14:textId="77777777" w:rsidR="009606A1" w:rsidRPr="00342F3A" w:rsidRDefault="009606A1" w:rsidP="009606A1">
      <w:pPr>
        <w:pStyle w:val="FootnoteText"/>
        <w:rPr>
          <w:lang w:val="en-US"/>
        </w:rPr>
      </w:pPr>
      <w:r>
        <w:rPr>
          <w:rStyle w:val="FootnoteReference"/>
        </w:rPr>
        <w:footnoteRef/>
      </w:r>
      <w:r>
        <w:t xml:space="preserve"> </w:t>
      </w:r>
      <w:r>
        <w:rPr>
          <w:lang w:val="en-US"/>
        </w:rPr>
        <w:t xml:space="preserve">For more information, see the </w:t>
      </w:r>
      <w:hyperlink r:id="rId38" w:history="1">
        <w:r>
          <w:rPr>
            <w:rStyle w:val="Hyperlink"/>
            <w:lang w:val="en-US"/>
          </w:rPr>
          <w:t>a</w:t>
        </w:r>
        <w:r w:rsidRPr="00342F3A">
          <w:rPr>
            <w:rStyle w:val="Hyperlink"/>
            <w:lang w:val="en-US"/>
          </w:rPr>
          <w:t>ccessibility report</w:t>
        </w:r>
      </w:hyperlink>
      <w:r>
        <w:rPr>
          <w:lang w:val="en-US"/>
        </w:rPr>
        <w:t>.</w:t>
      </w:r>
    </w:p>
  </w:footnote>
  <w:footnote w:id="40">
    <w:p w14:paraId="51695067" w14:textId="074CDFBC" w:rsidR="002B611F" w:rsidRPr="00485240"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4A7532">
        <w:rPr>
          <w:lang w:val="bg-BG"/>
        </w:rPr>
        <w:t>(</w:t>
      </w:r>
      <w:hyperlink r:id="rId39" w:history="1">
        <w:r w:rsidRPr="004A7532">
          <w:rPr>
            <w:rStyle w:val="Hyperlink"/>
            <w:i/>
            <w:lang w:val="bg-BG"/>
          </w:rPr>
          <w:t>Изборен кодекс</w:t>
        </w:r>
      </w:hyperlink>
      <w:r w:rsidRPr="004A7532">
        <w:rPr>
          <w:lang w:val="bg-BG"/>
        </w:rPr>
        <w:t>)</w:t>
      </w:r>
      <w:r>
        <w:rPr>
          <w:lang w:val="en-US"/>
        </w:rPr>
        <w:t>, 5 March 2014</w:t>
      </w:r>
      <w:r w:rsidR="004A7532">
        <w:rPr>
          <w:lang w:val="en-US"/>
        </w:rPr>
        <w:t xml:space="preserve">, </w:t>
      </w:r>
      <w:r>
        <w:rPr>
          <w:lang w:val="en-US"/>
        </w:rPr>
        <w:t>last amended 30 December 2022, Art. 199a.</w:t>
      </w:r>
    </w:p>
  </w:footnote>
  <w:footnote w:id="41">
    <w:p w14:paraId="36DDE796" w14:textId="46B62D74" w:rsidR="002B611F" w:rsidRPr="00485240" w:rsidRDefault="002B611F" w:rsidP="00485240">
      <w:pPr>
        <w:pStyle w:val="FootnoteText"/>
        <w:rPr>
          <w:lang w:val="en-US"/>
        </w:rPr>
      </w:pPr>
      <w:r>
        <w:rPr>
          <w:rStyle w:val="FootnoteReference"/>
        </w:rPr>
        <w:footnoteRef/>
      </w:r>
      <w:r>
        <w:t xml:space="preserve"> </w:t>
      </w:r>
      <w:r>
        <w:rPr>
          <w:lang w:val="en-US"/>
        </w:rPr>
        <w:t xml:space="preserve">For more information, see the </w:t>
      </w:r>
      <w:hyperlink r:id="rId40" w:history="1">
        <w:r w:rsidRPr="00485240">
          <w:rPr>
            <w:rStyle w:val="Hyperlink"/>
            <w:lang w:val="en-US"/>
          </w:rPr>
          <w:t>website</w:t>
        </w:r>
      </w:hyperlink>
      <w:r>
        <w:rPr>
          <w:lang w:val="en-US"/>
        </w:rPr>
        <w:t xml:space="preserve"> of the </w:t>
      </w:r>
      <w:r w:rsidRPr="00485240">
        <w:rPr>
          <w:lang w:val="en-US"/>
        </w:rPr>
        <w:t>Central Electoral Commission</w:t>
      </w:r>
      <w:r>
        <w:rPr>
          <w:lang w:val="en-US"/>
        </w:rPr>
        <w:t>.</w:t>
      </w:r>
    </w:p>
  </w:footnote>
  <w:footnote w:id="42">
    <w:p w14:paraId="01D44E0E" w14:textId="5111B71C" w:rsidR="004A7532" w:rsidRPr="00485240" w:rsidRDefault="004A7532" w:rsidP="004A7532">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C7087B">
        <w:rPr>
          <w:lang w:val="bg-BG"/>
        </w:rPr>
        <w:t>(</w:t>
      </w:r>
      <w:hyperlink r:id="rId41" w:history="1">
        <w:r w:rsidRPr="00C7087B">
          <w:rPr>
            <w:rStyle w:val="Hyperlink"/>
            <w:i/>
            <w:lang w:val="bg-BG"/>
          </w:rPr>
          <w:t>Изборен кодекс</w:t>
        </w:r>
      </w:hyperlink>
      <w:r w:rsidRPr="00C7087B">
        <w:rPr>
          <w:lang w:val="bg-BG"/>
        </w:rPr>
        <w:t>)</w:t>
      </w:r>
      <w:r>
        <w:rPr>
          <w:lang w:val="en-US"/>
        </w:rPr>
        <w:t>, 5 March 2014</w:t>
      </w:r>
      <w:r w:rsidR="00C7087B">
        <w:rPr>
          <w:lang w:val="en-US"/>
        </w:rPr>
        <w:t>,</w:t>
      </w:r>
      <w:r>
        <w:rPr>
          <w:lang w:val="en-US"/>
        </w:rPr>
        <w:t xml:space="preserve"> last amended 30 December 2022, Art. 199a.</w:t>
      </w:r>
    </w:p>
  </w:footnote>
  <w:footnote w:id="43">
    <w:p w14:paraId="48C32017" w14:textId="23C09719" w:rsidR="004A7532" w:rsidRPr="00485240" w:rsidRDefault="004A7532" w:rsidP="004A7532">
      <w:pPr>
        <w:pStyle w:val="FootnoteText"/>
        <w:rPr>
          <w:lang w:val="en-US"/>
        </w:rPr>
      </w:pPr>
      <w:r>
        <w:rPr>
          <w:rStyle w:val="FootnoteReference"/>
        </w:rPr>
        <w:footnoteRef/>
      </w:r>
      <w:r>
        <w:t xml:space="preserve"> </w:t>
      </w:r>
      <w:r>
        <w:rPr>
          <w:lang w:val="en-US"/>
        </w:rPr>
        <w:t xml:space="preserve">For more information, see the </w:t>
      </w:r>
      <w:hyperlink r:id="rId42" w:history="1">
        <w:r w:rsidRPr="00485240">
          <w:rPr>
            <w:rStyle w:val="Hyperlink"/>
            <w:lang w:val="en-US"/>
          </w:rPr>
          <w:t>website</w:t>
        </w:r>
      </w:hyperlink>
      <w:r>
        <w:rPr>
          <w:lang w:val="en-US"/>
        </w:rPr>
        <w:t xml:space="preserve"> of the </w:t>
      </w:r>
      <w:r w:rsidRPr="00485240">
        <w:rPr>
          <w:lang w:val="en-US"/>
        </w:rPr>
        <w:t>Central Electoral Commission</w:t>
      </w:r>
      <w:r>
        <w:rPr>
          <w:lang w:val="en-US"/>
        </w:rPr>
        <w:t>.</w:t>
      </w:r>
    </w:p>
  </w:footnote>
  <w:footnote w:id="44">
    <w:p w14:paraId="30725108" w14:textId="4CFB2A23" w:rsidR="002B611F" w:rsidRPr="0007617D" w:rsidRDefault="002B611F">
      <w:pPr>
        <w:pStyle w:val="FootnoteText"/>
        <w:rPr>
          <w:lang w:val="en-US"/>
        </w:rPr>
      </w:pPr>
      <w:r>
        <w:rPr>
          <w:rStyle w:val="FootnoteReference"/>
        </w:rPr>
        <w:footnoteRef/>
      </w:r>
      <w:r>
        <w:t xml:space="preserve"> </w:t>
      </w:r>
      <w:r>
        <w:rPr>
          <w:lang w:val="en-US"/>
        </w:rPr>
        <w:t>Bulgaria, Council for Electronic Media (</w:t>
      </w:r>
      <w:r w:rsidRPr="0007617D">
        <w:rPr>
          <w:i/>
          <w:lang w:val="bg-BG"/>
        </w:rPr>
        <w:t>Съвет за електронни медии</w:t>
      </w:r>
      <w:r>
        <w:rPr>
          <w:lang w:val="bg-BG"/>
        </w:rPr>
        <w:t>) (2022),</w:t>
      </w:r>
      <w:r>
        <w:rPr>
          <w:lang w:val="en-US"/>
        </w:rPr>
        <w:t xml:space="preserve"> </w:t>
      </w:r>
      <w:r w:rsidRPr="00C7087B">
        <w:t>Speciali</w:t>
      </w:r>
      <w:r w:rsidR="00C7087B" w:rsidRPr="00C7087B">
        <w:t>s</w:t>
      </w:r>
      <w:r w:rsidRPr="00C7087B">
        <w:t>ed Monitoring of the 49th National Assembly Electoral Campaign</w:t>
      </w:r>
      <w:r w:rsidRPr="0007617D">
        <w:rPr>
          <w:lang w:val="en-US"/>
        </w:rPr>
        <w:t xml:space="preserve"> </w:t>
      </w:r>
      <w:r w:rsidRPr="00C7087B">
        <w:rPr>
          <w:lang w:val="bg-BG"/>
        </w:rPr>
        <w:t>(</w:t>
      </w:r>
      <w:hyperlink r:id="rId43" w:history="1">
        <w:r w:rsidRPr="00C7087B">
          <w:rPr>
            <w:rStyle w:val="Hyperlink"/>
            <w:i/>
            <w:lang w:val="bg-BG"/>
          </w:rPr>
          <w:t>Специализирано наблюдение на предизборната кампания за 49 -то Народно събрание</w:t>
        </w:r>
      </w:hyperlink>
      <w:r w:rsidRPr="00C7087B">
        <w:rPr>
          <w:lang w:val="bg-BG"/>
        </w:rPr>
        <w:t>)</w:t>
      </w:r>
      <w:r>
        <w:rPr>
          <w:lang w:val="bg-BG"/>
        </w:rPr>
        <w:t xml:space="preserve">, 27 </w:t>
      </w:r>
      <w:r>
        <w:rPr>
          <w:lang w:val="en-US"/>
        </w:rPr>
        <w:t>April 2023.</w:t>
      </w:r>
    </w:p>
  </w:footnote>
  <w:footnote w:id="45">
    <w:p w14:paraId="0528A98E" w14:textId="638D8062" w:rsidR="002B611F" w:rsidRPr="00F24B39" w:rsidRDefault="002B611F" w:rsidP="00F24B39">
      <w:pPr>
        <w:pStyle w:val="FootnoteText"/>
        <w:rPr>
          <w:lang w:val="en-US"/>
        </w:rPr>
      </w:pPr>
      <w:r>
        <w:rPr>
          <w:rStyle w:val="FootnoteReference"/>
        </w:rPr>
        <w:footnoteRef/>
      </w:r>
      <w:r>
        <w:t xml:space="preserve"> </w:t>
      </w:r>
      <w:r w:rsidR="00A8679C">
        <w:rPr>
          <w:lang w:val="en-US"/>
        </w:rPr>
        <w:t>Bulgaria, Council for Electronic Media (</w:t>
      </w:r>
      <w:r w:rsidR="00A8679C" w:rsidRPr="0007617D">
        <w:rPr>
          <w:i/>
          <w:lang w:val="bg-BG"/>
        </w:rPr>
        <w:t>Съвет за електронни медии</w:t>
      </w:r>
      <w:r w:rsidR="00A8679C">
        <w:rPr>
          <w:lang w:val="bg-BG"/>
        </w:rPr>
        <w:t xml:space="preserve">) (2022), </w:t>
      </w:r>
      <w:r w:rsidR="00A8679C" w:rsidRPr="00A8679C">
        <w:t xml:space="preserve">Report of the Council for Electronic Media – Bulgaria on the </w:t>
      </w:r>
      <w:r w:rsidR="00A8679C">
        <w:rPr>
          <w:lang w:val="en-US"/>
        </w:rPr>
        <w:t>implementation</w:t>
      </w:r>
      <w:r w:rsidR="00A8679C" w:rsidRPr="00A8679C">
        <w:t xml:space="preserve"> of Art. 8a of the Radio and Television Act and Art. 7 of Directive (EU) 2018/1808 for January 2021 </w:t>
      </w:r>
      <w:r w:rsidR="00A8679C">
        <w:t>–</w:t>
      </w:r>
      <w:r w:rsidR="00A8679C" w:rsidRPr="00A8679C">
        <w:t xml:space="preserve"> December</w:t>
      </w:r>
      <w:r w:rsidR="00A8679C">
        <w:t xml:space="preserve"> </w:t>
      </w:r>
      <w:r w:rsidR="00A8679C" w:rsidRPr="00A8679C">
        <w:t>2022</w:t>
      </w:r>
      <w:r w:rsidR="00A8679C">
        <w:rPr>
          <w:lang w:val="en-US"/>
        </w:rPr>
        <w:t xml:space="preserve"> </w:t>
      </w:r>
      <w:r w:rsidR="00A8679C" w:rsidRPr="00A8679C">
        <w:rPr>
          <w:lang w:val="bg-BG"/>
        </w:rPr>
        <w:t>(</w:t>
      </w:r>
      <w:hyperlink r:id="rId44" w:history="1">
        <w:r w:rsidR="00A8679C" w:rsidRPr="00A8679C">
          <w:rPr>
            <w:rStyle w:val="Hyperlink"/>
            <w:i/>
            <w:lang w:val="bg-BG"/>
          </w:rPr>
          <w:t>Отчет на Съвета за електронни медии – България за изпълнението на чл. 8а от Закона за радиото и телевизията и чл. 7 от Директива (ЕС) 2018/1808 за периода: януари 2021 г. – декември 2022</w:t>
        </w:r>
        <w:r w:rsidR="00A8679C">
          <w:rPr>
            <w:rStyle w:val="Hyperlink"/>
            <w:i/>
            <w:lang w:val="en-US"/>
          </w:rPr>
          <w:t xml:space="preserve"> </w:t>
        </w:r>
        <w:r w:rsidR="00A8679C">
          <w:rPr>
            <w:rStyle w:val="Hyperlink"/>
            <w:i/>
            <w:lang w:val="bg-BG"/>
          </w:rPr>
          <w:t>г.</w:t>
        </w:r>
      </w:hyperlink>
      <w:r w:rsidR="00A8679C" w:rsidRPr="00A8679C">
        <w:rPr>
          <w:lang w:val="bg-BG"/>
        </w:rPr>
        <w:t>)</w:t>
      </w:r>
      <w:r w:rsidR="00A8679C">
        <w:rPr>
          <w:lang w:val="bg-BG"/>
        </w:rPr>
        <w:t xml:space="preserve">, 22 </w:t>
      </w:r>
      <w:r w:rsidR="00A8679C">
        <w:rPr>
          <w:lang w:val="en-US"/>
        </w:rPr>
        <w:t>December 2022</w:t>
      </w:r>
      <w:r>
        <w:rPr>
          <w:lang w:val="en-US"/>
        </w:rPr>
        <w:t>; Bulgaria, Council for Electronic Media (</w:t>
      </w:r>
      <w:r w:rsidRPr="0007617D">
        <w:rPr>
          <w:i/>
          <w:lang w:val="bg-BG"/>
        </w:rPr>
        <w:t>Съвет за електронни медии</w:t>
      </w:r>
      <w:r>
        <w:rPr>
          <w:lang w:val="bg-BG"/>
        </w:rPr>
        <w:t>) (2022),</w:t>
      </w:r>
      <w:r>
        <w:rPr>
          <w:lang w:val="en-US"/>
        </w:rPr>
        <w:t xml:space="preserve"> </w:t>
      </w:r>
      <w:r w:rsidRPr="00F2448B">
        <w:t>Speciali</w:t>
      </w:r>
      <w:r w:rsidR="00F2448B" w:rsidRPr="00F2448B">
        <w:t>s</w:t>
      </w:r>
      <w:r w:rsidRPr="00F2448B">
        <w:t>ed Monitoring of the 49th National Assembly Electoral Campaign</w:t>
      </w:r>
      <w:r w:rsidRPr="0007617D">
        <w:rPr>
          <w:lang w:val="en-US"/>
        </w:rPr>
        <w:t xml:space="preserve"> </w:t>
      </w:r>
      <w:r w:rsidRPr="00F2448B">
        <w:rPr>
          <w:lang w:val="bg-BG"/>
        </w:rPr>
        <w:t>(</w:t>
      </w:r>
      <w:hyperlink r:id="rId45" w:history="1">
        <w:r w:rsidRPr="00F2448B">
          <w:rPr>
            <w:rStyle w:val="Hyperlink"/>
            <w:i/>
            <w:lang w:val="bg-BG"/>
          </w:rPr>
          <w:t>Специализирано наблюдение на предизборната кампания за 49 -то Народно събрание</w:t>
        </w:r>
      </w:hyperlink>
      <w:r w:rsidRPr="00F2448B">
        <w:rPr>
          <w:lang w:val="bg-BG"/>
        </w:rPr>
        <w:t>)</w:t>
      </w:r>
      <w:r>
        <w:rPr>
          <w:lang w:val="bg-BG"/>
        </w:rPr>
        <w:t xml:space="preserve">, 27 </w:t>
      </w:r>
      <w:r>
        <w:rPr>
          <w:lang w:val="en-US"/>
        </w:rPr>
        <w:t>April 2023.</w:t>
      </w:r>
    </w:p>
  </w:footnote>
  <w:footnote w:id="46">
    <w:p w14:paraId="5773C7FB" w14:textId="4F9291EC" w:rsidR="002B611F" w:rsidRPr="00F24B39" w:rsidRDefault="002B611F">
      <w:pPr>
        <w:pStyle w:val="FootnoteText"/>
        <w:rPr>
          <w:lang w:val="en-US"/>
        </w:rPr>
      </w:pPr>
      <w:r>
        <w:rPr>
          <w:rStyle w:val="FootnoteReference"/>
        </w:rPr>
        <w:footnoteRef/>
      </w:r>
      <w:r>
        <w:t xml:space="preserve"> </w:t>
      </w:r>
      <w:r w:rsidR="00CE42C6">
        <w:rPr>
          <w:lang w:val="en-US"/>
        </w:rPr>
        <w:t>Bulgaria, Council for Electronic Media (</w:t>
      </w:r>
      <w:r w:rsidR="00CE42C6" w:rsidRPr="0007617D">
        <w:rPr>
          <w:i/>
          <w:lang w:val="bg-BG"/>
        </w:rPr>
        <w:t>Съвет за електронни медии</w:t>
      </w:r>
      <w:r w:rsidR="00CE42C6">
        <w:rPr>
          <w:lang w:val="bg-BG"/>
        </w:rPr>
        <w:t>) (2022),</w:t>
      </w:r>
      <w:r w:rsidR="00CE42C6">
        <w:rPr>
          <w:lang w:val="en-US"/>
        </w:rPr>
        <w:t xml:space="preserve"> </w:t>
      </w:r>
      <w:r w:rsidR="00CE42C6" w:rsidRPr="00F2448B">
        <w:t>Specialised Monitoring of the 49th National Assembly Electoral Campaign</w:t>
      </w:r>
      <w:r w:rsidR="00CE42C6" w:rsidRPr="0007617D">
        <w:rPr>
          <w:lang w:val="en-US"/>
        </w:rPr>
        <w:t xml:space="preserve"> </w:t>
      </w:r>
      <w:r w:rsidR="00CE42C6" w:rsidRPr="00F2448B">
        <w:rPr>
          <w:lang w:val="bg-BG"/>
        </w:rPr>
        <w:t>(</w:t>
      </w:r>
      <w:hyperlink r:id="rId46" w:history="1">
        <w:r w:rsidR="00CE42C6" w:rsidRPr="00F2448B">
          <w:rPr>
            <w:rStyle w:val="Hyperlink"/>
            <w:i/>
            <w:lang w:val="bg-BG"/>
          </w:rPr>
          <w:t>Специализирано наблюдение на предизборната кампания за 49 -то Народно събрание</w:t>
        </w:r>
      </w:hyperlink>
      <w:r w:rsidR="00CE42C6" w:rsidRPr="00F2448B">
        <w:rPr>
          <w:lang w:val="bg-BG"/>
        </w:rPr>
        <w:t>)</w:t>
      </w:r>
      <w:r w:rsidR="00CE42C6">
        <w:rPr>
          <w:lang w:val="bg-BG"/>
        </w:rPr>
        <w:t xml:space="preserve">, 27 </w:t>
      </w:r>
      <w:r w:rsidR="00CE42C6">
        <w:rPr>
          <w:lang w:val="en-US"/>
        </w:rPr>
        <w:t>April 2023</w:t>
      </w:r>
      <w:r>
        <w:rPr>
          <w:lang w:val="en-US"/>
        </w:rPr>
        <w:t>.</w:t>
      </w:r>
    </w:p>
  </w:footnote>
  <w:footnote w:id="47">
    <w:p w14:paraId="41131D07" w14:textId="25CC1010" w:rsidR="002B611F" w:rsidRPr="003B70EA" w:rsidRDefault="002B611F">
      <w:pPr>
        <w:pStyle w:val="FootnoteText"/>
        <w:rPr>
          <w:lang w:val="en-US"/>
        </w:rPr>
      </w:pPr>
      <w:r>
        <w:rPr>
          <w:rStyle w:val="FootnoteReference"/>
        </w:rPr>
        <w:footnoteRef/>
      </w:r>
      <w:r>
        <w:t xml:space="preserve"> </w:t>
      </w:r>
      <w:r>
        <w:rPr>
          <w:lang w:val="en-US"/>
        </w:rPr>
        <w:t xml:space="preserve">Bulgaria, </w:t>
      </w:r>
      <w:r w:rsidRPr="003B70EA">
        <w:rPr>
          <w:lang w:val="en-US"/>
        </w:rPr>
        <w:t xml:space="preserve">E-Governance Act </w:t>
      </w:r>
      <w:r w:rsidRPr="00992A7B">
        <w:rPr>
          <w:lang w:val="bg-BG"/>
        </w:rPr>
        <w:t>(</w:t>
      </w:r>
      <w:hyperlink r:id="rId47" w:history="1">
        <w:r w:rsidRPr="00992A7B">
          <w:rPr>
            <w:rStyle w:val="Hyperlink"/>
            <w:i/>
            <w:lang w:val="bg-BG"/>
          </w:rPr>
          <w:t>Закон за електронното управление</w:t>
        </w:r>
      </w:hyperlink>
      <w:r w:rsidRPr="00992A7B">
        <w:rPr>
          <w:lang w:val="bg-BG"/>
        </w:rPr>
        <w:t>)</w:t>
      </w:r>
      <w:r>
        <w:rPr>
          <w:lang w:val="en-US"/>
        </w:rPr>
        <w:t>, 12 June 2007</w:t>
      </w:r>
      <w:r w:rsidR="00992A7B">
        <w:rPr>
          <w:lang w:val="en-US"/>
        </w:rPr>
        <w:t>,</w:t>
      </w:r>
      <w:r>
        <w:rPr>
          <w:lang w:val="en-US"/>
        </w:rPr>
        <w:t xml:space="preserve"> last amended 19 September 2023.</w:t>
      </w:r>
    </w:p>
  </w:footnote>
  <w:footnote w:id="48">
    <w:p w14:paraId="11FED831" w14:textId="6B0D58B2" w:rsidR="002B611F" w:rsidRPr="003B70EA" w:rsidRDefault="002B611F">
      <w:pPr>
        <w:pStyle w:val="FootnoteText"/>
        <w:rPr>
          <w:lang w:val="bg-BG"/>
        </w:rPr>
      </w:pPr>
      <w:r>
        <w:rPr>
          <w:rStyle w:val="FootnoteReference"/>
        </w:rPr>
        <w:footnoteRef/>
      </w:r>
      <w:r>
        <w:t xml:space="preserve"> Bulgaria, </w:t>
      </w:r>
      <w:r w:rsidRPr="003B70EA">
        <w:t xml:space="preserve">Regulation on the general requirements for information systems, registers and electronic administrative services </w:t>
      </w:r>
      <w:r w:rsidRPr="00992A7B">
        <w:rPr>
          <w:lang w:val="bg-BG"/>
        </w:rPr>
        <w:t>(</w:t>
      </w:r>
      <w:hyperlink r:id="rId48" w:history="1">
        <w:r w:rsidRPr="00992A7B">
          <w:rPr>
            <w:rStyle w:val="Hyperlink"/>
            <w:i/>
            <w:lang w:val="bg-BG"/>
          </w:rPr>
          <w:t>Наредба за общите изисквания към информационните системи, регистрите и електронните административни услуги</w:t>
        </w:r>
      </w:hyperlink>
      <w:r w:rsidRPr="00992A7B">
        <w:rPr>
          <w:lang w:val="bg-BG"/>
        </w:rPr>
        <w:t>)</w:t>
      </w:r>
      <w:r>
        <w:t>, 17 January 2017</w:t>
      </w:r>
      <w:r w:rsidR="00992A7B">
        <w:t>,</w:t>
      </w:r>
      <w:r>
        <w:t xml:space="preserve"> last amended 24 June 2022.</w:t>
      </w:r>
    </w:p>
  </w:footnote>
  <w:footnote w:id="49">
    <w:p w14:paraId="032A39F6" w14:textId="068F0B95" w:rsidR="00992A7B" w:rsidRPr="003B70EA" w:rsidRDefault="00992A7B" w:rsidP="00992A7B">
      <w:pPr>
        <w:pStyle w:val="FootnoteText"/>
        <w:rPr>
          <w:lang w:val="bg-BG"/>
        </w:rPr>
      </w:pPr>
      <w:r>
        <w:rPr>
          <w:rStyle w:val="FootnoteReference"/>
        </w:rPr>
        <w:footnoteRef/>
      </w:r>
      <w:r w:rsidRPr="00555B81">
        <w:rPr>
          <w:lang w:val="bg-BG"/>
        </w:rPr>
        <w:t xml:space="preserve"> </w:t>
      </w:r>
      <w:r>
        <w:t>Bulgaria</w:t>
      </w:r>
      <w:r w:rsidRPr="00555B81">
        <w:rPr>
          <w:lang w:val="bg-BG"/>
        </w:rPr>
        <w:t xml:space="preserve">, </w:t>
      </w:r>
      <w:r w:rsidRPr="003B70EA">
        <w:t>Regulation</w:t>
      </w:r>
      <w:r w:rsidRPr="00555B81">
        <w:rPr>
          <w:lang w:val="bg-BG"/>
        </w:rPr>
        <w:t xml:space="preserve"> </w:t>
      </w:r>
      <w:r w:rsidRPr="003B70EA">
        <w:t>on</w:t>
      </w:r>
      <w:r w:rsidRPr="00555B81">
        <w:rPr>
          <w:lang w:val="bg-BG"/>
        </w:rPr>
        <w:t xml:space="preserve"> </w:t>
      </w:r>
      <w:r w:rsidRPr="003B70EA">
        <w:t>the</w:t>
      </w:r>
      <w:r w:rsidRPr="00555B81">
        <w:rPr>
          <w:lang w:val="bg-BG"/>
        </w:rPr>
        <w:t xml:space="preserve"> </w:t>
      </w:r>
      <w:r w:rsidRPr="003B70EA">
        <w:t>general</w:t>
      </w:r>
      <w:r w:rsidRPr="00555B81">
        <w:rPr>
          <w:lang w:val="bg-BG"/>
        </w:rPr>
        <w:t xml:space="preserve"> </w:t>
      </w:r>
      <w:r w:rsidRPr="003B70EA">
        <w:t>requirements</w:t>
      </w:r>
      <w:r w:rsidRPr="00555B81">
        <w:rPr>
          <w:lang w:val="bg-BG"/>
        </w:rPr>
        <w:t xml:space="preserve"> </w:t>
      </w:r>
      <w:r w:rsidRPr="003B70EA">
        <w:t>for</w:t>
      </w:r>
      <w:r w:rsidRPr="00555B81">
        <w:rPr>
          <w:lang w:val="bg-BG"/>
        </w:rPr>
        <w:t xml:space="preserve"> </w:t>
      </w:r>
      <w:r w:rsidRPr="003B70EA">
        <w:t>information</w:t>
      </w:r>
      <w:r w:rsidRPr="00555B81">
        <w:rPr>
          <w:lang w:val="bg-BG"/>
        </w:rPr>
        <w:t xml:space="preserve"> </w:t>
      </w:r>
      <w:r w:rsidRPr="003B70EA">
        <w:t>systems</w:t>
      </w:r>
      <w:r w:rsidRPr="00555B81">
        <w:rPr>
          <w:lang w:val="bg-BG"/>
        </w:rPr>
        <w:t xml:space="preserve">, </w:t>
      </w:r>
      <w:r w:rsidRPr="003B70EA">
        <w:t>registers</w:t>
      </w:r>
      <w:r w:rsidRPr="00555B81">
        <w:rPr>
          <w:lang w:val="bg-BG"/>
        </w:rPr>
        <w:t xml:space="preserve"> </w:t>
      </w:r>
      <w:r w:rsidRPr="003B70EA">
        <w:t>and</w:t>
      </w:r>
      <w:r w:rsidRPr="00555B81">
        <w:rPr>
          <w:lang w:val="bg-BG"/>
        </w:rPr>
        <w:t xml:space="preserve"> </w:t>
      </w:r>
      <w:r w:rsidRPr="003B70EA">
        <w:t>electronic</w:t>
      </w:r>
      <w:r w:rsidRPr="00555B81">
        <w:rPr>
          <w:lang w:val="bg-BG"/>
        </w:rPr>
        <w:t xml:space="preserve"> </w:t>
      </w:r>
      <w:r w:rsidRPr="003B70EA">
        <w:t>administrative</w:t>
      </w:r>
      <w:r w:rsidRPr="00555B81">
        <w:rPr>
          <w:lang w:val="bg-BG"/>
        </w:rPr>
        <w:t xml:space="preserve"> </w:t>
      </w:r>
      <w:r w:rsidRPr="003B70EA">
        <w:t>services</w:t>
      </w:r>
      <w:r w:rsidRPr="00555B81">
        <w:rPr>
          <w:lang w:val="bg-BG"/>
        </w:rPr>
        <w:t xml:space="preserve"> </w:t>
      </w:r>
      <w:r w:rsidRPr="00992A7B">
        <w:rPr>
          <w:lang w:val="bg-BG"/>
        </w:rPr>
        <w:t>(</w:t>
      </w:r>
      <w:r w:rsidR="004A6039">
        <w:fldChar w:fldCharType="begin"/>
      </w:r>
      <w:r w:rsidR="004A6039">
        <w:instrText>HYPERLINK</w:instrText>
      </w:r>
      <w:r w:rsidR="004A6039" w:rsidRPr="004A6039">
        <w:rPr>
          <w:lang w:val="bg-BG"/>
        </w:rPr>
        <w:instrText xml:space="preserve"> "</w:instrText>
      </w:r>
      <w:r w:rsidR="004A6039">
        <w:instrText>https</w:instrText>
      </w:r>
      <w:r w:rsidR="004A6039" w:rsidRPr="004A6039">
        <w:rPr>
          <w:lang w:val="bg-BG"/>
        </w:rPr>
        <w:instrText>://</w:instrText>
      </w:r>
      <w:r w:rsidR="004A6039">
        <w:instrText>lex</w:instrText>
      </w:r>
      <w:r w:rsidR="004A6039" w:rsidRPr="004A6039">
        <w:rPr>
          <w:lang w:val="bg-BG"/>
        </w:rPr>
        <w:instrText>.</w:instrText>
      </w:r>
      <w:r w:rsidR="004A6039">
        <w:instrText>bg</w:instrText>
      </w:r>
      <w:r w:rsidR="004A6039" w:rsidRPr="004A6039">
        <w:rPr>
          <w:lang w:val="bg-BG"/>
        </w:rPr>
        <w:instrText>/</w:instrText>
      </w:r>
      <w:r w:rsidR="004A6039">
        <w:instrText>bg</w:instrText>
      </w:r>
      <w:r w:rsidR="004A6039" w:rsidRPr="004A6039">
        <w:rPr>
          <w:lang w:val="bg-BG"/>
        </w:rPr>
        <w:instrText>/</w:instrText>
      </w:r>
      <w:r w:rsidR="004A6039">
        <w:instrText>laws</w:instrText>
      </w:r>
      <w:r w:rsidR="004A6039" w:rsidRPr="004A6039">
        <w:rPr>
          <w:lang w:val="bg-BG"/>
        </w:rPr>
        <w:instrText>/</w:instrText>
      </w:r>
      <w:r w:rsidR="004A6039">
        <w:instrText>ldoc</w:instrText>
      </w:r>
      <w:r w:rsidR="004A6039" w:rsidRPr="004A6039">
        <w:rPr>
          <w:lang w:val="bg-BG"/>
        </w:rPr>
        <w:instrText>/2136995819"</w:instrText>
      </w:r>
      <w:r w:rsidR="004A6039">
        <w:fldChar w:fldCharType="separate"/>
      </w:r>
      <w:r w:rsidRPr="00992A7B">
        <w:rPr>
          <w:rStyle w:val="Hyperlink"/>
          <w:i/>
          <w:lang w:val="bg-BG"/>
        </w:rPr>
        <w:t>Наредба за общите изисквания към информационните системи, регистрите и електронните административни услуги</w:t>
      </w:r>
      <w:r w:rsidR="004A6039">
        <w:rPr>
          <w:rStyle w:val="Hyperlink"/>
          <w:i/>
          <w:lang w:val="bg-BG"/>
        </w:rPr>
        <w:fldChar w:fldCharType="end"/>
      </w:r>
      <w:r w:rsidRPr="00992A7B">
        <w:rPr>
          <w:lang w:val="bg-BG"/>
        </w:rPr>
        <w:t>)</w:t>
      </w:r>
      <w:r w:rsidRPr="00555B81">
        <w:rPr>
          <w:lang w:val="bg-BG"/>
        </w:rPr>
        <w:t xml:space="preserve">, 17 </w:t>
      </w:r>
      <w:r>
        <w:t>January</w:t>
      </w:r>
      <w:r w:rsidRPr="00555B81">
        <w:rPr>
          <w:lang w:val="bg-BG"/>
        </w:rPr>
        <w:t xml:space="preserve"> 2017, </w:t>
      </w:r>
      <w:r>
        <w:t>last</w:t>
      </w:r>
      <w:r w:rsidRPr="00555B81">
        <w:rPr>
          <w:lang w:val="bg-BG"/>
        </w:rPr>
        <w:t xml:space="preserve"> </w:t>
      </w:r>
      <w:r>
        <w:t>amended</w:t>
      </w:r>
      <w:r w:rsidRPr="00555B81">
        <w:rPr>
          <w:lang w:val="bg-BG"/>
        </w:rPr>
        <w:t xml:space="preserve"> 24 </w:t>
      </w:r>
      <w:r>
        <w:t>June</w:t>
      </w:r>
      <w:r w:rsidRPr="00555B81">
        <w:rPr>
          <w:lang w:val="bg-BG"/>
        </w:rPr>
        <w:t xml:space="preserve"> 2022, </w:t>
      </w:r>
      <w:r>
        <w:t>Art</w:t>
      </w:r>
      <w:r w:rsidRPr="00555B81">
        <w:rPr>
          <w:lang w:val="bg-BG"/>
        </w:rPr>
        <w:t>. 39.</w:t>
      </w:r>
    </w:p>
  </w:footnote>
  <w:footnote w:id="50">
    <w:p w14:paraId="6969CFB6" w14:textId="490A8D5C" w:rsidR="002B611F" w:rsidRPr="00902FF1" w:rsidRDefault="002B611F" w:rsidP="00902FF1">
      <w:pPr>
        <w:pStyle w:val="FootnoteText"/>
        <w:rPr>
          <w:lang w:val="en-US"/>
        </w:rPr>
      </w:pPr>
      <w:r>
        <w:rPr>
          <w:rStyle w:val="FootnoteReference"/>
        </w:rPr>
        <w:footnoteRef/>
      </w:r>
      <w:r>
        <w:t xml:space="preserve"> </w:t>
      </w:r>
      <w:r>
        <w:rPr>
          <w:lang w:val="en-US"/>
        </w:rPr>
        <w:t xml:space="preserve">Bulgaria, </w:t>
      </w:r>
      <w:r w:rsidRPr="003B70EA">
        <w:rPr>
          <w:lang w:val="en-US"/>
        </w:rPr>
        <w:t xml:space="preserve">E-Governance Act </w:t>
      </w:r>
      <w:r w:rsidRPr="00992A7B">
        <w:rPr>
          <w:lang w:val="bg-BG"/>
        </w:rPr>
        <w:t>(</w:t>
      </w:r>
      <w:hyperlink r:id="rId49" w:history="1">
        <w:r w:rsidRPr="00992A7B">
          <w:rPr>
            <w:rStyle w:val="Hyperlink"/>
            <w:i/>
            <w:lang w:val="bg-BG"/>
          </w:rPr>
          <w:t>Закон за електронното управление</w:t>
        </w:r>
      </w:hyperlink>
      <w:r w:rsidRPr="00992A7B">
        <w:rPr>
          <w:lang w:val="bg-BG"/>
        </w:rPr>
        <w:t>)</w:t>
      </w:r>
      <w:r>
        <w:rPr>
          <w:lang w:val="en-US"/>
        </w:rPr>
        <w:t>, 12 June 2007</w:t>
      </w:r>
      <w:r w:rsidR="00992A7B">
        <w:rPr>
          <w:lang w:val="en-US"/>
        </w:rPr>
        <w:t>,</w:t>
      </w:r>
      <w:r>
        <w:rPr>
          <w:lang w:val="en-US"/>
        </w:rPr>
        <w:t xml:space="preserve"> last amended 19 September 2023, Art. 58c.</w:t>
      </w:r>
    </w:p>
  </w:footnote>
  <w:footnote w:id="51">
    <w:p w14:paraId="703FB998" w14:textId="3B6AF9CA" w:rsidR="00F77425" w:rsidRPr="00CE1546" w:rsidRDefault="00F77425" w:rsidP="00F77425">
      <w:pPr>
        <w:pStyle w:val="FootnoteText"/>
        <w:rPr>
          <w:lang w:val="en-US"/>
        </w:rPr>
      </w:pPr>
      <w:r>
        <w:rPr>
          <w:rStyle w:val="FootnoteReference"/>
        </w:rPr>
        <w:footnoteRef/>
      </w:r>
      <w:r>
        <w:t xml:space="preserve"> </w:t>
      </w:r>
      <w:r>
        <w:rPr>
          <w:lang w:val="en-US"/>
        </w:rPr>
        <w:t>Bulgaria, Persons with Disabilities Act (</w:t>
      </w:r>
      <w:hyperlink r:id="rId50" w:history="1">
        <w:r w:rsidRPr="00CE1546">
          <w:rPr>
            <w:rStyle w:val="Hyperlink"/>
            <w:i/>
            <w:lang w:val="bg-BG"/>
          </w:rPr>
          <w:t>Закон за хората с увреждания</w:t>
        </w:r>
      </w:hyperlink>
      <w:r>
        <w:rPr>
          <w:lang w:val="bg-BG"/>
        </w:rPr>
        <w:t>)</w:t>
      </w:r>
      <w:r>
        <w:rPr>
          <w:lang w:val="en-US"/>
        </w:rPr>
        <w:t xml:space="preserve">, </w:t>
      </w:r>
      <w:r>
        <w:rPr>
          <w:lang w:val="bg-BG"/>
        </w:rPr>
        <w:t xml:space="preserve">18 </w:t>
      </w:r>
      <w:r>
        <w:rPr>
          <w:lang w:val="en-US"/>
        </w:rPr>
        <w:t>December 2018, last amended 25 January 2023,</w:t>
      </w:r>
      <w:r>
        <w:rPr>
          <w:lang w:val="bg-BG"/>
        </w:rPr>
        <w:t xml:space="preserve"> </w:t>
      </w:r>
      <w:r>
        <w:rPr>
          <w:lang w:val="en-US"/>
        </w:rPr>
        <w:t>Art. 64.</w:t>
      </w:r>
    </w:p>
  </w:footnote>
  <w:footnote w:id="52">
    <w:p w14:paraId="0867E938" w14:textId="211F3AB1" w:rsidR="002B611F" w:rsidRPr="003E620C" w:rsidRDefault="002B611F">
      <w:pPr>
        <w:pStyle w:val="FootnoteText"/>
        <w:rPr>
          <w:lang w:val="en-US"/>
        </w:rPr>
      </w:pPr>
      <w:r>
        <w:rPr>
          <w:rStyle w:val="FootnoteReference"/>
        </w:rPr>
        <w:footnoteRef/>
      </w:r>
      <w:r>
        <w:t xml:space="preserve"> </w:t>
      </w:r>
      <w:r>
        <w:rPr>
          <w:lang w:val="en-US"/>
        </w:rPr>
        <w:t xml:space="preserve">Bulgaria, </w:t>
      </w:r>
      <w:r w:rsidRPr="003E620C">
        <w:rPr>
          <w:lang w:val="en-US"/>
        </w:rPr>
        <w:t xml:space="preserve">Radio and Television Act </w:t>
      </w:r>
      <w:r w:rsidRPr="00A8679C">
        <w:rPr>
          <w:lang w:val="bg-BG"/>
        </w:rPr>
        <w:t>(</w:t>
      </w:r>
      <w:hyperlink r:id="rId51" w:history="1">
        <w:r w:rsidRPr="00A8679C">
          <w:rPr>
            <w:rStyle w:val="Hyperlink"/>
            <w:i/>
            <w:lang w:val="bg-BG"/>
          </w:rPr>
          <w:t>Закон за радиото и телевизията</w:t>
        </w:r>
      </w:hyperlink>
      <w:r w:rsidRPr="00A8679C">
        <w:rPr>
          <w:lang w:val="bg-BG"/>
        </w:rPr>
        <w:t>)</w:t>
      </w:r>
      <w:r>
        <w:rPr>
          <w:lang w:val="en-US"/>
        </w:rPr>
        <w:t>, 24 November 1998</w:t>
      </w:r>
      <w:r w:rsidR="00A8679C">
        <w:rPr>
          <w:lang w:val="en-US"/>
        </w:rPr>
        <w:t>,</w:t>
      </w:r>
      <w:r>
        <w:rPr>
          <w:lang w:val="en-US"/>
        </w:rPr>
        <w:t xml:space="preserve"> last amended 6 October 2023, Art. 8a.</w:t>
      </w:r>
    </w:p>
  </w:footnote>
  <w:footnote w:id="53">
    <w:p w14:paraId="65A1219C" w14:textId="27386328" w:rsidR="002B611F" w:rsidRPr="005E0E13" w:rsidRDefault="002B611F" w:rsidP="005E0E13">
      <w:pPr>
        <w:pStyle w:val="FootnoteText"/>
        <w:rPr>
          <w:lang w:val="en-US"/>
        </w:rPr>
      </w:pPr>
      <w:r>
        <w:rPr>
          <w:rStyle w:val="FootnoteReference"/>
        </w:rPr>
        <w:footnoteRef/>
      </w:r>
      <w:r>
        <w:t xml:space="preserve"> </w:t>
      </w:r>
      <w:r>
        <w:rPr>
          <w:lang w:val="en-US"/>
        </w:rPr>
        <w:t>Bulgaria, Council for Electronic Media (</w:t>
      </w:r>
      <w:r w:rsidRPr="0007617D">
        <w:rPr>
          <w:i/>
          <w:lang w:val="bg-BG"/>
        </w:rPr>
        <w:t>Съвет за електронни медии</w:t>
      </w:r>
      <w:r>
        <w:rPr>
          <w:lang w:val="bg-BG"/>
        </w:rPr>
        <w:t xml:space="preserve">) (2022), </w:t>
      </w:r>
      <w:r w:rsidRPr="00A8679C">
        <w:t xml:space="preserve">Report </w:t>
      </w:r>
      <w:r w:rsidR="00A8679C" w:rsidRPr="00A8679C">
        <w:t>of</w:t>
      </w:r>
      <w:r w:rsidRPr="00A8679C">
        <w:t xml:space="preserve"> the Council for Electronic Media – Bulgaria </w:t>
      </w:r>
      <w:r w:rsidR="00A8679C" w:rsidRPr="00A8679C">
        <w:t>on</w:t>
      </w:r>
      <w:r w:rsidRPr="00A8679C">
        <w:t xml:space="preserve"> the </w:t>
      </w:r>
      <w:r w:rsidR="00A8679C">
        <w:rPr>
          <w:lang w:val="en-US"/>
        </w:rPr>
        <w:t>implementation</w:t>
      </w:r>
      <w:r w:rsidRPr="00A8679C">
        <w:t xml:space="preserve"> of Art. 8a of the Radio and Television Act and Art. 7 of Directive (EU) 2018/1808 for January 2021 </w:t>
      </w:r>
      <w:r w:rsidR="00A8679C">
        <w:t>–</w:t>
      </w:r>
      <w:r w:rsidRPr="00A8679C">
        <w:t xml:space="preserve"> December</w:t>
      </w:r>
      <w:r w:rsidR="00A8679C">
        <w:t xml:space="preserve"> </w:t>
      </w:r>
      <w:r w:rsidRPr="00A8679C">
        <w:t>2022</w:t>
      </w:r>
      <w:r>
        <w:rPr>
          <w:lang w:val="en-US"/>
        </w:rPr>
        <w:t xml:space="preserve"> </w:t>
      </w:r>
      <w:r w:rsidRPr="00A8679C">
        <w:rPr>
          <w:lang w:val="bg-BG"/>
        </w:rPr>
        <w:t>(</w:t>
      </w:r>
      <w:hyperlink r:id="rId52" w:history="1">
        <w:r w:rsidRPr="00A8679C">
          <w:rPr>
            <w:rStyle w:val="Hyperlink"/>
            <w:i/>
            <w:lang w:val="bg-BG"/>
          </w:rPr>
          <w:t xml:space="preserve">Отчет на Съвета за електронни медии – България за изпълнението на чл. 8а от Закона за радиото и телевизията и чл. 7 от Директива (ЕС) 2018/1808 за периода: януари 2021 г. </w:t>
        </w:r>
        <w:r w:rsidR="00A8679C" w:rsidRPr="00A8679C">
          <w:rPr>
            <w:rStyle w:val="Hyperlink"/>
            <w:i/>
            <w:lang w:val="bg-BG"/>
          </w:rPr>
          <w:t>–</w:t>
        </w:r>
        <w:r w:rsidRPr="00A8679C">
          <w:rPr>
            <w:rStyle w:val="Hyperlink"/>
            <w:i/>
            <w:lang w:val="bg-BG"/>
          </w:rPr>
          <w:t xml:space="preserve"> декември 2022</w:t>
        </w:r>
        <w:r w:rsidR="00A8679C">
          <w:rPr>
            <w:rStyle w:val="Hyperlink"/>
            <w:i/>
            <w:lang w:val="en-US"/>
          </w:rPr>
          <w:t xml:space="preserve"> </w:t>
        </w:r>
        <w:r w:rsidR="00A8679C">
          <w:rPr>
            <w:rStyle w:val="Hyperlink"/>
            <w:i/>
            <w:lang w:val="bg-BG"/>
          </w:rPr>
          <w:t>г.</w:t>
        </w:r>
      </w:hyperlink>
      <w:r w:rsidRPr="00A8679C">
        <w:rPr>
          <w:lang w:val="bg-BG"/>
        </w:rPr>
        <w:t>)</w:t>
      </w:r>
      <w:r>
        <w:rPr>
          <w:lang w:val="bg-BG"/>
        </w:rPr>
        <w:t xml:space="preserve">, 22 </w:t>
      </w:r>
      <w:r>
        <w:rPr>
          <w:lang w:val="en-US"/>
        </w:rPr>
        <w:t>December 2022.</w:t>
      </w:r>
    </w:p>
  </w:footnote>
  <w:footnote w:id="54">
    <w:p w14:paraId="5F9C8C9E" w14:textId="2B0CE0CB" w:rsidR="002B611F" w:rsidRPr="00286198" w:rsidRDefault="002B611F">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E25772">
        <w:rPr>
          <w:lang w:val="bg-BG"/>
        </w:rPr>
        <w:t>(</w:t>
      </w:r>
      <w:hyperlink r:id="rId53" w:history="1">
        <w:r w:rsidRPr="00E25772">
          <w:rPr>
            <w:rStyle w:val="Hyperlink"/>
            <w:i/>
            <w:lang w:val="bg-BG"/>
          </w:rPr>
          <w:t>Изборен кодекс</w:t>
        </w:r>
      </w:hyperlink>
      <w:r w:rsidRPr="00E25772">
        <w:rPr>
          <w:lang w:val="bg-BG"/>
        </w:rPr>
        <w:t>)</w:t>
      </w:r>
      <w:r>
        <w:rPr>
          <w:lang w:val="en-US"/>
        </w:rPr>
        <w:t>, 5 March 2014</w:t>
      </w:r>
      <w:r w:rsidR="00E25772">
        <w:rPr>
          <w:lang w:val="en-US"/>
        </w:rPr>
        <w:t>,</w:t>
      </w:r>
      <w:r>
        <w:rPr>
          <w:lang w:val="en-US"/>
        </w:rPr>
        <w:t xml:space="preserve"> last amended 30 December 2022, Art. 178.</w:t>
      </w:r>
    </w:p>
  </w:footnote>
  <w:footnote w:id="55">
    <w:p w14:paraId="2182052B" w14:textId="0A7569A4" w:rsidR="002B611F" w:rsidRPr="00631056" w:rsidRDefault="002B611F" w:rsidP="004C3954">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E25772">
        <w:rPr>
          <w:lang w:val="bg-BG"/>
        </w:rPr>
        <w:t>(</w:t>
      </w:r>
      <w:hyperlink r:id="rId54" w:history="1">
        <w:r w:rsidRPr="00E25772">
          <w:rPr>
            <w:rStyle w:val="Hyperlink"/>
            <w:i/>
            <w:lang w:val="bg-BG"/>
          </w:rPr>
          <w:t>Изборен кодекс</w:t>
        </w:r>
      </w:hyperlink>
      <w:r w:rsidRPr="00E25772">
        <w:rPr>
          <w:lang w:val="bg-BG"/>
        </w:rPr>
        <w:t>)</w:t>
      </w:r>
      <w:r>
        <w:rPr>
          <w:lang w:val="en-US"/>
        </w:rPr>
        <w:t>, 5 March 2014</w:t>
      </w:r>
      <w:r w:rsidR="00E25772">
        <w:rPr>
          <w:lang w:val="en-US"/>
        </w:rPr>
        <w:t>,</w:t>
      </w:r>
      <w:r>
        <w:rPr>
          <w:lang w:val="en-US"/>
        </w:rPr>
        <w:t xml:space="preserve"> last amended 30 December 2022, Art. 72</w:t>
      </w:r>
      <w:r w:rsidR="00E25772">
        <w:rPr>
          <w:lang w:val="en-US"/>
        </w:rPr>
        <w:t xml:space="preserve"> (for regional commissions)</w:t>
      </w:r>
      <w:r>
        <w:rPr>
          <w:lang w:val="en-US"/>
        </w:rPr>
        <w:t xml:space="preserve"> and </w:t>
      </w:r>
      <w:r w:rsidR="00E25772">
        <w:rPr>
          <w:lang w:val="en-US"/>
        </w:rPr>
        <w:t xml:space="preserve">Art. </w:t>
      </w:r>
      <w:r>
        <w:rPr>
          <w:lang w:val="en-US"/>
        </w:rPr>
        <w:t>87</w:t>
      </w:r>
      <w:r w:rsidR="00E25772">
        <w:rPr>
          <w:lang w:val="en-US"/>
        </w:rPr>
        <w:t xml:space="preserve"> (for municipal commissions)</w:t>
      </w:r>
      <w:r>
        <w:rPr>
          <w:lang w:val="en-US"/>
        </w:rPr>
        <w:t>.</w:t>
      </w:r>
    </w:p>
  </w:footnote>
  <w:footnote w:id="56">
    <w:p w14:paraId="278346CD" w14:textId="40E1A4E7" w:rsidR="002B611F" w:rsidRPr="00631056" w:rsidRDefault="002B611F" w:rsidP="004C3954">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E25772">
        <w:rPr>
          <w:lang w:val="bg-BG"/>
        </w:rPr>
        <w:t>(</w:t>
      </w:r>
      <w:hyperlink r:id="rId55" w:history="1">
        <w:r w:rsidRPr="00E25772">
          <w:rPr>
            <w:rStyle w:val="Hyperlink"/>
            <w:i/>
            <w:lang w:val="bg-BG"/>
          </w:rPr>
          <w:t>Изборен кодекс</w:t>
        </w:r>
      </w:hyperlink>
      <w:r w:rsidRPr="00E25772">
        <w:rPr>
          <w:lang w:val="bg-BG"/>
        </w:rPr>
        <w:t>)</w:t>
      </w:r>
      <w:r>
        <w:rPr>
          <w:lang w:val="en-US"/>
        </w:rPr>
        <w:t>, 5 March 2014</w:t>
      </w:r>
      <w:r w:rsidR="00E25772">
        <w:rPr>
          <w:lang w:val="en-US"/>
        </w:rPr>
        <w:t>,</w:t>
      </w:r>
      <w:r>
        <w:rPr>
          <w:lang w:val="en-US"/>
        </w:rPr>
        <w:t xml:space="preserve"> last amended 30 December 2022, </w:t>
      </w:r>
      <w:r w:rsidR="00E25772">
        <w:rPr>
          <w:lang w:val="en-US"/>
        </w:rPr>
        <w:t>Art. 72 (for regional commissions) and Art. 87 (for municipal commissions)</w:t>
      </w:r>
      <w:r>
        <w:rPr>
          <w:lang w:val="en-US"/>
        </w:rPr>
        <w:t>.</w:t>
      </w:r>
    </w:p>
  </w:footnote>
  <w:footnote w:id="57">
    <w:p w14:paraId="2C0BAE3F" w14:textId="4580EE23" w:rsidR="002B611F" w:rsidRPr="00472B79" w:rsidRDefault="002B611F" w:rsidP="004C3954">
      <w:pPr>
        <w:pStyle w:val="FootnoteText"/>
        <w:rPr>
          <w:lang w:val="en-US"/>
        </w:rPr>
      </w:pPr>
      <w:r>
        <w:rPr>
          <w:rStyle w:val="FootnoteReference"/>
        </w:rPr>
        <w:footnoteRef/>
      </w:r>
      <w:r>
        <w:t xml:space="preserve"> </w:t>
      </w:r>
      <w:r w:rsidRPr="00472B79">
        <w:t>Bulgaria, Central Electoral Commission (</w:t>
      </w:r>
      <w:r w:rsidRPr="00E25772">
        <w:rPr>
          <w:i/>
          <w:lang w:val="bg-BG"/>
        </w:rPr>
        <w:t>Централна избирателна комисия</w:t>
      </w:r>
      <w:r w:rsidRPr="00472B79">
        <w:t>), Decision No 2</w:t>
      </w:r>
      <w:r>
        <w:t>545</w:t>
      </w:r>
      <w:r w:rsidRPr="00472B79">
        <w:t xml:space="preserve">-МИ Sofia </w:t>
      </w:r>
      <w:r w:rsidRPr="00E25772">
        <w:rPr>
          <w:lang w:val="bg-BG"/>
        </w:rPr>
        <w:t>(</w:t>
      </w:r>
      <w:hyperlink r:id="rId56" w:history="1">
        <w:r w:rsidRPr="00E25772">
          <w:rPr>
            <w:rStyle w:val="Hyperlink"/>
            <w:i/>
            <w:lang w:val="bg-BG"/>
          </w:rPr>
          <w:t>Решение № 2545-МИ София</w:t>
        </w:r>
      </w:hyperlink>
      <w:r w:rsidRPr="00E25772">
        <w:rPr>
          <w:lang w:val="bg-BG"/>
        </w:rPr>
        <w:t>)</w:t>
      </w:r>
      <w:r w:rsidRPr="00472B79">
        <w:t xml:space="preserve">, </w:t>
      </w:r>
      <w:r>
        <w:rPr>
          <w:lang w:val="bg-BG"/>
        </w:rPr>
        <w:t>29</w:t>
      </w:r>
      <w:r w:rsidRPr="00472B79">
        <w:t xml:space="preserve"> </w:t>
      </w:r>
      <w:r>
        <w:rPr>
          <w:lang w:val="en-US"/>
        </w:rPr>
        <w:t>September</w:t>
      </w:r>
      <w:r w:rsidRPr="00472B79">
        <w:t xml:space="preserve"> 2023.</w:t>
      </w:r>
    </w:p>
  </w:footnote>
  <w:footnote w:id="58">
    <w:p w14:paraId="569823A2" w14:textId="77777777" w:rsidR="00E25772" w:rsidRPr="00141024" w:rsidRDefault="00E25772" w:rsidP="00E25772">
      <w:pPr>
        <w:pStyle w:val="FootnoteText"/>
        <w:rPr>
          <w:lang w:val="en-US"/>
        </w:rPr>
      </w:pPr>
      <w:r>
        <w:rPr>
          <w:rStyle w:val="FootnoteReference"/>
        </w:rPr>
        <w:footnoteRef/>
      </w:r>
      <w:r>
        <w:t xml:space="preserve"> </w:t>
      </w:r>
      <w:r w:rsidRPr="00555E1E">
        <w:rPr>
          <w:lang w:val="en-US"/>
        </w:rPr>
        <w:t xml:space="preserve">National Association of </w:t>
      </w:r>
      <w:r>
        <w:rPr>
          <w:lang w:val="en-US"/>
        </w:rPr>
        <w:t>t</w:t>
      </w:r>
      <w:r w:rsidRPr="00555E1E">
        <w:rPr>
          <w:lang w:val="en-US"/>
        </w:rPr>
        <w:t xml:space="preserve">he Municipalities </w:t>
      </w:r>
      <w:r>
        <w:rPr>
          <w:lang w:val="en-US"/>
        </w:rPr>
        <w:t>i</w:t>
      </w:r>
      <w:r w:rsidRPr="00555E1E">
        <w:rPr>
          <w:lang w:val="en-US"/>
        </w:rPr>
        <w:t xml:space="preserve">n Republic </w:t>
      </w:r>
      <w:r>
        <w:rPr>
          <w:lang w:val="en-US"/>
        </w:rPr>
        <w:t>o</w:t>
      </w:r>
      <w:r w:rsidRPr="00555E1E">
        <w:rPr>
          <w:lang w:val="en-US"/>
        </w:rPr>
        <w:t>f Bulgaria</w:t>
      </w:r>
      <w:r>
        <w:rPr>
          <w:lang w:val="en-US"/>
        </w:rPr>
        <w:t xml:space="preserve"> (</w:t>
      </w:r>
      <w:r w:rsidRPr="00285302">
        <w:rPr>
          <w:i/>
          <w:lang w:val="bg-BG"/>
        </w:rPr>
        <w:t xml:space="preserve">Национално сдружение на </w:t>
      </w:r>
      <w:r>
        <w:rPr>
          <w:i/>
          <w:lang w:val="bg-BG"/>
        </w:rPr>
        <w:t>о</w:t>
      </w:r>
      <w:r w:rsidRPr="00285302">
        <w:rPr>
          <w:i/>
          <w:lang w:val="bg-BG"/>
        </w:rPr>
        <w:t>бщините в Република България</w:t>
      </w:r>
      <w:r>
        <w:rPr>
          <w:lang w:val="bg-BG"/>
        </w:rPr>
        <w:t>)</w:t>
      </w:r>
      <w:r>
        <w:rPr>
          <w:lang w:val="en-US"/>
        </w:rPr>
        <w:t xml:space="preserve">, Letter No </w:t>
      </w:r>
      <w:r w:rsidRPr="000109E6">
        <w:rPr>
          <w:lang w:val="en-US"/>
        </w:rPr>
        <w:t>И-1844(2)</w:t>
      </w:r>
      <w:r>
        <w:rPr>
          <w:lang w:val="en-US"/>
        </w:rPr>
        <w:t xml:space="preserve"> to the Center for the Study of Democracy, 10 November 2023.</w:t>
      </w:r>
    </w:p>
  </w:footnote>
  <w:footnote w:id="59">
    <w:p w14:paraId="41A17A82" w14:textId="7D3F4FF2" w:rsidR="003D33E3" w:rsidRPr="00555E1E" w:rsidRDefault="003D33E3" w:rsidP="003D33E3">
      <w:pPr>
        <w:pStyle w:val="FootnoteText"/>
        <w:rPr>
          <w:lang w:val="bg-BG"/>
        </w:rPr>
      </w:pPr>
      <w:r>
        <w:rPr>
          <w:rStyle w:val="FootnoteReference"/>
        </w:rPr>
        <w:footnoteRef/>
      </w:r>
      <w:r>
        <w:t xml:space="preserve"> </w:t>
      </w:r>
      <w:r>
        <w:rPr>
          <w:lang w:val="en-US"/>
        </w:rPr>
        <w:t xml:space="preserve">For example, see the </w:t>
      </w:r>
      <w:hyperlink r:id="rId57" w:history="1">
        <w:r w:rsidRPr="00555E1E">
          <w:rPr>
            <w:rStyle w:val="Hyperlink"/>
            <w:lang w:val="en-US"/>
          </w:rPr>
          <w:t>web</w:t>
        </w:r>
        <w:r w:rsidR="00E25772">
          <w:rPr>
            <w:rStyle w:val="Hyperlink"/>
            <w:lang w:val="en-US"/>
          </w:rPr>
          <w:t>site</w:t>
        </w:r>
      </w:hyperlink>
      <w:r>
        <w:rPr>
          <w:lang w:val="en-US"/>
        </w:rPr>
        <w:t xml:space="preserve"> </w:t>
      </w:r>
      <w:r w:rsidR="00E25772">
        <w:rPr>
          <w:lang w:val="en-US"/>
        </w:rPr>
        <w:t>of Plovdiv Municipality</w:t>
      </w:r>
      <w:r>
        <w:rPr>
          <w:lang w:val="bg-BG"/>
        </w:rPr>
        <w:t>.</w:t>
      </w:r>
    </w:p>
  </w:footnote>
  <w:footnote w:id="60">
    <w:p w14:paraId="6AE5B05B" w14:textId="51A37DF6" w:rsidR="003D33E3" w:rsidRPr="00555B81" w:rsidRDefault="003D33E3" w:rsidP="003D33E3">
      <w:pPr>
        <w:pStyle w:val="FootnoteText"/>
        <w:rPr>
          <w:lang w:val="bg-BG"/>
        </w:rPr>
      </w:pPr>
      <w:r>
        <w:rPr>
          <w:rStyle w:val="FootnoteReference"/>
        </w:rPr>
        <w:footnoteRef/>
      </w:r>
      <w:r w:rsidRPr="00555B81">
        <w:rPr>
          <w:lang w:val="bg-BG"/>
        </w:rPr>
        <w:t xml:space="preserve"> </w:t>
      </w:r>
      <w:r w:rsidR="00E25772" w:rsidRPr="00B91EE6">
        <w:t>For</w:t>
      </w:r>
      <w:r w:rsidR="00E25772" w:rsidRPr="00555B81">
        <w:rPr>
          <w:lang w:val="bg-BG"/>
        </w:rPr>
        <w:t xml:space="preserve"> </w:t>
      </w:r>
      <w:r w:rsidR="00E25772" w:rsidRPr="00B91EE6">
        <w:t>e</w:t>
      </w:r>
      <w:r w:rsidRPr="00B91EE6">
        <w:t>xample</w:t>
      </w:r>
      <w:r w:rsidR="00E25772" w:rsidRPr="00555B81">
        <w:rPr>
          <w:lang w:val="bg-BG"/>
        </w:rPr>
        <w:t xml:space="preserve">, </w:t>
      </w:r>
      <w:r w:rsidR="00E25772" w:rsidRPr="00B91EE6">
        <w:t>see</w:t>
      </w:r>
      <w:r w:rsidRPr="00555B81">
        <w:rPr>
          <w:lang w:val="bg-BG"/>
        </w:rPr>
        <w:t xml:space="preserve"> </w:t>
      </w:r>
      <w:r w:rsidRPr="00B91EE6">
        <w:t>bTV</w:t>
      </w:r>
      <w:r w:rsidRPr="00555B81">
        <w:rPr>
          <w:lang w:val="bg-BG"/>
        </w:rPr>
        <w:t xml:space="preserve"> (2023), ‘</w:t>
      </w:r>
      <w:r w:rsidRPr="00B91EE6">
        <w:t>Even</w:t>
      </w:r>
      <w:r w:rsidRPr="00555B81">
        <w:rPr>
          <w:lang w:val="bg-BG"/>
        </w:rPr>
        <w:t xml:space="preserve"> </w:t>
      </w:r>
      <w:r w:rsidRPr="00B91EE6">
        <w:t>a</w:t>
      </w:r>
      <w:r w:rsidRPr="00555B81">
        <w:rPr>
          <w:lang w:val="bg-BG"/>
        </w:rPr>
        <w:t xml:space="preserve"> </w:t>
      </w:r>
      <w:r w:rsidRPr="00B91EE6">
        <w:t>brace</w:t>
      </w:r>
      <w:r w:rsidRPr="00555B81">
        <w:rPr>
          <w:lang w:val="bg-BG"/>
        </w:rPr>
        <w:t xml:space="preserve"> </w:t>
      </w:r>
      <w:r w:rsidRPr="00B91EE6">
        <w:t>and</w:t>
      </w:r>
      <w:r w:rsidRPr="00555B81">
        <w:rPr>
          <w:lang w:val="bg-BG"/>
        </w:rPr>
        <w:t xml:space="preserve"> </w:t>
      </w:r>
      <w:r w:rsidRPr="00B91EE6">
        <w:t>crutches</w:t>
      </w:r>
      <w:r w:rsidRPr="00555B81">
        <w:rPr>
          <w:lang w:val="bg-BG"/>
        </w:rPr>
        <w:t xml:space="preserve"> </w:t>
      </w:r>
      <w:r w:rsidRPr="00B91EE6">
        <w:t>did</w:t>
      </w:r>
      <w:r w:rsidR="00B91EE6" w:rsidRPr="00555B81">
        <w:rPr>
          <w:lang w:val="bg-BG"/>
        </w:rPr>
        <w:t xml:space="preserve"> </w:t>
      </w:r>
      <w:r w:rsidRPr="00B91EE6">
        <w:t>n</w:t>
      </w:r>
      <w:r w:rsidR="00B91EE6">
        <w:t>o</w:t>
      </w:r>
      <w:r w:rsidRPr="00B91EE6">
        <w:t>t</w:t>
      </w:r>
      <w:r w:rsidRPr="00555B81">
        <w:rPr>
          <w:lang w:val="bg-BG"/>
        </w:rPr>
        <w:t xml:space="preserve"> </w:t>
      </w:r>
      <w:r w:rsidRPr="00B91EE6">
        <w:t>stop</w:t>
      </w:r>
      <w:r w:rsidRPr="00555B81">
        <w:rPr>
          <w:lang w:val="bg-BG"/>
        </w:rPr>
        <w:t xml:space="preserve"> </w:t>
      </w:r>
      <w:r w:rsidRPr="00B91EE6">
        <w:t>her</w:t>
      </w:r>
      <w:r w:rsidRPr="00555B81">
        <w:rPr>
          <w:lang w:val="bg-BG"/>
        </w:rPr>
        <w:t xml:space="preserve">: </w:t>
      </w:r>
      <w:r w:rsidRPr="00B91EE6">
        <w:t>a</w:t>
      </w:r>
      <w:r w:rsidRPr="00555B81">
        <w:rPr>
          <w:lang w:val="bg-BG"/>
        </w:rPr>
        <w:t xml:space="preserve"> </w:t>
      </w:r>
      <w:r w:rsidRPr="00B91EE6">
        <w:t>woman</w:t>
      </w:r>
      <w:r w:rsidRPr="00555B81">
        <w:rPr>
          <w:lang w:val="bg-BG"/>
        </w:rPr>
        <w:t xml:space="preserve"> </w:t>
      </w:r>
      <w:r w:rsidRPr="00B91EE6">
        <w:t>with</w:t>
      </w:r>
      <w:r w:rsidRPr="00555B81">
        <w:rPr>
          <w:lang w:val="bg-BG"/>
        </w:rPr>
        <w:t xml:space="preserve"> </w:t>
      </w:r>
      <w:r w:rsidRPr="00B91EE6">
        <w:t>an</w:t>
      </w:r>
      <w:r w:rsidRPr="00555B81">
        <w:rPr>
          <w:lang w:val="bg-BG"/>
        </w:rPr>
        <w:t xml:space="preserve"> </w:t>
      </w:r>
      <w:r w:rsidRPr="00B91EE6">
        <w:t>immobilised</w:t>
      </w:r>
      <w:r w:rsidRPr="00555B81">
        <w:rPr>
          <w:lang w:val="bg-BG"/>
        </w:rPr>
        <w:t xml:space="preserve"> </w:t>
      </w:r>
      <w:r w:rsidRPr="00B91EE6">
        <w:t>leg</w:t>
      </w:r>
      <w:r w:rsidRPr="00555B81">
        <w:rPr>
          <w:lang w:val="bg-BG"/>
        </w:rPr>
        <w:t xml:space="preserve"> </w:t>
      </w:r>
      <w:r w:rsidRPr="00B91EE6">
        <w:t>did</w:t>
      </w:r>
      <w:r w:rsidR="00B91EE6" w:rsidRPr="00555B81">
        <w:rPr>
          <w:lang w:val="bg-BG"/>
        </w:rPr>
        <w:t xml:space="preserve"> </w:t>
      </w:r>
      <w:r w:rsidRPr="00B91EE6">
        <w:t>n</w:t>
      </w:r>
      <w:r w:rsidR="00B91EE6">
        <w:t>o</w:t>
      </w:r>
      <w:r w:rsidRPr="00B91EE6">
        <w:t>t</w:t>
      </w:r>
      <w:r w:rsidRPr="00555B81">
        <w:rPr>
          <w:lang w:val="bg-BG"/>
        </w:rPr>
        <w:t xml:space="preserve"> </w:t>
      </w:r>
      <w:r w:rsidRPr="00B91EE6">
        <w:t>give</w:t>
      </w:r>
      <w:r w:rsidRPr="00555B81">
        <w:rPr>
          <w:lang w:val="bg-BG"/>
        </w:rPr>
        <w:t xml:space="preserve"> </w:t>
      </w:r>
      <w:r w:rsidRPr="00B91EE6">
        <w:t>up</w:t>
      </w:r>
      <w:r w:rsidRPr="00555B81">
        <w:rPr>
          <w:lang w:val="bg-BG"/>
        </w:rPr>
        <w:t xml:space="preserve"> </w:t>
      </w:r>
      <w:r w:rsidRPr="00B91EE6">
        <w:t>and</w:t>
      </w:r>
      <w:r w:rsidRPr="00555B81">
        <w:rPr>
          <w:lang w:val="bg-BG"/>
        </w:rPr>
        <w:t xml:space="preserve"> </w:t>
      </w:r>
      <w:r w:rsidRPr="00B91EE6">
        <w:t>managed</w:t>
      </w:r>
      <w:r w:rsidRPr="00555B81">
        <w:rPr>
          <w:lang w:val="bg-BG"/>
        </w:rPr>
        <w:t xml:space="preserve"> </w:t>
      </w:r>
      <w:r w:rsidRPr="00B91EE6">
        <w:t>to</w:t>
      </w:r>
      <w:r w:rsidRPr="00555B81">
        <w:rPr>
          <w:lang w:val="bg-BG"/>
        </w:rPr>
        <w:t xml:space="preserve"> </w:t>
      </w:r>
      <w:r w:rsidRPr="00B91EE6">
        <w:t>vote</w:t>
      </w:r>
      <w:r w:rsidRPr="00555B81">
        <w:rPr>
          <w:lang w:val="bg-BG"/>
        </w:rPr>
        <w:t xml:space="preserve">’ </w:t>
      </w:r>
      <w:r w:rsidRPr="00B91EE6">
        <w:rPr>
          <w:lang w:val="bg-BG"/>
        </w:rPr>
        <w:t>(</w:t>
      </w:r>
      <w:r w:rsidR="004A6039">
        <w:fldChar w:fldCharType="begin"/>
      </w:r>
      <w:r w:rsidR="004A6039">
        <w:instrText>HYPERLINK</w:instrText>
      </w:r>
      <w:r w:rsidR="004A6039" w:rsidRPr="004A6039">
        <w:rPr>
          <w:lang w:val="bg-BG"/>
        </w:rPr>
        <w:instrText xml:space="preserve"> "</w:instrText>
      </w:r>
      <w:r w:rsidR="004A6039">
        <w:instrText>https</w:instrText>
      </w:r>
      <w:r w:rsidR="004A6039" w:rsidRPr="004A6039">
        <w:rPr>
          <w:lang w:val="bg-BG"/>
        </w:rPr>
        <w:instrText>://</w:instrText>
      </w:r>
      <w:r w:rsidR="004A6039">
        <w:instrText>btvnovinite</w:instrText>
      </w:r>
      <w:r w:rsidR="004A6039" w:rsidRPr="004A6039">
        <w:rPr>
          <w:lang w:val="bg-BG"/>
        </w:rPr>
        <w:instrText>.</w:instrText>
      </w:r>
      <w:r w:rsidR="004A6039">
        <w:instrText>bg</w:instrText>
      </w:r>
      <w:r w:rsidR="004A6039" w:rsidRPr="004A6039">
        <w:rPr>
          <w:lang w:val="bg-BG"/>
        </w:rPr>
        <w:instrText>/</w:instrText>
      </w:r>
      <w:r w:rsidR="004A6039">
        <w:instrText>bulgaria</w:instrText>
      </w:r>
      <w:r w:rsidR="004A6039" w:rsidRPr="004A6039">
        <w:rPr>
          <w:lang w:val="bg-BG"/>
        </w:rPr>
        <w:instrText>/</w:instrText>
      </w:r>
      <w:r w:rsidR="004A6039">
        <w:instrText>dori</w:instrText>
      </w:r>
      <w:r w:rsidR="004A6039" w:rsidRPr="004A6039">
        <w:rPr>
          <w:lang w:val="bg-BG"/>
        </w:rPr>
        <w:instrText>-</w:instrText>
      </w:r>
      <w:r w:rsidR="004A6039">
        <w:instrText>shinata</w:instrText>
      </w:r>
      <w:r w:rsidR="004A6039" w:rsidRPr="004A6039">
        <w:rPr>
          <w:lang w:val="bg-BG"/>
        </w:rPr>
        <w:instrText>-</w:instrText>
      </w:r>
      <w:r w:rsidR="004A6039">
        <w:instrText>i</w:instrText>
      </w:r>
      <w:r w:rsidR="004A6039" w:rsidRPr="004A6039">
        <w:rPr>
          <w:lang w:val="bg-BG"/>
        </w:rPr>
        <w:instrText>-</w:instrText>
      </w:r>
      <w:r w:rsidR="004A6039">
        <w:instrText>patericite</w:instrText>
      </w:r>
      <w:r w:rsidR="004A6039" w:rsidRPr="004A6039">
        <w:rPr>
          <w:lang w:val="bg-BG"/>
        </w:rPr>
        <w:instrText>-</w:instrText>
      </w:r>
      <w:r w:rsidR="004A6039">
        <w:instrText>ne</w:instrText>
      </w:r>
      <w:r w:rsidR="004A6039" w:rsidRPr="004A6039">
        <w:rPr>
          <w:lang w:val="bg-BG"/>
        </w:rPr>
        <w:instrText>-</w:instrText>
      </w:r>
      <w:r w:rsidR="004A6039">
        <w:instrText>ja</w:instrText>
      </w:r>
      <w:r w:rsidR="004A6039" w:rsidRPr="004A6039">
        <w:rPr>
          <w:lang w:val="bg-BG"/>
        </w:rPr>
        <w:instrText>-</w:instrText>
      </w:r>
      <w:r w:rsidR="004A6039">
        <w:instrText>sprjaha</w:instrText>
      </w:r>
      <w:r w:rsidR="004A6039" w:rsidRPr="004A6039">
        <w:rPr>
          <w:lang w:val="bg-BG"/>
        </w:rPr>
        <w:instrText>-</w:instrText>
      </w:r>
      <w:r w:rsidR="004A6039">
        <w:instrText>zhena</w:instrText>
      </w:r>
      <w:r w:rsidR="004A6039" w:rsidRPr="004A6039">
        <w:rPr>
          <w:lang w:val="bg-BG"/>
        </w:rPr>
        <w:instrText>-</w:instrText>
      </w:r>
      <w:r w:rsidR="004A6039">
        <w:instrText>s</w:instrText>
      </w:r>
      <w:r w:rsidR="004A6039" w:rsidRPr="004A6039">
        <w:rPr>
          <w:lang w:val="bg-BG"/>
        </w:rPr>
        <w:instrText>-</w:instrText>
      </w:r>
      <w:r w:rsidR="004A6039">
        <w:instrText>obezdvizhen</w:instrText>
      </w:r>
      <w:r w:rsidR="004A6039" w:rsidRPr="004A6039">
        <w:rPr>
          <w:lang w:val="bg-BG"/>
        </w:rPr>
        <w:instrText>-</w:instrText>
      </w:r>
      <w:r w:rsidR="004A6039">
        <w:instrText>krak</w:instrText>
      </w:r>
      <w:r w:rsidR="004A6039" w:rsidRPr="004A6039">
        <w:rPr>
          <w:lang w:val="bg-BG"/>
        </w:rPr>
        <w:instrText>-</w:instrText>
      </w:r>
      <w:r w:rsidR="004A6039">
        <w:instrText>ne</w:instrText>
      </w:r>
      <w:r w:rsidR="004A6039" w:rsidRPr="004A6039">
        <w:rPr>
          <w:lang w:val="bg-BG"/>
        </w:rPr>
        <w:instrText>-</w:instrText>
      </w:r>
      <w:r w:rsidR="004A6039">
        <w:instrText>se</w:instrText>
      </w:r>
      <w:r w:rsidR="004A6039" w:rsidRPr="004A6039">
        <w:rPr>
          <w:lang w:val="bg-BG"/>
        </w:rPr>
        <w:instrText>-</w:instrText>
      </w:r>
      <w:r w:rsidR="004A6039">
        <w:instrText>otkaza</w:instrText>
      </w:r>
      <w:r w:rsidR="004A6039" w:rsidRPr="004A6039">
        <w:rPr>
          <w:lang w:val="bg-BG"/>
        </w:rPr>
        <w:instrText>-</w:instrText>
      </w:r>
      <w:r w:rsidR="004A6039">
        <w:instrText>i</w:instrText>
      </w:r>
      <w:r w:rsidR="004A6039" w:rsidRPr="004A6039">
        <w:rPr>
          <w:lang w:val="bg-BG"/>
        </w:rPr>
        <w:instrText>-</w:instrText>
      </w:r>
      <w:r w:rsidR="004A6039">
        <w:instrText>uspja</w:instrText>
      </w:r>
      <w:r w:rsidR="004A6039" w:rsidRPr="004A6039">
        <w:rPr>
          <w:lang w:val="bg-BG"/>
        </w:rPr>
        <w:instrText>-</w:instrText>
      </w:r>
      <w:r w:rsidR="004A6039">
        <w:instrText>da</w:instrText>
      </w:r>
      <w:r w:rsidR="004A6039" w:rsidRPr="004A6039">
        <w:rPr>
          <w:lang w:val="bg-BG"/>
        </w:rPr>
        <w:instrText>-</w:instrText>
      </w:r>
      <w:r w:rsidR="004A6039">
        <w:instrText>glasuva</w:instrText>
      </w:r>
      <w:r w:rsidR="004A6039" w:rsidRPr="004A6039">
        <w:rPr>
          <w:lang w:val="bg-BG"/>
        </w:rPr>
        <w:instrText>.</w:instrText>
      </w:r>
      <w:r w:rsidR="004A6039">
        <w:instrText>html</w:instrText>
      </w:r>
      <w:r w:rsidR="004A6039" w:rsidRPr="004A6039">
        <w:rPr>
          <w:lang w:val="bg-BG"/>
        </w:rPr>
        <w:instrText>?</w:instrText>
      </w:r>
      <w:r w:rsidR="004A6039">
        <w:instrText>fbclid</w:instrText>
      </w:r>
      <w:r w:rsidR="004A6039" w:rsidRPr="004A6039">
        <w:rPr>
          <w:lang w:val="bg-BG"/>
        </w:rPr>
        <w:instrText>=</w:instrText>
      </w:r>
      <w:r w:rsidR="004A6039">
        <w:instrText>IwAR</w:instrText>
      </w:r>
      <w:r w:rsidR="004A6039" w:rsidRPr="004A6039">
        <w:rPr>
          <w:lang w:val="bg-BG"/>
        </w:rPr>
        <w:instrText>1</w:instrText>
      </w:r>
      <w:r w:rsidR="004A6039">
        <w:instrText>VzrbKTQQnAQZxC</w:instrText>
      </w:r>
      <w:r w:rsidR="004A6039" w:rsidRPr="004A6039">
        <w:rPr>
          <w:lang w:val="bg-BG"/>
        </w:rPr>
        <w:instrText>6</w:instrText>
      </w:r>
      <w:r w:rsidR="004A6039">
        <w:instrText>wTbaoxW</w:instrText>
      </w:r>
      <w:r w:rsidR="004A6039" w:rsidRPr="004A6039">
        <w:rPr>
          <w:lang w:val="bg-BG"/>
        </w:rPr>
        <w:instrText>2</w:instrText>
      </w:r>
      <w:r w:rsidR="004A6039">
        <w:instrText>Y</w:instrText>
      </w:r>
      <w:r w:rsidR="004A6039" w:rsidRPr="004A6039">
        <w:rPr>
          <w:lang w:val="bg-BG"/>
        </w:rPr>
        <w:instrText>-</w:instrText>
      </w:r>
      <w:r w:rsidR="004A6039">
        <w:instrText>tshwqlFpk</w:instrText>
      </w:r>
      <w:r w:rsidR="004A6039" w:rsidRPr="004A6039">
        <w:rPr>
          <w:lang w:val="bg-BG"/>
        </w:rPr>
        <w:instrText>4</w:instrText>
      </w:r>
      <w:r w:rsidR="004A6039">
        <w:instrText>JOWNx</w:instrText>
      </w:r>
      <w:r w:rsidR="004A6039" w:rsidRPr="004A6039">
        <w:rPr>
          <w:lang w:val="bg-BG"/>
        </w:rPr>
        <w:instrText>9</w:instrText>
      </w:r>
      <w:r w:rsidR="004A6039">
        <w:instrText>GPAngddKPm</w:instrText>
      </w:r>
      <w:r w:rsidR="004A6039" w:rsidRPr="004A6039">
        <w:rPr>
          <w:lang w:val="bg-BG"/>
        </w:rPr>
        <w:instrText>8</w:instrText>
      </w:r>
      <w:r w:rsidR="004A6039">
        <w:instrText>Le</w:instrText>
      </w:r>
      <w:r w:rsidR="004A6039" w:rsidRPr="004A6039">
        <w:rPr>
          <w:lang w:val="bg-BG"/>
        </w:rPr>
        <w:instrText>5</w:instrText>
      </w:r>
      <w:r w:rsidR="004A6039">
        <w:instrText>E</w:instrText>
      </w:r>
      <w:r w:rsidR="004A6039" w:rsidRPr="004A6039">
        <w:rPr>
          <w:lang w:val="bg-BG"/>
        </w:rPr>
        <w:instrText>"</w:instrText>
      </w:r>
      <w:r w:rsidR="004A6039">
        <w:fldChar w:fldCharType="separate"/>
      </w:r>
      <w:r w:rsidR="00B91EE6">
        <w:rPr>
          <w:rStyle w:val="Hyperlink"/>
          <w:i/>
          <w:lang w:val="bg-BG"/>
        </w:rPr>
        <w:t>'Дори шината и патериците не я спряха: Жена с обездвижен крак не се отказа и успя да гласува'</w:t>
      </w:r>
      <w:r w:rsidR="004A6039">
        <w:rPr>
          <w:rStyle w:val="Hyperlink"/>
          <w:i/>
          <w:lang w:val="bg-BG"/>
        </w:rPr>
        <w:fldChar w:fldCharType="end"/>
      </w:r>
      <w:r w:rsidRPr="00B91EE6">
        <w:rPr>
          <w:lang w:val="bg-BG"/>
        </w:rPr>
        <w:t>)</w:t>
      </w:r>
      <w:r w:rsidRPr="00555B81">
        <w:rPr>
          <w:lang w:val="bg-BG"/>
        </w:rPr>
        <w:t xml:space="preserve">, 6 </w:t>
      </w:r>
      <w:r>
        <w:rPr>
          <w:lang w:val="en-US"/>
        </w:rPr>
        <w:t>November</w:t>
      </w:r>
      <w:r w:rsidRPr="00555B81">
        <w:rPr>
          <w:lang w:val="bg-BG"/>
        </w:rPr>
        <w:t xml:space="preserve"> 2023</w:t>
      </w:r>
      <w:r w:rsidR="00B91EE6" w:rsidRPr="00555B81">
        <w:rPr>
          <w:lang w:val="bg-BG"/>
        </w:rPr>
        <w:t xml:space="preserve">, </w:t>
      </w:r>
      <w:r w:rsidR="00B91EE6">
        <w:rPr>
          <w:lang w:val="en-US"/>
        </w:rPr>
        <w:t>and</w:t>
      </w:r>
      <w:r w:rsidRPr="00555B81">
        <w:rPr>
          <w:lang w:val="bg-BG"/>
        </w:rPr>
        <w:t xml:space="preserve"> </w:t>
      </w:r>
      <w:r>
        <w:rPr>
          <w:lang w:val="en-US"/>
        </w:rPr>
        <w:t>Bulgarian</w:t>
      </w:r>
      <w:r w:rsidRPr="00555B81">
        <w:rPr>
          <w:lang w:val="bg-BG"/>
        </w:rPr>
        <w:t xml:space="preserve"> </w:t>
      </w:r>
      <w:r>
        <w:rPr>
          <w:lang w:val="en-US"/>
        </w:rPr>
        <w:t>National</w:t>
      </w:r>
      <w:r w:rsidRPr="00555B81">
        <w:rPr>
          <w:lang w:val="bg-BG"/>
        </w:rPr>
        <w:t xml:space="preserve"> </w:t>
      </w:r>
      <w:r>
        <w:rPr>
          <w:lang w:val="en-US"/>
        </w:rPr>
        <w:t>Television</w:t>
      </w:r>
      <w:r w:rsidRPr="00555B81">
        <w:rPr>
          <w:lang w:val="bg-BG"/>
        </w:rPr>
        <w:t xml:space="preserve"> (</w:t>
      </w:r>
      <w:r w:rsidRPr="004A3794">
        <w:rPr>
          <w:i/>
          <w:lang w:val="bg-BG"/>
        </w:rPr>
        <w:t>Българска национална телевизия</w:t>
      </w:r>
      <w:r>
        <w:rPr>
          <w:lang w:val="bg-BG"/>
        </w:rPr>
        <w:t xml:space="preserve">) (2023), </w:t>
      </w:r>
      <w:r w:rsidRPr="00555B81">
        <w:rPr>
          <w:lang w:val="bg-BG"/>
        </w:rPr>
        <w:t>‘</w:t>
      </w:r>
      <w:r w:rsidRPr="004A3794">
        <w:rPr>
          <w:lang w:val="en-US"/>
        </w:rPr>
        <w:t>Police</w:t>
      </w:r>
      <w:r w:rsidRPr="00555B81">
        <w:rPr>
          <w:lang w:val="bg-BG"/>
        </w:rPr>
        <w:t xml:space="preserve"> </w:t>
      </w:r>
      <w:r w:rsidRPr="004A3794">
        <w:rPr>
          <w:lang w:val="en-US"/>
        </w:rPr>
        <w:t>officers</w:t>
      </w:r>
      <w:r w:rsidRPr="00555B81">
        <w:rPr>
          <w:lang w:val="bg-BG"/>
        </w:rPr>
        <w:t xml:space="preserve"> </w:t>
      </w:r>
      <w:r w:rsidRPr="004A3794">
        <w:rPr>
          <w:lang w:val="en-US"/>
        </w:rPr>
        <w:t>helped</w:t>
      </w:r>
      <w:r w:rsidRPr="00555B81">
        <w:rPr>
          <w:lang w:val="bg-BG"/>
        </w:rPr>
        <w:t xml:space="preserve"> </w:t>
      </w:r>
      <w:r w:rsidRPr="004A3794">
        <w:rPr>
          <w:lang w:val="en-US"/>
        </w:rPr>
        <w:t>a</w:t>
      </w:r>
      <w:r w:rsidRPr="00555B81">
        <w:rPr>
          <w:lang w:val="bg-BG"/>
        </w:rPr>
        <w:t xml:space="preserve"> </w:t>
      </w:r>
      <w:r w:rsidRPr="004A3794">
        <w:rPr>
          <w:lang w:val="en-US"/>
        </w:rPr>
        <w:t>woman</w:t>
      </w:r>
      <w:r w:rsidR="00B91EE6" w:rsidRPr="00555B81">
        <w:rPr>
          <w:lang w:val="bg-BG"/>
        </w:rPr>
        <w:t xml:space="preserve"> </w:t>
      </w:r>
      <w:r w:rsidR="00B91EE6">
        <w:rPr>
          <w:lang w:val="en-US"/>
        </w:rPr>
        <w:t>with</w:t>
      </w:r>
      <w:r w:rsidR="00B91EE6" w:rsidRPr="00555B81">
        <w:rPr>
          <w:lang w:val="bg-BG"/>
        </w:rPr>
        <w:t xml:space="preserve"> </w:t>
      </w:r>
      <w:r w:rsidR="00B91EE6">
        <w:rPr>
          <w:lang w:val="en-US"/>
        </w:rPr>
        <w:t>disabilities</w:t>
      </w:r>
      <w:r w:rsidRPr="00555B81">
        <w:rPr>
          <w:lang w:val="bg-BG"/>
        </w:rPr>
        <w:t xml:space="preserve"> </w:t>
      </w:r>
      <w:r w:rsidRPr="004A3794">
        <w:rPr>
          <w:lang w:val="en-US"/>
        </w:rPr>
        <w:t>to</w:t>
      </w:r>
      <w:r w:rsidRPr="00555B81">
        <w:rPr>
          <w:lang w:val="bg-BG"/>
        </w:rPr>
        <w:t xml:space="preserve"> </w:t>
      </w:r>
      <w:r w:rsidRPr="004A3794">
        <w:rPr>
          <w:lang w:val="en-US"/>
        </w:rPr>
        <w:t>vote</w:t>
      </w:r>
      <w:r w:rsidRPr="00555B81">
        <w:rPr>
          <w:lang w:val="bg-BG"/>
        </w:rPr>
        <w:t xml:space="preserve">’ </w:t>
      </w:r>
      <w:r w:rsidRPr="00B91EE6">
        <w:rPr>
          <w:lang w:val="bg-BG"/>
        </w:rPr>
        <w:t>(</w:t>
      </w:r>
      <w:hyperlink r:id="rId58" w:history="1">
        <w:r w:rsidR="00B91EE6" w:rsidRPr="00B91EE6">
          <w:rPr>
            <w:rStyle w:val="Hyperlink"/>
            <w:i/>
            <w:lang w:val="bg-BG"/>
          </w:rPr>
          <w:t>'Полицейски служители помогнаха на жена с увреждания да гласува'</w:t>
        </w:r>
      </w:hyperlink>
      <w:r w:rsidRPr="00B91EE6">
        <w:rPr>
          <w:lang w:val="bg-BG"/>
        </w:rPr>
        <w:t>)</w:t>
      </w:r>
      <w:r w:rsidRPr="00555B81">
        <w:rPr>
          <w:lang w:val="bg-BG"/>
        </w:rPr>
        <w:t xml:space="preserve">, 5 </w:t>
      </w:r>
      <w:r>
        <w:rPr>
          <w:lang w:val="en-US"/>
        </w:rPr>
        <w:t>April</w:t>
      </w:r>
      <w:r w:rsidRPr="00555B81">
        <w:rPr>
          <w:lang w:val="bg-BG"/>
        </w:rPr>
        <w:t xml:space="preserve"> 2023.</w:t>
      </w:r>
    </w:p>
  </w:footnote>
  <w:footnote w:id="61">
    <w:p w14:paraId="0DD32971" w14:textId="77777777" w:rsidR="00B91EE6" w:rsidRPr="00141024" w:rsidRDefault="00B91EE6" w:rsidP="00B91EE6">
      <w:pPr>
        <w:pStyle w:val="FootnoteText"/>
        <w:rPr>
          <w:lang w:val="en-US"/>
        </w:rPr>
      </w:pPr>
      <w:r>
        <w:rPr>
          <w:rStyle w:val="FootnoteReference"/>
        </w:rPr>
        <w:footnoteRef/>
      </w:r>
      <w:r>
        <w:t xml:space="preserve"> </w:t>
      </w:r>
      <w:r w:rsidRPr="00555E1E">
        <w:rPr>
          <w:lang w:val="en-US"/>
        </w:rPr>
        <w:t xml:space="preserve">National Association of </w:t>
      </w:r>
      <w:r>
        <w:rPr>
          <w:lang w:val="en-US"/>
        </w:rPr>
        <w:t>t</w:t>
      </w:r>
      <w:r w:rsidRPr="00555E1E">
        <w:rPr>
          <w:lang w:val="en-US"/>
        </w:rPr>
        <w:t xml:space="preserve">he Municipalities </w:t>
      </w:r>
      <w:r>
        <w:rPr>
          <w:lang w:val="en-US"/>
        </w:rPr>
        <w:t>i</w:t>
      </w:r>
      <w:r w:rsidRPr="00555E1E">
        <w:rPr>
          <w:lang w:val="en-US"/>
        </w:rPr>
        <w:t xml:space="preserve">n Republic </w:t>
      </w:r>
      <w:r>
        <w:rPr>
          <w:lang w:val="en-US"/>
        </w:rPr>
        <w:t>o</w:t>
      </w:r>
      <w:r w:rsidRPr="00555E1E">
        <w:rPr>
          <w:lang w:val="en-US"/>
        </w:rPr>
        <w:t>f Bulgaria</w:t>
      </w:r>
      <w:r>
        <w:rPr>
          <w:lang w:val="en-US"/>
        </w:rPr>
        <w:t xml:space="preserve"> (</w:t>
      </w:r>
      <w:r w:rsidRPr="00285302">
        <w:rPr>
          <w:i/>
          <w:lang w:val="bg-BG"/>
        </w:rPr>
        <w:t xml:space="preserve">Национално сдружение на </w:t>
      </w:r>
      <w:r>
        <w:rPr>
          <w:i/>
          <w:lang w:val="bg-BG"/>
        </w:rPr>
        <w:t>о</w:t>
      </w:r>
      <w:r w:rsidRPr="00285302">
        <w:rPr>
          <w:i/>
          <w:lang w:val="bg-BG"/>
        </w:rPr>
        <w:t>бщините в Република България</w:t>
      </w:r>
      <w:r>
        <w:rPr>
          <w:lang w:val="bg-BG"/>
        </w:rPr>
        <w:t>)</w:t>
      </w:r>
      <w:r>
        <w:rPr>
          <w:lang w:val="en-US"/>
        </w:rPr>
        <w:t xml:space="preserve">, Letter No </w:t>
      </w:r>
      <w:r w:rsidRPr="000109E6">
        <w:rPr>
          <w:lang w:val="en-US"/>
        </w:rPr>
        <w:t>И-1844(2)</w:t>
      </w:r>
      <w:r>
        <w:rPr>
          <w:lang w:val="en-US"/>
        </w:rPr>
        <w:t xml:space="preserve"> to the Center for the Study of Democracy, 10 November 2023.</w:t>
      </w:r>
    </w:p>
  </w:footnote>
  <w:footnote w:id="62">
    <w:p w14:paraId="4CC29643" w14:textId="633E0E12" w:rsidR="005A384C" w:rsidRPr="003B70EA" w:rsidRDefault="005A384C" w:rsidP="005A384C">
      <w:pPr>
        <w:pStyle w:val="FootnoteText"/>
        <w:rPr>
          <w:lang w:val="en-US"/>
        </w:rPr>
      </w:pPr>
      <w:r>
        <w:rPr>
          <w:rStyle w:val="FootnoteReference"/>
        </w:rPr>
        <w:footnoteRef/>
      </w:r>
      <w:r>
        <w:t xml:space="preserve"> </w:t>
      </w:r>
      <w:r>
        <w:rPr>
          <w:lang w:val="en-US"/>
        </w:rPr>
        <w:t xml:space="preserve">Bulgaria, </w:t>
      </w:r>
      <w:r w:rsidRPr="003B70EA">
        <w:rPr>
          <w:lang w:val="en-US"/>
        </w:rPr>
        <w:t xml:space="preserve">E-Governance Act </w:t>
      </w:r>
      <w:r w:rsidRPr="000B38DC">
        <w:rPr>
          <w:lang w:val="bg-BG"/>
        </w:rPr>
        <w:t>(</w:t>
      </w:r>
      <w:hyperlink r:id="rId59" w:history="1">
        <w:r w:rsidRPr="000B38DC">
          <w:rPr>
            <w:rStyle w:val="Hyperlink"/>
            <w:i/>
            <w:lang w:val="bg-BG"/>
          </w:rPr>
          <w:t>Закон за електронното управление</w:t>
        </w:r>
      </w:hyperlink>
      <w:r w:rsidRPr="000B38DC">
        <w:rPr>
          <w:lang w:val="bg-BG"/>
        </w:rPr>
        <w:t>)</w:t>
      </w:r>
      <w:r>
        <w:rPr>
          <w:lang w:val="en-US"/>
        </w:rPr>
        <w:t>, 12 June 2007</w:t>
      </w:r>
      <w:r w:rsidR="000B38DC">
        <w:rPr>
          <w:lang w:val="en-US"/>
        </w:rPr>
        <w:t>,</w:t>
      </w:r>
      <w:r>
        <w:rPr>
          <w:lang w:val="en-US"/>
        </w:rPr>
        <w:t xml:space="preserve"> last amended 19 September 2023.</w:t>
      </w:r>
    </w:p>
  </w:footnote>
  <w:footnote w:id="63">
    <w:p w14:paraId="600B5B10" w14:textId="014F2E10" w:rsidR="005A384C" w:rsidRPr="003B70EA" w:rsidRDefault="005A384C" w:rsidP="005A384C">
      <w:pPr>
        <w:pStyle w:val="FootnoteText"/>
        <w:rPr>
          <w:lang w:val="bg-BG"/>
        </w:rPr>
      </w:pPr>
      <w:r>
        <w:rPr>
          <w:rStyle w:val="FootnoteReference"/>
        </w:rPr>
        <w:footnoteRef/>
      </w:r>
      <w:r>
        <w:t xml:space="preserve"> </w:t>
      </w:r>
      <w:r w:rsidR="000B38DC">
        <w:t xml:space="preserve">Bulgaria, </w:t>
      </w:r>
      <w:r w:rsidR="000B38DC" w:rsidRPr="003B70EA">
        <w:t xml:space="preserve">Regulation on the general requirements for information systems, registers and electronic administrative services </w:t>
      </w:r>
      <w:r w:rsidR="000B38DC" w:rsidRPr="0087751E">
        <w:rPr>
          <w:lang w:val="bg-BG"/>
        </w:rPr>
        <w:t>(</w:t>
      </w:r>
      <w:hyperlink r:id="rId60" w:history="1">
        <w:r w:rsidR="000B38DC" w:rsidRPr="0087751E">
          <w:rPr>
            <w:rStyle w:val="Hyperlink"/>
            <w:i/>
            <w:lang w:val="bg-BG"/>
          </w:rPr>
          <w:t>Наредба за общите изисквания към информационните системи, регистрите и електронните административни услуги</w:t>
        </w:r>
      </w:hyperlink>
      <w:r w:rsidR="000B38DC" w:rsidRPr="0087751E">
        <w:rPr>
          <w:lang w:val="bg-BG"/>
        </w:rPr>
        <w:t>)</w:t>
      </w:r>
      <w:r w:rsidR="000B38DC">
        <w:t>, 17 January 2017, last amended 24 June 2022</w:t>
      </w:r>
      <w:r>
        <w:t>.</w:t>
      </w:r>
    </w:p>
  </w:footnote>
  <w:footnote w:id="64">
    <w:p w14:paraId="5AF95A19" w14:textId="0F278BEC" w:rsidR="000B38DC" w:rsidRPr="003B70EA" w:rsidRDefault="000B38DC" w:rsidP="000B38DC">
      <w:pPr>
        <w:pStyle w:val="FootnoteText"/>
        <w:rPr>
          <w:lang w:val="bg-BG"/>
        </w:rPr>
      </w:pPr>
      <w:r>
        <w:rPr>
          <w:rStyle w:val="FootnoteReference"/>
        </w:rPr>
        <w:footnoteRef/>
      </w:r>
      <w:r w:rsidRPr="00555B81">
        <w:rPr>
          <w:lang w:val="bg-BG"/>
        </w:rPr>
        <w:t xml:space="preserve"> </w:t>
      </w:r>
      <w:r>
        <w:t>Bulgaria</w:t>
      </w:r>
      <w:r w:rsidRPr="00555B81">
        <w:rPr>
          <w:lang w:val="bg-BG"/>
        </w:rPr>
        <w:t xml:space="preserve">, </w:t>
      </w:r>
      <w:r w:rsidRPr="003B70EA">
        <w:t>Regulation</w:t>
      </w:r>
      <w:r w:rsidRPr="00555B81">
        <w:rPr>
          <w:lang w:val="bg-BG"/>
        </w:rPr>
        <w:t xml:space="preserve"> </w:t>
      </w:r>
      <w:r w:rsidRPr="003B70EA">
        <w:t>on</w:t>
      </w:r>
      <w:r w:rsidRPr="00555B81">
        <w:rPr>
          <w:lang w:val="bg-BG"/>
        </w:rPr>
        <w:t xml:space="preserve"> </w:t>
      </w:r>
      <w:r w:rsidRPr="003B70EA">
        <w:t>the</w:t>
      </w:r>
      <w:r w:rsidRPr="00555B81">
        <w:rPr>
          <w:lang w:val="bg-BG"/>
        </w:rPr>
        <w:t xml:space="preserve"> </w:t>
      </w:r>
      <w:r w:rsidRPr="003B70EA">
        <w:t>general</w:t>
      </w:r>
      <w:r w:rsidRPr="00555B81">
        <w:rPr>
          <w:lang w:val="bg-BG"/>
        </w:rPr>
        <w:t xml:space="preserve"> </w:t>
      </w:r>
      <w:r w:rsidRPr="003B70EA">
        <w:t>requirements</w:t>
      </w:r>
      <w:r w:rsidRPr="00555B81">
        <w:rPr>
          <w:lang w:val="bg-BG"/>
        </w:rPr>
        <w:t xml:space="preserve"> </w:t>
      </w:r>
      <w:r w:rsidRPr="003B70EA">
        <w:t>for</w:t>
      </w:r>
      <w:r w:rsidRPr="00555B81">
        <w:rPr>
          <w:lang w:val="bg-BG"/>
        </w:rPr>
        <w:t xml:space="preserve"> </w:t>
      </w:r>
      <w:r w:rsidRPr="003B70EA">
        <w:t>information</w:t>
      </w:r>
      <w:r w:rsidRPr="00555B81">
        <w:rPr>
          <w:lang w:val="bg-BG"/>
        </w:rPr>
        <w:t xml:space="preserve"> </w:t>
      </w:r>
      <w:r w:rsidRPr="003B70EA">
        <w:t>systems</w:t>
      </w:r>
      <w:r w:rsidRPr="00555B81">
        <w:rPr>
          <w:lang w:val="bg-BG"/>
        </w:rPr>
        <w:t xml:space="preserve">, </w:t>
      </w:r>
      <w:r w:rsidRPr="003B70EA">
        <w:t>registers</w:t>
      </w:r>
      <w:r w:rsidRPr="00555B81">
        <w:rPr>
          <w:lang w:val="bg-BG"/>
        </w:rPr>
        <w:t xml:space="preserve"> </w:t>
      </w:r>
      <w:r w:rsidRPr="003B70EA">
        <w:t>and</w:t>
      </w:r>
      <w:r w:rsidRPr="00555B81">
        <w:rPr>
          <w:lang w:val="bg-BG"/>
        </w:rPr>
        <w:t xml:space="preserve"> </w:t>
      </w:r>
      <w:r w:rsidRPr="003B70EA">
        <w:t>electronic</w:t>
      </w:r>
      <w:r w:rsidRPr="00555B81">
        <w:rPr>
          <w:lang w:val="bg-BG"/>
        </w:rPr>
        <w:t xml:space="preserve"> </w:t>
      </w:r>
      <w:r w:rsidRPr="003B70EA">
        <w:t>administrative</w:t>
      </w:r>
      <w:r w:rsidRPr="00555B81">
        <w:rPr>
          <w:lang w:val="bg-BG"/>
        </w:rPr>
        <w:t xml:space="preserve"> </w:t>
      </w:r>
      <w:r w:rsidRPr="003B70EA">
        <w:t>services</w:t>
      </w:r>
      <w:r w:rsidRPr="00555B81">
        <w:rPr>
          <w:lang w:val="bg-BG"/>
        </w:rPr>
        <w:t xml:space="preserve"> </w:t>
      </w:r>
      <w:r w:rsidRPr="0087751E">
        <w:rPr>
          <w:lang w:val="bg-BG"/>
        </w:rPr>
        <w:t>(</w:t>
      </w:r>
      <w:r w:rsidR="004A6039">
        <w:fldChar w:fldCharType="begin"/>
      </w:r>
      <w:r w:rsidR="004A6039">
        <w:instrText>HYPERLINK</w:instrText>
      </w:r>
      <w:r w:rsidR="004A6039" w:rsidRPr="004A6039">
        <w:rPr>
          <w:lang w:val="bg-BG"/>
        </w:rPr>
        <w:instrText xml:space="preserve"> "</w:instrText>
      </w:r>
      <w:r w:rsidR="004A6039">
        <w:instrText>https</w:instrText>
      </w:r>
      <w:r w:rsidR="004A6039" w:rsidRPr="004A6039">
        <w:rPr>
          <w:lang w:val="bg-BG"/>
        </w:rPr>
        <w:instrText>://</w:instrText>
      </w:r>
      <w:r w:rsidR="004A6039">
        <w:instrText>lex</w:instrText>
      </w:r>
      <w:r w:rsidR="004A6039" w:rsidRPr="004A6039">
        <w:rPr>
          <w:lang w:val="bg-BG"/>
        </w:rPr>
        <w:instrText>.</w:instrText>
      </w:r>
      <w:r w:rsidR="004A6039">
        <w:instrText>bg</w:instrText>
      </w:r>
      <w:r w:rsidR="004A6039" w:rsidRPr="004A6039">
        <w:rPr>
          <w:lang w:val="bg-BG"/>
        </w:rPr>
        <w:instrText>/</w:instrText>
      </w:r>
      <w:r w:rsidR="004A6039">
        <w:instrText>bg</w:instrText>
      </w:r>
      <w:r w:rsidR="004A6039" w:rsidRPr="004A6039">
        <w:rPr>
          <w:lang w:val="bg-BG"/>
        </w:rPr>
        <w:instrText>/</w:instrText>
      </w:r>
      <w:r w:rsidR="004A6039">
        <w:instrText>laws</w:instrText>
      </w:r>
      <w:r w:rsidR="004A6039" w:rsidRPr="004A6039">
        <w:rPr>
          <w:lang w:val="bg-BG"/>
        </w:rPr>
        <w:instrText>/</w:instrText>
      </w:r>
      <w:r w:rsidR="004A6039">
        <w:instrText>ldoc</w:instrText>
      </w:r>
      <w:r w:rsidR="004A6039" w:rsidRPr="004A6039">
        <w:rPr>
          <w:lang w:val="bg-BG"/>
        </w:rPr>
        <w:instrText>/2136995819"</w:instrText>
      </w:r>
      <w:r w:rsidR="004A6039">
        <w:fldChar w:fldCharType="separate"/>
      </w:r>
      <w:r w:rsidRPr="0087751E">
        <w:rPr>
          <w:rStyle w:val="Hyperlink"/>
          <w:i/>
          <w:lang w:val="bg-BG"/>
        </w:rPr>
        <w:t>Наредба за общите изисквания към информационните системи, регистрите и електронните административни услуги</w:t>
      </w:r>
      <w:r w:rsidR="004A6039">
        <w:rPr>
          <w:rStyle w:val="Hyperlink"/>
          <w:i/>
          <w:lang w:val="bg-BG"/>
        </w:rPr>
        <w:fldChar w:fldCharType="end"/>
      </w:r>
      <w:r w:rsidRPr="0087751E">
        <w:rPr>
          <w:lang w:val="bg-BG"/>
        </w:rPr>
        <w:t>)</w:t>
      </w:r>
      <w:r w:rsidRPr="00555B81">
        <w:rPr>
          <w:lang w:val="bg-BG"/>
        </w:rPr>
        <w:t xml:space="preserve">, 17 </w:t>
      </w:r>
      <w:r>
        <w:t>January</w:t>
      </w:r>
      <w:r w:rsidRPr="00555B81">
        <w:rPr>
          <w:lang w:val="bg-BG"/>
        </w:rPr>
        <w:t xml:space="preserve"> 2017, </w:t>
      </w:r>
      <w:r>
        <w:t>last</w:t>
      </w:r>
      <w:r w:rsidRPr="00555B81">
        <w:rPr>
          <w:lang w:val="bg-BG"/>
        </w:rPr>
        <w:t xml:space="preserve"> </w:t>
      </w:r>
      <w:r>
        <w:t>amended</w:t>
      </w:r>
      <w:r w:rsidRPr="00555B81">
        <w:rPr>
          <w:lang w:val="bg-BG"/>
        </w:rPr>
        <w:t xml:space="preserve"> 24 </w:t>
      </w:r>
      <w:r>
        <w:t>June</w:t>
      </w:r>
      <w:r w:rsidRPr="00555B81">
        <w:rPr>
          <w:lang w:val="bg-BG"/>
        </w:rPr>
        <w:t xml:space="preserve"> 2022, </w:t>
      </w:r>
      <w:r>
        <w:t>Art</w:t>
      </w:r>
      <w:r w:rsidRPr="00555B81">
        <w:rPr>
          <w:lang w:val="bg-BG"/>
        </w:rPr>
        <w:t>. 39.</w:t>
      </w:r>
    </w:p>
  </w:footnote>
  <w:footnote w:id="65">
    <w:p w14:paraId="0B4582A9" w14:textId="77777777" w:rsidR="000B38DC" w:rsidRPr="00902FF1" w:rsidRDefault="000B38DC" w:rsidP="000B38DC">
      <w:pPr>
        <w:pStyle w:val="FootnoteText"/>
        <w:rPr>
          <w:lang w:val="en-US"/>
        </w:rPr>
      </w:pPr>
      <w:r>
        <w:rPr>
          <w:rStyle w:val="FootnoteReference"/>
        </w:rPr>
        <w:footnoteRef/>
      </w:r>
      <w:r>
        <w:t xml:space="preserve"> </w:t>
      </w:r>
      <w:r>
        <w:rPr>
          <w:lang w:val="en-US"/>
        </w:rPr>
        <w:t xml:space="preserve">Bulgaria, </w:t>
      </w:r>
      <w:r w:rsidRPr="003B70EA">
        <w:rPr>
          <w:lang w:val="en-US"/>
        </w:rPr>
        <w:t xml:space="preserve">E-Governance Act </w:t>
      </w:r>
      <w:r w:rsidRPr="00992A7B">
        <w:rPr>
          <w:lang w:val="bg-BG"/>
        </w:rPr>
        <w:t>(</w:t>
      </w:r>
      <w:hyperlink r:id="rId61" w:history="1">
        <w:r w:rsidRPr="00992A7B">
          <w:rPr>
            <w:rStyle w:val="Hyperlink"/>
            <w:i/>
            <w:lang w:val="bg-BG"/>
          </w:rPr>
          <w:t>Закон за електронното управление</w:t>
        </w:r>
      </w:hyperlink>
      <w:r w:rsidRPr="00992A7B">
        <w:rPr>
          <w:lang w:val="bg-BG"/>
        </w:rPr>
        <w:t>)</w:t>
      </w:r>
      <w:r>
        <w:rPr>
          <w:lang w:val="en-US"/>
        </w:rPr>
        <w:t>, 12 June 2007, last amended 19 September 2023, Art. 58c.</w:t>
      </w:r>
    </w:p>
  </w:footnote>
  <w:footnote w:id="66">
    <w:p w14:paraId="1AD32F3F" w14:textId="77777777" w:rsidR="000B38DC" w:rsidRPr="00CE1546" w:rsidRDefault="000B38DC" w:rsidP="000B38DC">
      <w:pPr>
        <w:pStyle w:val="FootnoteText"/>
        <w:rPr>
          <w:lang w:val="en-US"/>
        </w:rPr>
      </w:pPr>
      <w:r>
        <w:rPr>
          <w:rStyle w:val="FootnoteReference"/>
        </w:rPr>
        <w:footnoteRef/>
      </w:r>
      <w:r>
        <w:t xml:space="preserve"> </w:t>
      </w:r>
      <w:r>
        <w:rPr>
          <w:lang w:val="en-US"/>
        </w:rPr>
        <w:t>Bulgaria, Persons with Disabilities Act (</w:t>
      </w:r>
      <w:hyperlink r:id="rId62" w:history="1">
        <w:r w:rsidRPr="00CE1546">
          <w:rPr>
            <w:rStyle w:val="Hyperlink"/>
            <w:i/>
            <w:lang w:val="bg-BG"/>
          </w:rPr>
          <w:t>Закон за хората с увреждания</w:t>
        </w:r>
      </w:hyperlink>
      <w:r>
        <w:rPr>
          <w:lang w:val="bg-BG"/>
        </w:rPr>
        <w:t>)</w:t>
      </w:r>
      <w:r>
        <w:rPr>
          <w:lang w:val="en-US"/>
        </w:rPr>
        <w:t xml:space="preserve">, </w:t>
      </w:r>
      <w:r>
        <w:rPr>
          <w:lang w:val="bg-BG"/>
        </w:rPr>
        <w:t xml:space="preserve">18 </w:t>
      </w:r>
      <w:r>
        <w:rPr>
          <w:lang w:val="en-US"/>
        </w:rPr>
        <w:t>December 2018, last amended 25 January 2023,</w:t>
      </w:r>
      <w:r>
        <w:rPr>
          <w:lang w:val="bg-BG"/>
        </w:rPr>
        <w:t xml:space="preserve"> </w:t>
      </w:r>
      <w:r>
        <w:rPr>
          <w:lang w:val="en-US"/>
        </w:rPr>
        <w:t>Art. 64.</w:t>
      </w:r>
    </w:p>
  </w:footnote>
  <w:footnote w:id="67">
    <w:p w14:paraId="08AC05EF" w14:textId="2E6F10AF" w:rsidR="00306D1D" w:rsidRPr="003E620C" w:rsidRDefault="00306D1D" w:rsidP="00306D1D">
      <w:pPr>
        <w:pStyle w:val="FootnoteText"/>
        <w:rPr>
          <w:lang w:val="en-US"/>
        </w:rPr>
      </w:pPr>
      <w:r>
        <w:rPr>
          <w:rStyle w:val="FootnoteReference"/>
        </w:rPr>
        <w:footnoteRef/>
      </w:r>
      <w:r>
        <w:t xml:space="preserve"> </w:t>
      </w:r>
      <w:r>
        <w:rPr>
          <w:lang w:val="en-US"/>
        </w:rPr>
        <w:t xml:space="preserve">Bulgaria, </w:t>
      </w:r>
      <w:r w:rsidRPr="003E620C">
        <w:rPr>
          <w:lang w:val="en-US"/>
        </w:rPr>
        <w:t>Radio and Television Act (</w:t>
      </w:r>
      <w:hyperlink r:id="rId63" w:history="1">
        <w:r w:rsidRPr="00B85454">
          <w:rPr>
            <w:rStyle w:val="Hyperlink"/>
            <w:i/>
            <w:lang w:val="bg-BG"/>
          </w:rPr>
          <w:t>Закон за радиото и телевизията</w:t>
        </w:r>
      </w:hyperlink>
      <w:r w:rsidRPr="003E620C">
        <w:rPr>
          <w:lang w:val="en-US"/>
        </w:rPr>
        <w:t>)</w:t>
      </w:r>
      <w:r>
        <w:rPr>
          <w:lang w:val="en-US"/>
        </w:rPr>
        <w:t>, 24 November 1998</w:t>
      </w:r>
      <w:r w:rsidR="00B85454">
        <w:rPr>
          <w:lang w:val="en-US"/>
        </w:rPr>
        <w:t>,</w:t>
      </w:r>
      <w:r>
        <w:rPr>
          <w:lang w:val="en-US"/>
        </w:rPr>
        <w:t xml:space="preserve"> last amended 6 October 2023, Art. 8a.</w:t>
      </w:r>
    </w:p>
  </w:footnote>
  <w:footnote w:id="68">
    <w:p w14:paraId="064FE15E" w14:textId="77777777" w:rsidR="00B85454" w:rsidRPr="005E0E13" w:rsidRDefault="00B85454" w:rsidP="00B85454">
      <w:pPr>
        <w:pStyle w:val="FootnoteText"/>
        <w:rPr>
          <w:lang w:val="en-US"/>
        </w:rPr>
      </w:pPr>
      <w:r>
        <w:rPr>
          <w:rStyle w:val="FootnoteReference"/>
        </w:rPr>
        <w:footnoteRef/>
      </w:r>
      <w:r>
        <w:t xml:space="preserve"> </w:t>
      </w:r>
      <w:r>
        <w:rPr>
          <w:lang w:val="en-US"/>
        </w:rPr>
        <w:t>Bulgaria, Council for Electronic Media (</w:t>
      </w:r>
      <w:r w:rsidRPr="0007617D">
        <w:rPr>
          <w:i/>
          <w:lang w:val="bg-BG"/>
        </w:rPr>
        <w:t>Съвет за електронни медии</w:t>
      </w:r>
      <w:r>
        <w:rPr>
          <w:lang w:val="bg-BG"/>
        </w:rPr>
        <w:t xml:space="preserve">) (2022), </w:t>
      </w:r>
      <w:r w:rsidRPr="00A8679C">
        <w:t xml:space="preserve">Report of the Council for Electronic Media – Bulgaria on the </w:t>
      </w:r>
      <w:r>
        <w:rPr>
          <w:lang w:val="en-US"/>
        </w:rPr>
        <w:t>implementation</w:t>
      </w:r>
      <w:r w:rsidRPr="00A8679C">
        <w:t xml:space="preserve"> of Art. 8a of the Radio and Television Act and Art. 7 of Directive (EU) 2018/1808 for January 2021 </w:t>
      </w:r>
      <w:r>
        <w:t>–</w:t>
      </w:r>
      <w:r w:rsidRPr="00A8679C">
        <w:t xml:space="preserve"> December</w:t>
      </w:r>
      <w:r>
        <w:t xml:space="preserve"> </w:t>
      </w:r>
      <w:r w:rsidRPr="00A8679C">
        <w:t>2022</w:t>
      </w:r>
      <w:r>
        <w:rPr>
          <w:lang w:val="en-US"/>
        </w:rPr>
        <w:t xml:space="preserve"> </w:t>
      </w:r>
      <w:r w:rsidRPr="00A8679C">
        <w:rPr>
          <w:lang w:val="bg-BG"/>
        </w:rPr>
        <w:t>(</w:t>
      </w:r>
      <w:hyperlink r:id="rId64" w:history="1">
        <w:r w:rsidRPr="00A8679C">
          <w:rPr>
            <w:rStyle w:val="Hyperlink"/>
            <w:i/>
            <w:lang w:val="bg-BG"/>
          </w:rPr>
          <w:t>Отчет на Съвета за електронни медии – България за изпълнението на чл. 8а от Закона за радиото и телевизията и чл. 7 от Директива (ЕС) 2018/1808 за периода: януари 2021 г. – декември 2022</w:t>
        </w:r>
        <w:r>
          <w:rPr>
            <w:rStyle w:val="Hyperlink"/>
            <w:i/>
            <w:lang w:val="en-US"/>
          </w:rPr>
          <w:t xml:space="preserve"> </w:t>
        </w:r>
        <w:r>
          <w:rPr>
            <w:rStyle w:val="Hyperlink"/>
            <w:i/>
            <w:lang w:val="bg-BG"/>
          </w:rPr>
          <w:t>г.</w:t>
        </w:r>
      </w:hyperlink>
      <w:r w:rsidRPr="00A8679C">
        <w:rPr>
          <w:lang w:val="bg-BG"/>
        </w:rPr>
        <w:t>)</w:t>
      </w:r>
      <w:r>
        <w:rPr>
          <w:lang w:val="bg-BG"/>
        </w:rPr>
        <w:t xml:space="preserve">, 22 </w:t>
      </w:r>
      <w:r>
        <w:rPr>
          <w:lang w:val="en-US"/>
        </w:rPr>
        <w:t>December 2022.</w:t>
      </w:r>
    </w:p>
  </w:footnote>
  <w:footnote w:id="69">
    <w:p w14:paraId="0F0C2C74" w14:textId="77777777" w:rsidR="007E7636" w:rsidRPr="0007617D" w:rsidRDefault="007E7636" w:rsidP="007E7636">
      <w:pPr>
        <w:pStyle w:val="FootnoteText"/>
        <w:rPr>
          <w:lang w:val="en-US"/>
        </w:rPr>
      </w:pPr>
      <w:r>
        <w:rPr>
          <w:rStyle w:val="FootnoteReference"/>
        </w:rPr>
        <w:footnoteRef/>
      </w:r>
      <w:r>
        <w:t xml:space="preserve"> </w:t>
      </w:r>
      <w:r>
        <w:rPr>
          <w:lang w:val="en-US"/>
        </w:rPr>
        <w:t>Bulgaria, Council for Electronic Media (</w:t>
      </w:r>
      <w:r w:rsidRPr="0007617D">
        <w:rPr>
          <w:i/>
          <w:lang w:val="bg-BG"/>
        </w:rPr>
        <w:t>Съвет за електронни медии</w:t>
      </w:r>
      <w:r>
        <w:rPr>
          <w:lang w:val="bg-BG"/>
        </w:rPr>
        <w:t>) (2022),</w:t>
      </w:r>
      <w:r>
        <w:rPr>
          <w:lang w:val="en-US"/>
        </w:rPr>
        <w:t xml:space="preserve"> </w:t>
      </w:r>
      <w:r w:rsidRPr="00C7087B">
        <w:t>Specialised Monitoring of the 49th National Assembly Electoral Campaign</w:t>
      </w:r>
      <w:r w:rsidRPr="0007617D">
        <w:rPr>
          <w:lang w:val="en-US"/>
        </w:rPr>
        <w:t xml:space="preserve"> </w:t>
      </w:r>
      <w:r w:rsidRPr="00C7087B">
        <w:rPr>
          <w:lang w:val="bg-BG"/>
        </w:rPr>
        <w:t>(</w:t>
      </w:r>
      <w:hyperlink r:id="rId65" w:history="1">
        <w:r w:rsidRPr="00C7087B">
          <w:rPr>
            <w:rStyle w:val="Hyperlink"/>
            <w:i/>
            <w:lang w:val="bg-BG"/>
          </w:rPr>
          <w:t>Специализирано наблюдение на предизборната кампания за 49 -то Народно събрание</w:t>
        </w:r>
      </w:hyperlink>
      <w:r w:rsidRPr="00C7087B">
        <w:rPr>
          <w:lang w:val="bg-BG"/>
        </w:rPr>
        <w:t>)</w:t>
      </w:r>
      <w:r>
        <w:rPr>
          <w:lang w:val="bg-BG"/>
        </w:rPr>
        <w:t xml:space="preserve">, 27 </w:t>
      </w:r>
      <w:r>
        <w:rPr>
          <w:lang w:val="en-US"/>
        </w:rPr>
        <w:t>April 2023.</w:t>
      </w:r>
    </w:p>
  </w:footnote>
  <w:footnote w:id="70">
    <w:p w14:paraId="3924212E" w14:textId="77777777" w:rsidR="007E7636" w:rsidRPr="001D1BA3" w:rsidRDefault="007E7636" w:rsidP="007E7636">
      <w:pPr>
        <w:pStyle w:val="FootnoteText"/>
        <w:rPr>
          <w:lang w:val="en-US"/>
        </w:rPr>
      </w:pPr>
      <w:r>
        <w:rPr>
          <w:rStyle w:val="FootnoteReference"/>
        </w:rPr>
        <w:footnoteRef/>
      </w:r>
      <w:r>
        <w:t xml:space="preserve"> </w:t>
      </w:r>
      <w:r>
        <w:rPr>
          <w:lang w:val="en-US"/>
        </w:rPr>
        <w:t xml:space="preserve">Bulgaria, </w:t>
      </w:r>
      <w:r w:rsidRPr="009266BD">
        <w:rPr>
          <w:lang w:val="en-US"/>
        </w:rPr>
        <w:t xml:space="preserve">Electoral Code </w:t>
      </w:r>
      <w:r w:rsidRPr="00A765B3">
        <w:rPr>
          <w:lang w:val="bg-BG"/>
        </w:rPr>
        <w:t>(</w:t>
      </w:r>
      <w:hyperlink r:id="rId66" w:history="1">
        <w:r w:rsidRPr="00A765B3">
          <w:rPr>
            <w:rStyle w:val="Hyperlink"/>
            <w:i/>
            <w:lang w:val="bg-BG"/>
          </w:rPr>
          <w:t>Изборен кодекс</w:t>
        </w:r>
      </w:hyperlink>
      <w:r w:rsidRPr="00A765B3">
        <w:rPr>
          <w:lang w:val="bg-BG"/>
        </w:rPr>
        <w:t>)</w:t>
      </w:r>
      <w:r>
        <w:rPr>
          <w:lang w:val="en-US"/>
        </w:rPr>
        <w:t>, 5 March 2014, last amended 30 December 2022, Art.</w:t>
      </w:r>
      <w:r w:rsidRPr="009266BD">
        <w:t xml:space="preserve"> </w:t>
      </w:r>
      <w:r>
        <w:t>9.</w:t>
      </w:r>
    </w:p>
  </w:footnote>
  <w:footnote w:id="71">
    <w:p w14:paraId="6FD9FCF6" w14:textId="2E96E414" w:rsidR="009F0E95" w:rsidRPr="009944D0" w:rsidRDefault="009F0E95">
      <w:pPr>
        <w:pStyle w:val="FootnoteText"/>
      </w:pPr>
      <w:r w:rsidRPr="009944D0">
        <w:rPr>
          <w:rStyle w:val="FootnoteReference"/>
        </w:rPr>
        <w:footnoteRef/>
      </w:r>
      <w:r w:rsidRPr="009944D0">
        <w:t xml:space="preserve"> For more information</w:t>
      </w:r>
      <w:r w:rsidR="009944D0" w:rsidRPr="009944D0">
        <w:t xml:space="preserve"> about the deinstitutionalisation process</w:t>
      </w:r>
      <w:r w:rsidRPr="009944D0">
        <w:t xml:space="preserve">, see the </w:t>
      </w:r>
      <w:hyperlink r:id="rId67" w:history="1">
        <w:r w:rsidRPr="009944D0">
          <w:rPr>
            <w:rStyle w:val="Hyperlink"/>
          </w:rPr>
          <w:t>website</w:t>
        </w:r>
      </w:hyperlink>
      <w:r w:rsidR="009944D0" w:rsidRPr="009944D0">
        <w:t xml:space="preserve"> of the Ministry of Labour and Social Policy.</w:t>
      </w:r>
    </w:p>
  </w:footnote>
  <w:footnote w:id="72">
    <w:p w14:paraId="54762DB6" w14:textId="6D2ADCE8" w:rsidR="002B611F" w:rsidRPr="001E49A1" w:rsidRDefault="002B611F">
      <w:pPr>
        <w:pStyle w:val="FootnoteText"/>
        <w:rPr>
          <w:lang w:val="en-US"/>
        </w:rPr>
      </w:pPr>
      <w:r>
        <w:rPr>
          <w:rStyle w:val="FootnoteReference"/>
        </w:rPr>
        <w:footnoteRef/>
      </w:r>
      <w:r>
        <w:t xml:space="preserve"> </w:t>
      </w:r>
      <w:r w:rsidR="0064159C">
        <w:t xml:space="preserve">European Court of Human Rights (ECtHR), </w:t>
      </w:r>
      <w:hyperlink r:id="rId68" w:anchor="{%22languageisocode%22:[%22ENG%22],%22appno%22:[%2226081/17%22],%22documentcollectionid2%22:[%22CHAMBER%22],%22itemid%22:[%22001-215603%22]}" w:history="1">
        <w:r w:rsidR="0064159C" w:rsidRPr="0064159C">
          <w:rPr>
            <w:rStyle w:val="Hyperlink"/>
            <w:i/>
          </w:rPr>
          <w:t>Anatoliy Marinov v. Bulgaria</w:t>
        </w:r>
      </w:hyperlink>
      <w:r w:rsidR="0064159C">
        <w:t xml:space="preserve">, No. </w:t>
      </w:r>
      <w:r w:rsidR="0064159C" w:rsidRPr="0064159C">
        <w:t>26081/17</w:t>
      </w:r>
      <w:r w:rsidR="0064159C">
        <w:t xml:space="preserve">, 15 February 2022; </w:t>
      </w:r>
      <w:r w:rsidR="00402F5C">
        <w:t>European Court of Human Rights (</w:t>
      </w:r>
      <w:r w:rsidR="0064159C">
        <w:t>ECtHR</w:t>
      </w:r>
      <w:r w:rsidR="00402F5C">
        <w:t>)</w:t>
      </w:r>
      <w:r w:rsidR="0064159C">
        <w:t xml:space="preserve">, </w:t>
      </w:r>
      <w:hyperlink r:id="rId69" w:anchor="{%22itemid%22:[%22001-218468%22]}" w:history="1">
        <w:r w:rsidR="0064159C" w:rsidRPr="0064159C">
          <w:rPr>
            <w:rStyle w:val="Hyperlink"/>
            <w:i/>
          </w:rPr>
          <w:t>Genchev v. Bulgaria</w:t>
        </w:r>
      </w:hyperlink>
      <w:r w:rsidR="0064159C">
        <w:t xml:space="preserve">, No.  </w:t>
      </w:r>
      <w:r w:rsidR="0064159C" w:rsidRPr="0064159C">
        <w:t>57868/16</w:t>
      </w:r>
      <w:r w:rsidR="0064159C">
        <w:t>, 5 July 2022.</w:t>
      </w:r>
    </w:p>
  </w:footnote>
  <w:footnote w:id="73">
    <w:p w14:paraId="0510C2FC" w14:textId="7DB3875A" w:rsidR="002B611F" w:rsidRPr="001E49A1" w:rsidRDefault="002B611F">
      <w:pPr>
        <w:pStyle w:val="FootnoteText"/>
        <w:rPr>
          <w:lang w:val="en-US"/>
        </w:rPr>
      </w:pPr>
      <w:r>
        <w:rPr>
          <w:rStyle w:val="FootnoteReference"/>
        </w:rPr>
        <w:footnoteRef/>
      </w:r>
      <w:r>
        <w:t xml:space="preserve"> </w:t>
      </w:r>
      <w:r w:rsidR="0064159C">
        <w:rPr>
          <w:lang w:val="en-US"/>
        </w:rPr>
        <w:t>Bulgaria, Constitutional Court (</w:t>
      </w:r>
      <w:r w:rsidR="0064159C" w:rsidRPr="0064159C">
        <w:rPr>
          <w:i/>
          <w:lang w:val="bg-BG"/>
        </w:rPr>
        <w:t>Конституционен съд</w:t>
      </w:r>
      <w:r w:rsidR="0064159C">
        <w:rPr>
          <w:lang w:val="bg-BG"/>
        </w:rPr>
        <w:t xml:space="preserve">), </w:t>
      </w:r>
      <w:r w:rsidR="0064159C">
        <w:rPr>
          <w:lang w:val="en-US"/>
        </w:rPr>
        <w:t xml:space="preserve">Ruling </w:t>
      </w:r>
      <w:r w:rsidR="00A84586">
        <w:rPr>
          <w:lang w:val="en-US"/>
        </w:rPr>
        <w:t xml:space="preserve">No 8 </w:t>
      </w:r>
      <w:r w:rsidR="00402F5C">
        <w:rPr>
          <w:lang w:val="en-US"/>
        </w:rPr>
        <w:t>on</w:t>
      </w:r>
      <w:r w:rsidR="0064159C">
        <w:rPr>
          <w:lang w:val="en-US"/>
        </w:rPr>
        <w:t xml:space="preserve"> </w:t>
      </w:r>
      <w:r w:rsidR="00402F5C">
        <w:rPr>
          <w:lang w:val="en-US"/>
        </w:rPr>
        <w:t>c</w:t>
      </w:r>
      <w:r w:rsidR="0064159C">
        <w:rPr>
          <w:lang w:val="en-US"/>
        </w:rPr>
        <w:t xml:space="preserve">onstitutional case No 15/2022 </w:t>
      </w:r>
      <w:r w:rsidR="0064159C" w:rsidRPr="00402F5C">
        <w:rPr>
          <w:lang w:val="bg-BG"/>
        </w:rPr>
        <w:t>(</w:t>
      </w:r>
      <w:hyperlink r:id="rId70" w:history="1">
        <w:r w:rsidR="00402F5C">
          <w:rPr>
            <w:rStyle w:val="Hyperlink"/>
            <w:i/>
            <w:lang w:val="bg-BG"/>
          </w:rPr>
          <w:t>Определение</w:t>
        </w:r>
        <w:r w:rsidR="00402F5C">
          <w:rPr>
            <w:rStyle w:val="Hyperlink"/>
            <w:i/>
            <w:lang w:val="en-US"/>
          </w:rPr>
          <w:t xml:space="preserve"> </w:t>
        </w:r>
        <w:r w:rsidR="00402F5C">
          <w:rPr>
            <w:rStyle w:val="Hyperlink"/>
            <w:i/>
            <w:lang w:val="bg-BG"/>
          </w:rPr>
          <w:t>№</w:t>
        </w:r>
        <w:r w:rsidR="00A84586" w:rsidRPr="00402F5C">
          <w:rPr>
            <w:rStyle w:val="Hyperlink"/>
            <w:i/>
            <w:lang w:val="bg-BG"/>
          </w:rPr>
          <w:t xml:space="preserve"> 8 </w:t>
        </w:r>
        <w:r w:rsidR="00402F5C">
          <w:rPr>
            <w:rStyle w:val="Hyperlink"/>
            <w:i/>
            <w:lang w:val="bg-BG"/>
          </w:rPr>
          <w:t>по конституционно дело № 15/2022</w:t>
        </w:r>
      </w:hyperlink>
      <w:r w:rsidR="00A84586" w:rsidRPr="00402F5C">
        <w:rPr>
          <w:lang w:val="bg-BG"/>
        </w:rPr>
        <w:t>)</w:t>
      </w:r>
      <w:r w:rsidR="00A84586">
        <w:rPr>
          <w:lang w:val="bg-BG"/>
        </w:rPr>
        <w:t xml:space="preserve">, </w:t>
      </w:r>
      <w:r w:rsidR="00A84586">
        <w:rPr>
          <w:lang w:val="en-US"/>
        </w:rPr>
        <w:t>18 October 2022</w:t>
      </w:r>
      <w:r>
        <w:rPr>
          <w:lang w:val="en-US"/>
        </w:rPr>
        <w:t>.</w:t>
      </w:r>
    </w:p>
  </w:footnote>
  <w:footnote w:id="74">
    <w:p w14:paraId="7EFABE41" w14:textId="76B1D779" w:rsidR="000D7938" w:rsidRPr="000D7938" w:rsidRDefault="000D7938">
      <w:pPr>
        <w:pStyle w:val="FootnoteText"/>
        <w:rPr>
          <w:lang w:val="en-US"/>
        </w:rPr>
      </w:pPr>
      <w:r>
        <w:rPr>
          <w:rStyle w:val="FootnoteReference"/>
        </w:rPr>
        <w:footnoteRef/>
      </w:r>
      <w:r>
        <w:t xml:space="preserve"> </w:t>
      </w:r>
      <w:r w:rsidR="0055306F">
        <w:t>Since 2019, t</w:t>
      </w:r>
      <w:r>
        <w:rPr>
          <w:lang w:val="en-US"/>
        </w:rPr>
        <w:t>he Electoral Code (</w:t>
      </w:r>
      <w:r w:rsidRPr="000D7938">
        <w:rPr>
          <w:i/>
          <w:lang w:val="bg-BG"/>
        </w:rPr>
        <w:t>Изборен кодекс</w:t>
      </w:r>
      <w:r>
        <w:rPr>
          <w:lang w:val="bg-BG"/>
        </w:rPr>
        <w:t>)</w:t>
      </w:r>
      <w:r>
        <w:rPr>
          <w:lang w:val="en-US"/>
        </w:rPr>
        <w:t xml:space="preserve"> </w:t>
      </w:r>
      <w:r w:rsidR="0055306F">
        <w:rPr>
          <w:lang w:val="en-US"/>
        </w:rPr>
        <w:t>was</w:t>
      </w:r>
      <w:r>
        <w:rPr>
          <w:lang w:val="en-US"/>
        </w:rPr>
        <w:t xml:space="preserve"> amended 13 times</w:t>
      </w:r>
      <w:r>
        <w:rPr>
          <w:lang w:val="bg-BG"/>
        </w:rPr>
        <w:t xml:space="preserve">. </w:t>
      </w:r>
      <w:r w:rsidR="0055306F">
        <w:rPr>
          <w:lang w:val="en-US"/>
        </w:rPr>
        <w:t>For more information, s</w:t>
      </w:r>
      <w:r>
        <w:rPr>
          <w:lang w:val="en-US"/>
        </w:rPr>
        <w:t xml:space="preserve">ee Bulgaria, </w:t>
      </w:r>
      <w:r w:rsidRPr="009266BD">
        <w:rPr>
          <w:lang w:val="en-US"/>
        </w:rPr>
        <w:t xml:space="preserve">Electoral Code </w:t>
      </w:r>
      <w:r w:rsidRPr="0055306F">
        <w:rPr>
          <w:lang w:val="bg-BG"/>
        </w:rPr>
        <w:t>(</w:t>
      </w:r>
      <w:hyperlink r:id="rId71" w:history="1">
        <w:r w:rsidRPr="0055306F">
          <w:rPr>
            <w:rStyle w:val="Hyperlink"/>
            <w:i/>
            <w:lang w:val="bg-BG"/>
          </w:rPr>
          <w:t>Изборен кодекс</w:t>
        </w:r>
      </w:hyperlink>
      <w:r w:rsidRPr="0055306F">
        <w:rPr>
          <w:lang w:val="bg-BG"/>
        </w:rPr>
        <w:t>)</w:t>
      </w:r>
      <w:r>
        <w:rPr>
          <w:lang w:val="en-US"/>
        </w:rPr>
        <w:t>, 5 March 2014</w:t>
      </w:r>
      <w:r w:rsidR="0055306F">
        <w:rPr>
          <w:lang w:val="en-US"/>
        </w:rPr>
        <w:t>,</w:t>
      </w:r>
      <w:r>
        <w:rPr>
          <w:lang w:val="en-US"/>
        </w:rPr>
        <w:t xml:space="preserve"> last amended 30 December 2022.</w:t>
      </w:r>
    </w:p>
  </w:footnote>
  <w:footnote w:id="75">
    <w:p w14:paraId="73F4A41A" w14:textId="1FA43884" w:rsidR="0070753A" w:rsidRPr="0070753A" w:rsidRDefault="0070753A">
      <w:pPr>
        <w:pStyle w:val="FootnoteText"/>
        <w:rPr>
          <w:lang w:val="bg-BG"/>
        </w:rPr>
      </w:pPr>
      <w:r>
        <w:rPr>
          <w:rStyle w:val="FootnoteReference"/>
        </w:rPr>
        <w:footnoteRef/>
      </w:r>
      <w:r>
        <w:t xml:space="preserve"> Bulgaria, </w:t>
      </w:r>
      <w:r>
        <w:rPr>
          <w:lang w:val="en-US"/>
        </w:rPr>
        <w:t>Ombudsman of the Republic of Bulgaria (</w:t>
      </w:r>
      <w:r w:rsidRPr="0055306F">
        <w:rPr>
          <w:i/>
          <w:iCs/>
          <w:lang w:val="bg-BG"/>
        </w:rPr>
        <w:t>Омбудсман на Република България</w:t>
      </w:r>
      <w:r>
        <w:rPr>
          <w:lang w:val="bg-BG"/>
        </w:rPr>
        <w:t xml:space="preserve">) (2023), </w:t>
      </w:r>
      <w:r>
        <w:rPr>
          <w:lang w:val="en-US"/>
        </w:rPr>
        <w:t>Annual Activity Report 2022 (</w:t>
      </w:r>
      <w:hyperlink r:id="rId72" w:history="1">
        <w:r w:rsidRPr="0070753A">
          <w:rPr>
            <w:rStyle w:val="Hyperlink"/>
            <w:i/>
            <w:lang w:val="bg-BG"/>
          </w:rPr>
          <w:t>Годишен доклад за дейността на Омбудсмана 2022 г.</w:t>
        </w:r>
      </w:hyperlink>
      <w:r>
        <w:rPr>
          <w:lang w:val="bg-BG"/>
        </w:rPr>
        <w:t xml:space="preserve">), 12 </w:t>
      </w:r>
      <w:r>
        <w:rPr>
          <w:lang w:val="en-US"/>
        </w:rPr>
        <w:t>April 2023, p</w:t>
      </w:r>
      <w:r>
        <w:rPr>
          <w:lang w:val="bg-BG"/>
        </w:rPr>
        <w:t>.</w:t>
      </w:r>
      <w:r w:rsidR="0055306F">
        <w:rPr>
          <w:lang w:val="en-US"/>
        </w:rPr>
        <w:t xml:space="preserve"> </w:t>
      </w:r>
      <w:r>
        <w:rPr>
          <w:lang w:val="bg-BG"/>
        </w:rPr>
        <w:t>45.</w:t>
      </w:r>
    </w:p>
  </w:footnote>
  <w:footnote w:id="76">
    <w:p w14:paraId="146C347A" w14:textId="02E432C2" w:rsidR="00166C77" w:rsidRPr="00166C77" w:rsidRDefault="00166C77">
      <w:pPr>
        <w:pStyle w:val="FootnoteText"/>
        <w:rPr>
          <w:lang w:val="en-US"/>
        </w:rPr>
      </w:pPr>
      <w:r>
        <w:rPr>
          <w:rStyle w:val="FootnoteReference"/>
        </w:rPr>
        <w:footnoteRef/>
      </w:r>
      <w:r>
        <w:t xml:space="preserve"> </w:t>
      </w:r>
      <w:r>
        <w:rPr>
          <w:lang w:val="en-US"/>
        </w:rPr>
        <w:t xml:space="preserve">For more </w:t>
      </w:r>
      <w:r w:rsidR="00C62237">
        <w:rPr>
          <w:lang w:val="en-US"/>
        </w:rPr>
        <w:t>information</w:t>
      </w:r>
      <w:r>
        <w:rPr>
          <w:lang w:val="en-US"/>
        </w:rPr>
        <w:t xml:space="preserve">, see the </w:t>
      </w:r>
      <w:hyperlink r:id="rId73" w:history="1">
        <w:r w:rsidRPr="00166C77">
          <w:rPr>
            <w:rStyle w:val="Hyperlink"/>
            <w:lang w:val="en-US"/>
          </w:rPr>
          <w:t>website</w:t>
        </w:r>
      </w:hyperlink>
      <w:r w:rsidR="003E1225">
        <w:rPr>
          <w:lang w:val="en-US"/>
        </w:rPr>
        <w:t xml:space="preserve"> of the Municipality of Burgas.</w:t>
      </w:r>
    </w:p>
  </w:footnote>
  <w:footnote w:id="77">
    <w:p w14:paraId="17C7612C" w14:textId="0DB238E3" w:rsidR="00C62237" w:rsidRPr="00AE5D76" w:rsidRDefault="00C62237">
      <w:pPr>
        <w:pStyle w:val="FootnoteText"/>
      </w:pPr>
      <w:r w:rsidRPr="00AE5D76">
        <w:rPr>
          <w:rStyle w:val="FootnoteReference"/>
        </w:rPr>
        <w:footnoteRef/>
      </w:r>
      <w:r w:rsidRPr="00AE5D76">
        <w:t xml:space="preserve"> For more information, see the </w:t>
      </w:r>
      <w:hyperlink r:id="rId74" w:history="1">
        <w:r w:rsidRPr="00AE5D76">
          <w:rPr>
            <w:rStyle w:val="Hyperlink"/>
          </w:rPr>
          <w:t>website</w:t>
        </w:r>
      </w:hyperlink>
      <w:r w:rsidR="003E1225" w:rsidRPr="00AE5D76">
        <w:t xml:space="preserve"> of the Municipality of Burgas</w:t>
      </w:r>
    </w:p>
  </w:footnote>
  <w:footnote w:id="78">
    <w:p w14:paraId="5D83CE61" w14:textId="6343AA75" w:rsidR="00EC020F" w:rsidRPr="00EC020F" w:rsidRDefault="00EC020F">
      <w:pPr>
        <w:pStyle w:val="FootnoteText"/>
        <w:rPr>
          <w:lang w:val="en-US"/>
        </w:rPr>
      </w:pPr>
      <w:r>
        <w:rPr>
          <w:rStyle w:val="FootnoteReference"/>
        </w:rPr>
        <w:footnoteRef/>
      </w:r>
      <w:r>
        <w:t xml:space="preserve"> </w:t>
      </w:r>
      <w:r>
        <w:rPr>
          <w:lang w:val="en-US"/>
        </w:rPr>
        <w:t>Stamatis, L. (2023), ‘</w:t>
      </w:r>
      <w:r w:rsidRPr="00EC020F">
        <w:rPr>
          <w:lang w:val="en-US"/>
        </w:rPr>
        <w:t>Braille boards help the blind to vote in Burgas</w:t>
      </w:r>
      <w:r>
        <w:rPr>
          <w:lang w:val="en-US"/>
        </w:rPr>
        <w:t xml:space="preserve">’ </w:t>
      </w:r>
      <w:r w:rsidRPr="003E1225">
        <w:rPr>
          <w:lang w:val="bg-BG"/>
        </w:rPr>
        <w:t>(‘</w:t>
      </w:r>
      <w:hyperlink r:id="rId75" w:history="1">
        <w:r w:rsidRPr="003E1225">
          <w:rPr>
            <w:rStyle w:val="Hyperlink"/>
            <w:i/>
            <w:lang w:val="bg-BG"/>
          </w:rPr>
          <w:t>Табла с брайлов текст помагат на незрящите да гласуват в Бургас</w:t>
        </w:r>
      </w:hyperlink>
      <w:r w:rsidRPr="003E1225">
        <w:rPr>
          <w:lang w:val="bg-BG"/>
        </w:rPr>
        <w:t>’)</w:t>
      </w:r>
      <w:r>
        <w:rPr>
          <w:lang w:val="en-US"/>
        </w:rPr>
        <w:t xml:space="preserve">, </w:t>
      </w:r>
      <w:r w:rsidRPr="003E1225">
        <w:rPr>
          <w:i/>
          <w:iCs/>
          <w:lang w:val="en-US"/>
        </w:rPr>
        <w:t>bTV News</w:t>
      </w:r>
      <w:r>
        <w:rPr>
          <w:lang w:val="en-US"/>
        </w:rPr>
        <w:t>, 29 October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F127" w14:textId="77777777" w:rsidR="002B611F" w:rsidRDefault="002B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2B611F" w:rsidRDefault="002B611F">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4C00" w14:textId="77777777" w:rsidR="002B611F" w:rsidRDefault="002B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68448D9"/>
    <w:multiLevelType w:val="multilevel"/>
    <w:tmpl w:val="DCC63EA6"/>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3"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202715976">
    <w:abstractNumId w:val="4"/>
  </w:num>
  <w:num w:numId="2" w16cid:durableId="1262841072">
    <w:abstractNumId w:val="1"/>
  </w:num>
  <w:num w:numId="3" w16cid:durableId="338167751">
    <w:abstractNumId w:val="9"/>
  </w:num>
  <w:num w:numId="4" w16cid:durableId="1227032253">
    <w:abstractNumId w:val="2"/>
  </w:num>
  <w:num w:numId="5" w16cid:durableId="1982730862">
    <w:abstractNumId w:val="3"/>
  </w:num>
  <w:num w:numId="6" w16cid:durableId="1970239327">
    <w:abstractNumId w:val="6"/>
  </w:num>
  <w:num w:numId="7" w16cid:durableId="552624718">
    <w:abstractNumId w:val="0"/>
  </w:num>
  <w:num w:numId="8" w16cid:durableId="1267076666">
    <w:abstractNumId w:val="5"/>
  </w:num>
  <w:num w:numId="9" w16cid:durableId="2145584333">
    <w:abstractNumId w:val="8"/>
  </w:num>
  <w:num w:numId="10" w16cid:durableId="2084789543">
    <w:abstractNumId w:val="10"/>
  </w:num>
  <w:num w:numId="11" w16cid:durableId="934899074">
    <w:abstractNumId w:val="11"/>
  </w:num>
  <w:num w:numId="12" w16cid:durableId="1974022232">
    <w:abstractNumId w:val="7"/>
  </w:num>
  <w:num w:numId="13" w16cid:durableId="1073697794">
    <w:abstractNumId w:val="12"/>
  </w:num>
  <w:num w:numId="14" w16cid:durableId="1008682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2"/>
    <w:rsid w:val="000062E9"/>
    <w:rsid w:val="000109E6"/>
    <w:rsid w:val="00015EC2"/>
    <w:rsid w:val="0002479F"/>
    <w:rsid w:val="00025D55"/>
    <w:rsid w:val="00030679"/>
    <w:rsid w:val="00041B3C"/>
    <w:rsid w:val="0004609A"/>
    <w:rsid w:val="000473F4"/>
    <w:rsid w:val="00051E5A"/>
    <w:rsid w:val="00054135"/>
    <w:rsid w:val="00054C97"/>
    <w:rsid w:val="00054E14"/>
    <w:rsid w:val="00063505"/>
    <w:rsid w:val="00066572"/>
    <w:rsid w:val="00070082"/>
    <w:rsid w:val="00071C58"/>
    <w:rsid w:val="00072220"/>
    <w:rsid w:val="0007617D"/>
    <w:rsid w:val="00081108"/>
    <w:rsid w:val="000819FB"/>
    <w:rsid w:val="000878EF"/>
    <w:rsid w:val="000A573B"/>
    <w:rsid w:val="000A65F0"/>
    <w:rsid w:val="000A7165"/>
    <w:rsid w:val="000A7F35"/>
    <w:rsid w:val="000B38DC"/>
    <w:rsid w:val="000B5E17"/>
    <w:rsid w:val="000C0451"/>
    <w:rsid w:val="000C3C8B"/>
    <w:rsid w:val="000C3CA4"/>
    <w:rsid w:val="000D69DC"/>
    <w:rsid w:val="000D7938"/>
    <w:rsid w:val="001007A4"/>
    <w:rsid w:val="001012D5"/>
    <w:rsid w:val="0010149D"/>
    <w:rsid w:val="00104701"/>
    <w:rsid w:val="001072B5"/>
    <w:rsid w:val="00113244"/>
    <w:rsid w:val="001151D6"/>
    <w:rsid w:val="00124567"/>
    <w:rsid w:val="00133208"/>
    <w:rsid w:val="00135C76"/>
    <w:rsid w:val="00141024"/>
    <w:rsid w:val="00145FCB"/>
    <w:rsid w:val="00146D4F"/>
    <w:rsid w:val="00147569"/>
    <w:rsid w:val="00147827"/>
    <w:rsid w:val="00147B12"/>
    <w:rsid w:val="001510CB"/>
    <w:rsid w:val="00151894"/>
    <w:rsid w:val="00165666"/>
    <w:rsid w:val="00166C77"/>
    <w:rsid w:val="00167AED"/>
    <w:rsid w:val="00172528"/>
    <w:rsid w:val="00177157"/>
    <w:rsid w:val="00186B44"/>
    <w:rsid w:val="0019610F"/>
    <w:rsid w:val="00196ECE"/>
    <w:rsid w:val="001A4965"/>
    <w:rsid w:val="001B1B37"/>
    <w:rsid w:val="001B3927"/>
    <w:rsid w:val="001B45E3"/>
    <w:rsid w:val="001C52A5"/>
    <w:rsid w:val="001D1BA3"/>
    <w:rsid w:val="001D3205"/>
    <w:rsid w:val="001E49A1"/>
    <w:rsid w:val="001F37B4"/>
    <w:rsid w:val="001F5FF2"/>
    <w:rsid w:val="00206846"/>
    <w:rsid w:val="00206AB5"/>
    <w:rsid w:val="00214BD1"/>
    <w:rsid w:val="00220F02"/>
    <w:rsid w:val="00223C6C"/>
    <w:rsid w:val="00223E72"/>
    <w:rsid w:val="0022538B"/>
    <w:rsid w:val="00225E7B"/>
    <w:rsid w:val="00236602"/>
    <w:rsid w:val="002402C9"/>
    <w:rsid w:val="002408F9"/>
    <w:rsid w:val="00240F44"/>
    <w:rsid w:val="0024197F"/>
    <w:rsid w:val="002432A7"/>
    <w:rsid w:val="002607BB"/>
    <w:rsid w:val="00260A63"/>
    <w:rsid w:val="00260C23"/>
    <w:rsid w:val="00274E14"/>
    <w:rsid w:val="00276BF3"/>
    <w:rsid w:val="00285302"/>
    <w:rsid w:val="00286198"/>
    <w:rsid w:val="00286F72"/>
    <w:rsid w:val="002975AB"/>
    <w:rsid w:val="002B07DA"/>
    <w:rsid w:val="002B479B"/>
    <w:rsid w:val="002B507A"/>
    <w:rsid w:val="002B611F"/>
    <w:rsid w:val="002C5293"/>
    <w:rsid w:val="002D7515"/>
    <w:rsid w:val="002E2EFC"/>
    <w:rsid w:val="002F6FAB"/>
    <w:rsid w:val="00304BA7"/>
    <w:rsid w:val="00306D1D"/>
    <w:rsid w:val="00306DFE"/>
    <w:rsid w:val="003112AC"/>
    <w:rsid w:val="00325EAA"/>
    <w:rsid w:val="00331077"/>
    <w:rsid w:val="00331BCB"/>
    <w:rsid w:val="003351E2"/>
    <w:rsid w:val="00342F3A"/>
    <w:rsid w:val="00364CF9"/>
    <w:rsid w:val="00365C2E"/>
    <w:rsid w:val="00367564"/>
    <w:rsid w:val="00373829"/>
    <w:rsid w:val="003849D0"/>
    <w:rsid w:val="0038519F"/>
    <w:rsid w:val="00386F51"/>
    <w:rsid w:val="0039375D"/>
    <w:rsid w:val="003944DF"/>
    <w:rsid w:val="003B0CEE"/>
    <w:rsid w:val="003B70EA"/>
    <w:rsid w:val="003C40CB"/>
    <w:rsid w:val="003C5694"/>
    <w:rsid w:val="003C75F6"/>
    <w:rsid w:val="003D33E3"/>
    <w:rsid w:val="003D36E4"/>
    <w:rsid w:val="003D78C2"/>
    <w:rsid w:val="003E1225"/>
    <w:rsid w:val="003E3787"/>
    <w:rsid w:val="003E4FD8"/>
    <w:rsid w:val="003E5FDC"/>
    <w:rsid w:val="003E620C"/>
    <w:rsid w:val="003F149D"/>
    <w:rsid w:val="003F4467"/>
    <w:rsid w:val="003F6446"/>
    <w:rsid w:val="00401553"/>
    <w:rsid w:val="00402F5C"/>
    <w:rsid w:val="004108AF"/>
    <w:rsid w:val="00410C94"/>
    <w:rsid w:val="0041611B"/>
    <w:rsid w:val="0041696E"/>
    <w:rsid w:val="004178C1"/>
    <w:rsid w:val="004231F5"/>
    <w:rsid w:val="00426B63"/>
    <w:rsid w:val="0043149E"/>
    <w:rsid w:val="00436E96"/>
    <w:rsid w:val="00441838"/>
    <w:rsid w:val="00445650"/>
    <w:rsid w:val="0044732A"/>
    <w:rsid w:val="0045052A"/>
    <w:rsid w:val="004512DA"/>
    <w:rsid w:val="0045540B"/>
    <w:rsid w:val="00455762"/>
    <w:rsid w:val="00460B61"/>
    <w:rsid w:val="00470E5F"/>
    <w:rsid w:val="00472B79"/>
    <w:rsid w:val="0047437F"/>
    <w:rsid w:val="00485240"/>
    <w:rsid w:val="004922F7"/>
    <w:rsid w:val="0049740F"/>
    <w:rsid w:val="004A0D86"/>
    <w:rsid w:val="004A3794"/>
    <w:rsid w:val="004A6039"/>
    <w:rsid w:val="004A7532"/>
    <w:rsid w:val="004B509C"/>
    <w:rsid w:val="004B5FD3"/>
    <w:rsid w:val="004C07F2"/>
    <w:rsid w:val="004C3954"/>
    <w:rsid w:val="004C5C08"/>
    <w:rsid w:val="004D40DC"/>
    <w:rsid w:val="004D60A8"/>
    <w:rsid w:val="004E09E0"/>
    <w:rsid w:val="004E53D9"/>
    <w:rsid w:val="004E5807"/>
    <w:rsid w:val="004E648A"/>
    <w:rsid w:val="004F1BFA"/>
    <w:rsid w:val="004F1CEA"/>
    <w:rsid w:val="004F36CE"/>
    <w:rsid w:val="005003F9"/>
    <w:rsid w:val="00511924"/>
    <w:rsid w:val="005125C8"/>
    <w:rsid w:val="005151FE"/>
    <w:rsid w:val="0051553C"/>
    <w:rsid w:val="00521ECB"/>
    <w:rsid w:val="00522908"/>
    <w:rsid w:val="0052591E"/>
    <w:rsid w:val="00531769"/>
    <w:rsid w:val="005340D2"/>
    <w:rsid w:val="00535838"/>
    <w:rsid w:val="005360B4"/>
    <w:rsid w:val="0054331F"/>
    <w:rsid w:val="0055306F"/>
    <w:rsid w:val="00554F40"/>
    <w:rsid w:val="00555B81"/>
    <w:rsid w:val="00555E1E"/>
    <w:rsid w:val="00562065"/>
    <w:rsid w:val="005626D4"/>
    <w:rsid w:val="00566A68"/>
    <w:rsid w:val="00567F94"/>
    <w:rsid w:val="00570A8C"/>
    <w:rsid w:val="00572FAA"/>
    <w:rsid w:val="00573F3B"/>
    <w:rsid w:val="00581F1F"/>
    <w:rsid w:val="00583845"/>
    <w:rsid w:val="00583F49"/>
    <w:rsid w:val="00586AB9"/>
    <w:rsid w:val="00587193"/>
    <w:rsid w:val="00593DE9"/>
    <w:rsid w:val="0059518A"/>
    <w:rsid w:val="005A09DE"/>
    <w:rsid w:val="005A0A09"/>
    <w:rsid w:val="005A384C"/>
    <w:rsid w:val="005A4F32"/>
    <w:rsid w:val="005A767A"/>
    <w:rsid w:val="005A7D09"/>
    <w:rsid w:val="005B18AD"/>
    <w:rsid w:val="005C121A"/>
    <w:rsid w:val="005C7344"/>
    <w:rsid w:val="005D63FF"/>
    <w:rsid w:val="005D6899"/>
    <w:rsid w:val="005D76F4"/>
    <w:rsid w:val="005E0E13"/>
    <w:rsid w:val="005E5557"/>
    <w:rsid w:val="006041EA"/>
    <w:rsid w:val="00610C73"/>
    <w:rsid w:val="00612045"/>
    <w:rsid w:val="00615FC0"/>
    <w:rsid w:val="00631056"/>
    <w:rsid w:val="00635EFA"/>
    <w:rsid w:val="0064159C"/>
    <w:rsid w:val="00641F1B"/>
    <w:rsid w:val="006475E0"/>
    <w:rsid w:val="00656638"/>
    <w:rsid w:val="006718D1"/>
    <w:rsid w:val="00674E7B"/>
    <w:rsid w:val="00676BF6"/>
    <w:rsid w:val="00677D8C"/>
    <w:rsid w:val="00680477"/>
    <w:rsid w:val="00684FD7"/>
    <w:rsid w:val="00690918"/>
    <w:rsid w:val="0069594B"/>
    <w:rsid w:val="00695A68"/>
    <w:rsid w:val="00696F38"/>
    <w:rsid w:val="006A2988"/>
    <w:rsid w:val="006B004E"/>
    <w:rsid w:val="006B30B1"/>
    <w:rsid w:val="006B4833"/>
    <w:rsid w:val="006C2B79"/>
    <w:rsid w:val="006C54A3"/>
    <w:rsid w:val="006C5C43"/>
    <w:rsid w:val="006E0D9F"/>
    <w:rsid w:val="006E3DDF"/>
    <w:rsid w:val="006E56D0"/>
    <w:rsid w:val="006F06BD"/>
    <w:rsid w:val="006F3A08"/>
    <w:rsid w:val="00700721"/>
    <w:rsid w:val="0070231F"/>
    <w:rsid w:val="0070464E"/>
    <w:rsid w:val="00704ACC"/>
    <w:rsid w:val="0070753A"/>
    <w:rsid w:val="00713152"/>
    <w:rsid w:val="0071413B"/>
    <w:rsid w:val="0071688D"/>
    <w:rsid w:val="00717BF9"/>
    <w:rsid w:val="00725FEF"/>
    <w:rsid w:val="00733DF5"/>
    <w:rsid w:val="007361B4"/>
    <w:rsid w:val="00740AE5"/>
    <w:rsid w:val="0074155B"/>
    <w:rsid w:val="007438C1"/>
    <w:rsid w:val="00753226"/>
    <w:rsid w:val="00755058"/>
    <w:rsid w:val="007566C3"/>
    <w:rsid w:val="007574AC"/>
    <w:rsid w:val="007616E1"/>
    <w:rsid w:val="00763D29"/>
    <w:rsid w:val="007736F9"/>
    <w:rsid w:val="00775D49"/>
    <w:rsid w:val="007804EE"/>
    <w:rsid w:val="00782476"/>
    <w:rsid w:val="00786139"/>
    <w:rsid w:val="007A124D"/>
    <w:rsid w:val="007A1641"/>
    <w:rsid w:val="007A2ECC"/>
    <w:rsid w:val="007B0339"/>
    <w:rsid w:val="007B03C4"/>
    <w:rsid w:val="007B3BD2"/>
    <w:rsid w:val="007B71AE"/>
    <w:rsid w:val="007C6232"/>
    <w:rsid w:val="007D0221"/>
    <w:rsid w:val="007D22B2"/>
    <w:rsid w:val="007E3484"/>
    <w:rsid w:val="007E4C1B"/>
    <w:rsid w:val="007E7636"/>
    <w:rsid w:val="0080070B"/>
    <w:rsid w:val="00804927"/>
    <w:rsid w:val="0081018E"/>
    <w:rsid w:val="0081304D"/>
    <w:rsid w:val="008165EB"/>
    <w:rsid w:val="00823909"/>
    <w:rsid w:val="00826419"/>
    <w:rsid w:val="00832063"/>
    <w:rsid w:val="00833D47"/>
    <w:rsid w:val="0084047B"/>
    <w:rsid w:val="0084222F"/>
    <w:rsid w:val="00851AF1"/>
    <w:rsid w:val="00851DEF"/>
    <w:rsid w:val="00860381"/>
    <w:rsid w:val="0086108A"/>
    <w:rsid w:val="00861D4E"/>
    <w:rsid w:val="0086284A"/>
    <w:rsid w:val="00872E7F"/>
    <w:rsid w:val="008768CF"/>
    <w:rsid w:val="0087751E"/>
    <w:rsid w:val="00877719"/>
    <w:rsid w:val="00881865"/>
    <w:rsid w:val="008855CA"/>
    <w:rsid w:val="0089184D"/>
    <w:rsid w:val="008936DF"/>
    <w:rsid w:val="0089724A"/>
    <w:rsid w:val="008A1817"/>
    <w:rsid w:val="008A1CF7"/>
    <w:rsid w:val="008A56AD"/>
    <w:rsid w:val="008A6CDC"/>
    <w:rsid w:val="008B4D09"/>
    <w:rsid w:val="008C038F"/>
    <w:rsid w:val="008C240A"/>
    <w:rsid w:val="008C51A2"/>
    <w:rsid w:val="008C7EE6"/>
    <w:rsid w:val="008D54CC"/>
    <w:rsid w:val="008E028D"/>
    <w:rsid w:val="009001AA"/>
    <w:rsid w:val="009006CF"/>
    <w:rsid w:val="009013FB"/>
    <w:rsid w:val="00902FF1"/>
    <w:rsid w:val="0090392F"/>
    <w:rsid w:val="00904CDB"/>
    <w:rsid w:val="00905B5B"/>
    <w:rsid w:val="009077BC"/>
    <w:rsid w:val="0091574F"/>
    <w:rsid w:val="00923329"/>
    <w:rsid w:val="009266BD"/>
    <w:rsid w:val="0093004A"/>
    <w:rsid w:val="00931E13"/>
    <w:rsid w:val="009323C8"/>
    <w:rsid w:val="0093262C"/>
    <w:rsid w:val="00933536"/>
    <w:rsid w:val="0093786F"/>
    <w:rsid w:val="009606A1"/>
    <w:rsid w:val="00965E54"/>
    <w:rsid w:val="00966F69"/>
    <w:rsid w:val="00972D20"/>
    <w:rsid w:val="009815B3"/>
    <w:rsid w:val="00984FBA"/>
    <w:rsid w:val="00991B94"/>
    <w:rsid w:val="00992A7B"/>
    <w:rsid w:val="009944D0"/>
    <w:rsid w:val="009959EA"/>
    <w:rsid w:val="00996343"/>
    <w:rsid w:val="009A3FD9"/>
    <w:rsid w:val="009B26D2"/>
    <w:rsid w:val="009B6BDF"/>
    <w:rsid w:val="009B71A7"/>
    <w:rsid w:val="009C08A5"/>
    <w:rsid w:val="009C1A65"/>
    <w:rsid w:val="009C67A1"/>
    <w:rsid w:val="009D0E01"/>
    <w:rsid w:val="009D1D89"/>
    <w:rsid w:val="009D3B51"/>
    <w:rsid w:val="009E72AE"/>
    <w:rsid w:val="009F0E95"/>
    <w:rsid w:val="009F5646"/>
    <w:rsid w:val="009F5999"/>
    <w:rsid w:val="009F6A5D"/>
    <w:rsid w:val="009F740B"/>
    <w:rsid w:val="00A06C1B"/>
    <w:rsid w:val="00A1095A"/>
    <w:rsid w:val="00A263FE"/>
    <w:rsid w:val="00A27E77"/>
    <w:rsid w:val="00A31AEC"/>
    <w:rsid w:val="00A36F51"/>
    <w:rsid w:val="00A37A9F"/>
    <w:rsid w:val="00A40F38"/>
    <w:rsid w:val="00A44CFF"/>
    <w:rsid w:val="00A50D81"/>
    <w:rsid w:val="00A53754"/>
    <w:rsid w:val="00A6376E"/>
    <w:rsid w:val="00A652A4"/>
    <w:rsid w:val="00A716F0"/>
    <w:rsid w:val="00A7281F"/>
    <w:rsid w:val="00A72910"/>
    <w:rsid w:val="00A765B3"/>
    <w:rsid w:val="00A806CA"/>
    <w:rsid w:val="00A80820"/>
    <w:rsid w:val="00A84586"/>
    <w:rsid w:val="00A8679C"/>
    <w:rsid w:val="00A91D95"/>
    <w:rsid w:val="00A94AE6"/>
    <w:rsid w:val="00A94DF5"/>
    <w:rsid w:val="00A9560A"/>
    <w:rsid w:val="00AA1C1B"/>
    <w:rsid w:val="00AA20AF"/>
    <w:rsid w:val="00AA73E9"/>
    <w:rsid w:val="00AB0816"/>
    <w:rsid w:val="00AB3960"/>
    <w:rsid w:val="00AC104C"/>
    <w:rsid w:val="00AD0852"/>
    <w:rsid w:val="00AD3039"/>
    <w:rsid w:val="00AD47A5"/>
    <w:rsid w:val="00AE10D8"/>
    <w:rsid w:val="00AE5D76"/>
    <w:rsid w:val="00AE6EC4"/>
    <w:rsid w:val="00AE7130"/>
    <w:rsid w:val="00AF1DA3"/>
    <w:rsid w:val="00AF3C0D"/>
    <w:rsid w:val="00B05BFF"/>
    <w:rsid w:val="00B07E4F"/>
    <w:rsid w:val="00B17E31"/>
    <w:rsid w:val="00B24AD6"/>
    <w:rsid w:val="00B262FF"/>
    <w:rsid w:val="00B27119"/>
    <w:rsid w:val="00B27FF0"/>
    <w:rsid w:val="00B33009"/>
    <w:rsid w:val="00B33351"/>
    <w:rsid w:val="00B35896"/>
    <w:rsid w:val="00B35F7D"/>
    <w:rsid w:val="00B37442"/>
    <w:rsid w:val="00B40DD6"/>
    <w:rsid w:val="00B47E72"/>
    <w:rsid w:val="00B552AC"/>
    <w:rsid w:val="00B63701"/>
    <w:rsid w:val="00B6414C"/>
    <w:rsid w:val="00B64684"/>
    <w:rsid w:val="00B65024"/>
    <w:rsid w:val="00B85454"/>
    <w:rsid w:val="00B91EE6"/>
    <w:rsid w:val="00B95EE1"/>
    <w:rsid w:val="00BA1942"/>
    <w:rsid w:val="00BA69E4"/>
    <w:rsid w:val="00BC08BB"/>
    <w:rsid w:val="00BC38AB"/>
    <w:rsid w:val="00BC3CAE"/>
    <w:rsid w:val="00BD2CEF"/>
    <w:rsid w:val="00BD36E0"/>
    <w:rsid w:val="00BE4889"/>
    <w:rsid w:val="00BE511B"/>
    <w:rsid w:val="00BF0563"/>
    <w:rsid w:val="00BF1EFB"/>
    <w:rsid w:val="00BF562B"/>
    <w:rsid w:val="00BF5C12"/>
    <w:rsid w:val="00C00DB7"/>
    <w:rsid w:val="00C10BFD"/>
    <w:rsid w:val="00C16DDC"/>
    <w:rsid w:val="00C17AB8"/>
    <w:rsid w:val="00C2468F"/>
    <w:rsid w:val="00C266F7"/>
    <w:rsid w:val="00C32F22"/>
    <w:rsid w:val="00C35214"/>
    <w:rsid w:val="00C43B6F"/>
    <w:rsid w:val="00C468EA"/>
    <w:rsid w:val="00C55AF7"/>
    <w:rsid w:val="00C5699E"/>
    <w:rsid w:val="00C5783A"/>
    <w:rsid w:val="00C57BC6"/>
    <w:rsid w:val="00C6001B"/>
    <w:rsid w:val="00C60562"/>
    <w:rsid w:val="00C61A19"/>
    <w:rsid w:val="00C62237"/>
    <w:rsid w:val="00C701FC"/>
    <w:rsid w:val="00C7087B"/>
    <w:rsid w:val="00C70F0E"/>
    <w:rsid w:val="00C71A5C"/>
    <w:rsid w:val="00C72941"/>
    <w:rsid w:val="00C7539B"/>
    <w:rsid w:val="00C76BD1"/>
    <w:rsid w:val="00C807C6"/>
    <w:rsid w:val="00C83D6D"/>
    <w:rsid w:val="00C85F7D"/>
    <w:rsid w:val="00C9144E"/>
    <w:rsid w:val="00C92524"/>
    <w:rsid w:val="00C96B5A"/>
    <w:rsid w:val="00CA28C7"/>
    <w:rsid w:val="00CA4CAF"/>
    <w:rsid w:val="00CB1FF8"/>
    <w:rsid w:val="00CB2392"/>
    <w:rsid w:val="00CC1CE0"/>
    <w:rsid w:val="00CC2CCC"/>
    <w:rsid w:val="00CC58EF"/>
    <w:rsid w:val="00CD4D55"/>
    <w:rsid w:val="00CE1546"/>
    <w:rsid w:val="00CE2204"/>
    <w:rsid w:val="00CE42C6"/>
    <w:rsid w:val="00CE5086"/>
    <w:rsid w:val="00CF3366"/>
    <w:rsid w:val="00CF34A8"/>
    <w:rsid w:val="00CF3670"/>
    <w:rsid w:val="00CF4F35"/>
    <w:rsid w:val="00CF7EC5"/>
    <w:rsid w:val="00D0027D"/>
    <w:rsid w:val="00D04712"/>
    <w:rsid w:val="00D07C08"/>
    <w:rsid w:val="00D114CD"/>
    <w:rsid w:val="00D1449C"/>
    <w:rsid w:val="00D2214A"/>
    <w:rsid w:val="00D27B39"/>
    <w:rsid w:val="00D3251A"/>
    <w:rsid w:val="00D32AAE"/>
    <w:rsid w:val="00D43CE8"/>
    <w:rsid w:val="00D4418B"/>
    <w:rsid w:val="00D448E3"/>
    <w:rsid w:val="00D4720B"/>
    <w:rsid w:val="00D54A16"/>
    <w:rsid w:val="00D62FEB"/>
    <w:rsid w:val="00D66670"/>
    <w:rsid w:val="00D6794C"/>
    <w:rsid w:val="00D70E0C"/>
    <w:rsid w:val="00D76700"/>
    <w:rsid w:val="00D81BD1"/>
    <w:rsid w:val="00D8204A"/>
    <w:rsid w:val="00D84418"/>
    <w:rsid w:val="00D863E7"/>
    <w:rsid w:val="00D9008D"/>
    <w:rsid w:val="00DA0A24"/>
    <w:rsid w:val="00DB7E86"/>
    <w:rsid w:val="00DC0639"/>
    <w:rsid w:val="00DC395B"/>
    <w:rsid w:val="00DC40C7"/>
    <w:rsid w:val="00DC70DB"/>
    <w:rsid w:val="00DD43A2"/>
    <w:rsid w:val="00DD4AD5"/>
    <w:rsid w:val="00DD7EFA"/>
    <w:rsid w:val="00DE3A0E"/>
    <w:rsid w:val="00DE7E35"/>
    <w:rsid w:val="00DF1146"/>
    <w:rsid w:val="00DF2395"/>
    <w:rsid w:val="00DF416D"/>
    <w:rsid w:val="00DF5016"/>
    <w:rsid w:val="00DF5864"/>
    <w:rsid w:val="00DF77F4"/>
    <w:rsid w:val="00DF7E45"/>
    <w:rsid w:val="00E04340"/>
    <w:rsid w:val="00E15641"/>
    <w:rsid w:val="00E15A6A"/>
    <w:rsid w:val="00E227CF"/>
    <w:rsid w:val="00E25772"/>
    <w:rsid w:val="00E31936"/>
    <w:rsid w:val="00E4462F"/>
    <w:rsid w:val="00E50394"/>
    <w:rsid w:val="00E50BA2"/>
    <w:rsid w:val="00E64E49"/>
    <w:rsid w:val="00E733EF"/>
    <w:rsid w:val="00E816F2"/>
    <w:rsid w:val="00E83FC0"/>
    <w:rsid w:val="00E90A03"/>
    <w:rsid w:val="00E93084"/>
    <w:rsid w:val="00E962CB"/>
    <w:rsid w:val="00EC020F"/>
    <w:rsid w:val="00ED332F"/>
    <w:rsid w:val="00ED668D"/>
    <w:rsid w:val="00ED7B0E"/>
    <w:rsid w:val="00EE2654"/>
    <w:rsid w:val="00EF073A"/>
    <w:rsid w:val="00EF21F2"/>
    <w:rsid w:val="00EF5FFE"/>
    <w:rsid w:val="00F06C49"/>
    <w:rsid w:val="00F130A0"/>
    <w:rsid w:val="00F13860"/>
    <w:rsid w:val="00F146F8"/>
    <w:rsid w:val="00F14CED"/>
    <w:rsid w:val="00F160E5"/>
    <w:rsid w:val="00F2448B"/>
    <w:rsid w:val="00F24B39"/>
    <w:rsid w:val="00F25A84"/>
    <w:rsid w:val="00F266BB"/>
    <w:rsid w:val="00F269A0"/>
    <w:rsid w:val="00F40A6C"/>
    <w:rsid w:val="00F420C0"/>
    <w:rsid w:val="00F430A6"/>
    <w:rsid w:val="00F50E98"/>
    <w:rsid w:val="00F53DA1"/>
    <w:rsid w:val="00F5418E"/>
    <w:rsid w:val="00F54820"/>
    <w:rsid w:val="00F55FE4"/>
    <w:rsid w:val="00F57AD4"/>
    <w:rsid w:val="00F6041A"/>
    <w:rsid w:val="00F64505"/>
    <w:rsid w:val="00F7156C"/>
    <w:rsid w:val="00F72C03"/>
    <w:rsid w:val="00F7578E"/>
    <w:rsid w:val="00F77425"/>
    <w:rsid w:val="00F83CCB"/>
    <w:rsid w:val="00F9313E"/>
    <w:rsid w:val="00F93478"/>
    <w:rsid w:val="00F95649"/>
    <w:rsid w:val="00F95ECB"/>
    <w:rsid w:val="00F971B7"/>
    <w:rsid w:val="00FA19F8"/>
    <w:rsid w:val="00FA7CFA"/>
    <w:rsid w:val="00FC15D9"/>
    <w:rsid w:val="00FC2D30"/>
    <w:rsid w:val="00FC5777"/>
    <w:rsid w:val="00FC7A82"/>
    <w:rsid w:val="00FD3339"/>
    <w:rsid w:val="00FD4CB2"/>
    <w:rsid w:val="00FD572B"/>
    <w:rsid w:val="00FD75DF"/>
    <w:rsid w:val="00FE255C"/>
    <w:rsid w:val="00FE7F83"/>
    <w:rsid w:val="00FF1B30"/>
    <w:rsid w:val="00FF2174"/>
    <w:rsid w:val="00FF3D83"/>
    <w:rsid w:val="00FF462E"/>
    <w:rsid w:val="00FF5A3D"/>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semiHidden/>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583845"/>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55306F"/>
    <w:pPr>
      <w:spacing w:after="0"/>
      <w:jc w:val="both"/>
    </w:pPr>
    <w:rPr>
      <w:rFonts w:asciiTheme="minorHAnsi" w:eastAsia="Calibri" w:hAnsiTheme="minorHAnsi" w:cstheme="minorHAnsi"/>
      <w:szCs w:val="24"/>
      <w:lang w:val="en-US" w:eastAsia="en-IE" w:bidi="en-US"/>
    </w:rPr>
  </w:style>
  <w:style w:type="character" w:customStyle="1" w:styleId="FRABodyTextChar">
    <w:name w:val="(FRA) Body Text Char"/>
    <w:basedOn w:val="DefaultParagraphFont"/>
    <w:link w:val="FRABodyText"/>
    <w:rsid w:val="0055306F"/>
    <w:rPr>
      <w:rFonts w:asciiTheme="minorHAnsi" w:eastAsia="Calibri" w:hAnsiTheme="minorHAnsi" w:cstheme="minorHAnsi"/>
      <w:szCs w:val="24"/>
      <w:lang w:val="en-US"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styleId="UnresolvedMention">
    <w:name w:val="Unresolved Mention"/>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customStyle="1" w:styleId="Title1">
    <w:name w:val="Title1"/>
    <w:basedOn w:val="Normal"/>
    <w:rsid w:val="002D7515"/>
    <w:pPr>
      <w:spacing w:before="100" w:beforeAutospacing="1" w:after="100" w:afterAutospacing="1" w:line="240" w:lineRule="auto"/>
    </w:pPr>
    <w:rPr>
      <w:rFonts w:ascii="Times New Roman" w:hAnsi="Times New Roman"/>
      <w:szCs w:val="24"/>
      <w:lang w:val="bg-BG" w:eastAsia="bg-BG"/>
    </w:rPr>
  </w:style>
  <w:style w:type="character" w:customStyle="1" w:styleId="samedocreference">
    <w:name w:val="samedocreference"/>
    <w:basedOn w:val="DefaultParagraphFont"/>
    <w:rsid w:val="002D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227872">
      <w:bodyDiv w:val="1"/>
      <w:marLeft w:val="0"/>
      <w:marRight w:val="0"/>
      <w:marTop w:val="0"/>
      <w:marBottom w:val="0"/>
      <w:divBdr>
        <w:top w:val="none" w:sz="0" w:space="0" w:color="auto"/>
        <w:left w:val="none" w:sz="0" w:space="0" w:color="auto"/>
        <w:bottom w:val="none" w:sz="0" w:space="0" w:color="auto"/>
        <w:right w:val="none" w:sz="0" w:space="0" w:color="auto"/>
      </w:divBdr>
      <w:divsChild>
        <w:div w:id="1024359955">
          <w:marLeft w:val="0"/>
          <w:marRight w:val="0"/>
          <w:marTop w:val="0"/>
          <w:marBottom w:val="0"/>
          <w:divBdr>
            <w:top w:val="none" w:sz="0" w:space="0" w:color="auto"/>
            <w:left w:val="none" w:sz="0" w:space="0" w:color="auto"/>
            <w:bottom w:val="none" w:sz="0" w:space="0" w:color="auto"/>
            <w:right w:val="none" w:sz="0" w:space="0" w:color="auto"/>
          </w:divBdr>
        </w:div>
        <w:div w:id="1441955511">
          <w:marLeft w:val="0"/>
          <w:marRight w:val="0"/>
          <w:marTop w:val="0"/>
          <w:marBottom w:val="0"/>
          <w:divBdr>
            <w:top w:val="none" w:sz="0" w:space="0" w:color="auto"/>
            <w:left w:val="none" w:sz="0" w:space="0" w:color="auto"/>
            <w:bottom w:val="none" w:sz="0" w:space="0" w:color="auto"/>
            <w:right w:val="none" w:sz="0" w:space="0" w:color="auto"/>
          </w:divBdr>
        </w:div>
        <w:div w:id="1498615292">
          <w:marLeft w:val="0"/>
          <w:marRight w:val="0"/>
          <w:marTop w:val="0"/>
          <w:marBottom w:val="0"/>
          <w:divBdr>
            <w:top w:val="none" w:sz="0" w:space="0" w:color="auto"/>
            <w:left w:val="none" w:sz="0" w:space="0" w:color="auto"/>
            <w:bottom w:val="none" w:sz="0" w:space="0" w:color="auto"/>
            <w:right w:val="none" w:sz="0" w:space="0" w:color="auto"/>
          </w:divBdr>
        </w:div>
        <w:div w:id="330766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cik.bg/bg/mestni_izbori_2023/edu" TargetMode="External"/><Relationship Id="rId21" Type="http://schemas.openxmlformats.org/officeDocument/2006/relationships/hyperlink" Target="https://legalacts.justice.bg/Search/Details?actId=SoHutcq%2BFmI%3D" TargetMode="External"/><Relationship Id="rId42" Type="http://schemas.openxmlformats.org/officeDocument/2006/relationships/hyperlink" Target="https://www.cik.bg/bg/mestni_izbori_2023/campaign/subtitles-video" TargetMode="External"/><Relationship Id="rId47" Type="http://schemas.openxmlformats.org/officeDocument/2006/relationships/hyperlink" Target="https://lex.bg/laws/ldoc/2135555445" TargetMode="External"/><Relationship Id="rId63" Type="http://schemas.openxmlformats.org/officeDocument/2006/relationships/hyperlink" Target="https://lex.bg/laws/ldoc/2134447616" TargetMode="External"/><Relationship Id="rId68" Type="http://schemas.openxmlformats.org/officeDocument/2006/relationships/hyperlink" Target="https://hudoc.echr.coe.int/eng" TargetMode="External"/><Relationship Id="rId2" Type="http://schemas.openxmlformats.org/officeDocument/2006/relationships/hyperlink" Target="https://lex.bg/laws/ldoc/521957377" TargetMode="External"/><Relationship Id="rId16" Type="http://schemas.openxmlformats.org/officeDocument/2006/relationships/hyperlink" Target="https://www.cik.bg/bg/contacts" TargetMode="External"/><Relationship Id="rId29" Type="http://schemas.openxmlformats.org/officeDocument/2006/relationships/hyperlink" Target="https://lex.bg/laws/ldoc/2127837184" TargetMode="External"/><Relationship Id="rId11" Type="http://schemas.openxmlformats.org/officeDocument/2006/relationships/hyperlink" Target="https://www.cik.bg/bg/decisions/2666/2023-10-13" TargetMode="External"/><Relationship Id="rId24" Type="http://schemas.openxmlformats.org/officeDocument/2006/relationships/hyperlink" Target="https://www.cik.bg/bg/decisions/2796/26.10.2023" TargetMode="External"/><Relationship Id="rId32" Type="http://schemas.openxmlformats.org/officeDocument/2006/relationships/hyperlink" Target="https://lex.bg/bg/laws/ldoc/2136112596" TargetMode="External"/><Relationship Id="rId37" Type="http://schemas.openxmlformats.org/officeDocument/2006/relationships/hyperlink" Target="https://www.w3.org/WAI/standards-guidelines/act/implementations/" TargetMode="External"/><Relationship Id="rId40" Type="http://schemas.openxmlformats.org/officeDocument/2006/relationships/hyperlink" Target="https://www.cik.bg/bg/mestni_izbori_2023/campaign/subtitles-video" TargetMode="External"/><Relationship Id="rId45" Type="http://schemas.openxmlformats.org/officeDocument/2006/relationships/hyperlink" Target="https://www.cem.bg/controlbg/1462" TargetMode="External"/><Relationship Id="rId53" Type="http://schemas.openxmlformats.org/officeDocument/2006/relationships/hyperlink" Target="https://lex.bg/bg/laws/ldoc/2136112596" TargetMode="External"/><Relationship Id="rId58" Type="http://schemas.openxmlformats.org/officeDocument/2006/relationships/hyperlink" Target="https://bnt.bg/news/policeiski-sluzhiteli-pomognaha-na-zhena-s-uvrezhdaniya-da-glasuva-v341922-316722news.html" TargetMode="External"/><Relationship Id="rId66" Type="http://schemas.openxmlformats.org/officeDocument/2006/relationships/hyperlink" Target="https://lex.bg/bg/laws/ldoc/2136112596" TargetMode="External"/><Relationship Id="rId74" Type="http://schemas.openxmlformats.org/officeDocument/2006/relationships/hyperlink" Target="https://www.burgas.bg/bg/vazhni-saobshteniya/saobshtenie-za-glasuvane-na-izbirateli-s-uvredeno-zrenie-ili-sas-zatrudneniya-v-predvizhvaneto-v-izborite-za-obshtinski-savetnitsi-i-kmetove-na-29-oktomvri-2023-g" TargetMode="External"/><Relationship Id="rId5" Type="http://schemas.openxmlformats.org/officeDocument/2006/relationships/hyperlink" Target="https://lex.bg/bg/laws/ldoc/2136112596" TargetMode="External"/><Relationship Id="rId61" Type="http://schemas.openxmlformats.org/officeDocument/2006/relationships/hyperlink" Target="https://lex.bg/laws/ldoc/2135555445" TargetMode="External"/><Relationship Id="rId19" Type="http://schemas.openxmlformats.org/officeDocument/2006/relationships/hyperlink" Target="https://userway.org/accessibility-checker/?scanner=true&amp;url=https%3a%2f%2fwww.cik.bg%2f" TargetMode="External"/><Relationship Id="rId14" Type="http://schemas.openxmlformats.org/officeDocument/2006/relationships/hyperlink" Target="https://www.cik.bg/bg/decisions/2545/2023-09-29" TargetMode="External"/><Relationship Id="rId22" Type="http://schemas.openxmlformats.org/officeDocument/2006/relationships/hyperlink" Target="https://legalacts.justice.bg/Search/Details?actId=uWMXw4je%2BRc%3D" TargetMode="External"/><Relationship Id="rId27" Type="http://schemas.openxmlformats.org/officeDocument/2006/relationships/hyperlink" Target="https://lex.bg/laws/ldoc/2127837184" TargetMode="External"/><Relationship Id="rId30" Type="http://schemas.openxmlformats.org/officeDocument/2006/relationships/hyperlink" Target="https://lex.bg/laws/ldoc/2127837184" TargetMode="External"/><Relationship Id="rId35" Type="http://schemas.openxmlformats.org/officeDocument/2006/relationships/hyperlink" Target="https://www.cik.bg/bg/mestni_izbori_2023/campaign" TargetMode="External"/><Relationship Id="rId43" Type="http://schemas.openxmlformats.org/officeDocument/2006/relationships/hyperlink" Target="https://www.cem.bg/controlbg/1462" TargetMode="External"/><Relationship Id="rId48" Type="http://schemas.openxmlformats.org/officeDocument/2006/relationships/hyperlink" Target="https://lex.bg/bg/laws/ldoc/2136995819" TargetMode="External"/><Relationship Id="rId56" Type="http://schemas.openxmlformats.org/officeDocument/2006/relationships/hyperlink" Target="https://www.cik.bg/bg/decisions/2545/2023-09-29" TargetMode="External"/><Relationship Id="rId64" Type="http://schemas.openxmlformats.org/officeDocument/2006/relationships/hyperlink" Target="https://www.cem.bg/activitybg/2253" TargetMode="External"/><Relationship Id="rId69" Type="http://schemas.openxmlformats.org/officeDocument/2006/relationships/hyperlink" Target="https://hudoc.echr.coe.int/fre" TargetMode="External"/><Relationship Id="rId8" Type="http://schemas.openxmlformats.org/officeDocument/2006/relationships/hyperlink" Target="https://lex.bg/bg/laws/ldoc/2136112596" TargetMode="External"/><Relationship Id="rId51" Type="http://schemas.openxmlformats.org/officeDocument/2006/relationships/hyperlink" Target="https://lex.bg/laws/ldoc/2134447616" TargetMode="External"/><Relationship Id="rId72" Type="http://schemas.openxmlformats.org/officeDocument/2006/relationships/hyperlink" Target="https://www.ombudsman.bg/bg/p/godishen-doklad-za-deynostta-na-ombudsmana-p-567" TargetMode="External"/><Relationship Id="rId3" Type="http://schemas.openxmlformats.org/officeDocument/2006/relationships/hyperlink" Target="https://lex.bg/bg/laws/ldoc/2136112596" TargetMode="External"/><Relationship Id="rId12" Type="http://schemas.openxmlformats.org/officeDocument/2006/relationships/hyperlink" Target="https://lex.bg/bg/laws/ldoc/2136112596" TargetMode="External"/><Relationship Id="rId17" Type="http://schemas.openxmlformats.org/officeDocument/2006/relationships/hyperlink" Target="https://lex.bg/bg/laws/ldoc/2136995819" TargetMode="External"/><Relationship Id="rId25" Type="http://schemas.openxmlformats.org/officeDocument/2006/relationships/hyperlink" Target="https://lex.bg/bg/laws/ldoc/2136112596" TargetMode="External"/><Relationship Id="rId33" Type="http://schemas.openxmlformats.org/officeDocument/2006/relationships/hyperlink" Target="https://www.cik.bg/bg/decisions/2545/2023-09-29" TargetMode="External"/><Relationship Id="rId38" Type="http://schemas.openxmlformats.org/officeDocument/2006/relationships/hyperlink" Target="https://userway.org/accessibility-checker/?scanner=true&amp;url=https%3a%2f%2fwww.cik.bg%2f" TargetMode="External"/><Relationship Id="rId46" Type="http://schemas.openxmlformats.org/officeDocument/2006/relationships/hyperlink" Target="https://www.cem.bg/controlbg/1462" TargetMode="External"/><Relationship Id="rId59" Type="http://schemas.openxmlformats.org/officeDocument/2006/relationships/hyperlink" Target="https://lex.bg/laws/ldoc/2135555445" TargetMode="External"/><Relationship Id="rId67" Type="http://schemas.openxmlformats.org/officeDocument/2006/relationships/hyperlink" Target="https://www.mlsp.government.bg/deinstitutsionalizatsiya-na-grizhata-za-vzrastni-khora-i-khora-s-uvrezhdaniya" TargetMode="External"/><Relationship Id="rId20" Type="http://schemas.openxmlformats.org/officeDocument/2006/relationships/hyperlink" Target="https://legalacts.justice.bg/Search/Details?actId=p7sAb8LtZso%3D" TargetMode="External"/><Relationship Id="rId41" Type="http://schemas.openxmlformats.org/officeDocument/2006/relationships/hyperlink" Target="https://lex.bg/bg/laws/ldoc/2136112596" TargetMode="External"/><Relationship Id="rId54" Type="http://schemas.openxmlformats.org/officeDocument/2006/relationships/hyperlink" Target="https://lex.bg/bg/laws/ldoc/2136112596" TargetMode="External"/><Relationship Id="rId62" Type="http://schemas.openxmlformats.org/officeDocument/2006/relationships/hyperlink" Target="https://lex.bg/bg/laws/ldoc/2137189213" TargetMode="External"/><Relationship Id="rId70" Type="http://schemas.openxmlformats.org/officeDocument/2006/relationships/hyperlink" Target="https://www.constcourt.bg/bg/act-9390" TargetMode="External"/><Relationship Id="rId75" Type="http://schemas.openxmlformats.org/officeDocument/2006/relationships/hyperlink" Target="https://btvnovinite.bg/bulgaria/tabla-s-brajlov-tekst-pomagat-na-nezrjashtite-da-glasuvat-v-burgas.html" TargetMode="External"/><Relationship Id="rId1" Type="http://schemas.openxmlformats.org/officeDocument/2006/relationships/hyperlink" Target="https://www.strategy.bg/StrategicDocuments/View.aspx?lang=bg-BG&amp;Id=1342" TargetMode="External"/><Relationship Id="rId6" Type="http://schemas.openxmlformats.org/officeDocument/2006/relationships/hyperlink" Target="https://lex.bg/bg/laws/ldoc/2137189213" TargetMode="External"/><Relationship Id="rId15" Type="http://schemas.openxmlformats.org/officeDocument/2006/relationships/hyperlink" Target="https://lex.bg/bg/laws/ldoc/2136112596" TargetMode="External"/><Relationship Id="rId23" Type="http://schemas.openxmlformats.org/officeDocument/2006/relationships/hyperlink" Target="https://www.cik.bg/bg/complaints?p=1" TargetMode="External"/><Relationship Id="rId28" Type="http://schemas.openxmlformats.org/officeDocument/2006/relationships/hyperlink" Target="https://www.strategy.bg/" TargetMode="External"/><Relationship Id="rId36" Type="http://schemas.openxmlformats.org/officeDocument/2006/relationships/hyperlink" Target="https://lex.bg/bg/laws/ldoc/2136995819" TargetMode="External"/><Relationship Id="rId49" Type="http://schemas.openxmlformats.org/officeDocument/2006/relationships/hyperlink" Target="https://lex.bg/laws/ldoc/2135555445" TargetMode="External"/><Relationship Id="rId57" Type="http://schemas.openxmlformats.org/officeDocument/2006/relationships/hyperlink" Target="https://www.plovdiv.bg/announcements/mi-29-10-2023/" TargetMode="External"/><Relationship Id="rId10" Type="http://schemas.openxmlformats.org/officeDocument/2006/relationships/hyperlink" Target="https://lex.bg/bg/laws/ldoc/2136112596" TargetMode="External"/><Relationship Id="rId31" Type="http://schemas.openxmlformats.org/officeDocument/2006/relationships/hyperlink" Target="https://iisda.government.bg/ras/executive_power/council/2873" TargetMode="External"/><Relationship Id="rId44" Type="http://schemas.openxmlformats.org/officeDocument/2006/relationships/hyperlink" Target="https://www.cem.bg/activitybg/2253" TargetMode="External"/><Relationship Id="rId52" Type="http://schemas.openxmlformats.org/officeDocument/2006/relationships/hyperlink" Target="https://www.cem.bg/activitybg/2253" TargetMode="External"/><Relationship Id="rId60" Type="http://schemas.openxmlformats.org/officeDocument/2006/relationships/hyperlink" Target="https://lex.bg/bg/laws/ldoc/2136995819" TargetMode="External"/><Relationship Id="rId65" Type="http://schemas.openxmlformats.org/officeDocument/2006/relationships/hyperlink" Target="https://www.cem.bg/controlbg/1462" TargetMode="External"/><Relationship Id="rId73" Type="http://schemas.openxmlformats.org/officeDocument/2006/relationships/hyperlink" Target="https://www.burgas.bg/bg/za-nezryashti" TargetMode="External"/><Relationship Id="rId4" Type="http://schemas.openxmlformats.org/officeDocument/2006/relationships/hyperlink" Target="https://lex.bg/bg/laws/ldoc/2136112596" TargetMode="External"/><Relationship Id="rId9" Type="http://schemas.openxmlformats.org/officeDocument/2006/relationships/hyperlink" Target="https://www.cik.bg/bg/decisions/2599/2023-10-05" TargetMode="External"/><Relationship Id="rId13" Type="http://schemas.openxmlformats.org/officeDocument/2006/relationships/hyperlink" Target="https://lex.bg/bg/laws/ldoc/2136112596" TargetMode="External"/><Relationship Id="rId18" Type="http://schemas.openxmlformats.org/officeDocument/2006/relationships/hyperlink" Target="https://www.w3.org/WAI/standards-guidelines/act/implementations/" TargetMode="External"/><Relationship Id="rId39" Type="http://schemas.openxmlformats.org/officeDocument/2006/relationships/hyperlink" Target="https://lex.bg/bg/laws/ldoc/2136112596" TargetMode="External"/><Relationship Id="rId34" Type="http://schemas.openxmlformats.org/officeDocument/2006/relationships/hyperlink" Target="https://www.cik.bg/bg/ns02.04.2023/canlist" TargetMode="External"/><Relationship Id="rId50" Type="http://schemas.openxmlformats.org/officeDocument/2006/relationships/hyperlink" Target="https://lex.bg/bg/laws/ldoc/2137189213" TargetMode="External"/><Relationship Id="rId55" Type="http://schemas.openxmlformats.org/officeDocument/2006/relationships/hyperlink" Target="https://lex.bg/bg/laws/ldoc/2136112596" TargetMode="External"/><Relationship Id="rId7" Type="http://schemas.openxmlformats.org/officeDocument/2006/relationships/hyperlink" Target="https://lex.bg/bg/laws/ldoc/2136112596" TargetMode="External"/><Relationship Id="rId71" Type="http://schemas.openxmlformats.org/officeDocument/2006/relationships/hyperlink" Target="https://lex.bg/bg/laws/ldoc/2136112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2.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3.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4.xml><?xml version="1.0" encoding="utf-8"?>
<EurolookProperties>
  <ProductCustomizationId>EC</ProductCustomizationId>
  <Created>
    <Version>10.0.42702.0</Version>
    <Date>2023-05-17T15:14:09</Date>
    <Language>EN</Language>
    <Note/>
  </Created>
  <Edited>
    <Version>10.0.42702.0</Version>
    <Date>2023-09-22T12:00:04</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FF32-4C3B-423D-BE8C-A831B166F6B7}">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BB331D43-972B-4D67-9598-33C3F123B328}">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9CCF0994-3BC8-42B7-BE43-31ABC660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4970</Words>
  <Characters>28330</Characters>
  <Application>Microsoft Office Word</Application>
  <DocSecurity>0</DocSecurity>
  <PresentationFormat>Microsoft Word 14.0</PresentationFormat>
  <Lines>236</Lines>
  <Paragraphs>66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2024-05-30T07:33:00Z</dcterms:created>
  <dcterms:modified xsi:type="dcterms:W3CDTF">2024-05-30T07:33:00Z</dcterms:modified>
</cp:coreProperties>
</file>