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szCs w:val="24"/>
        </w:rPr>
      </w:sdtEndPr>
      <w:sdtContent>
        <w:p w14:paraId="1D49A859" w14:textId="77777777" w:rsidR="00610C73" w:rsidRPr="00843205" w:rsidRDefault="00610C73" w:rsidP="009354B7">
          <w:pPr>
            <w:pStyle w:val="FRAHeading4Unnumbered"/>
          </w:pPr>
        </w:p>
        <w:p w14:paraId="2DCC1E8C" w14:textId="77777777" w:rsidR="00610C73" w:rsidRPr="00843205" w:rsidRDefault="005C7344" w:rsidP="00C5699E">
          <w:pPr>
            <w:pStyle w:val="PublicationTitle"/>
            <w:spacing w:before="480" w:after="360"/>
            <w:jc w:val="right"/>
            <w:rPr>
              <w:color w:val="4472C4" w:themeColor="accent1"/>
              <w:sz w:val="56"/>
              <w:szCs w:val="18"/>
            </w:rPr>
          </w:pPr>
          <w:r w:rsidRPr="00843205">
            <w:rPr>
              <w:color w:val="4472C4" w:themeColor="accent1"/>
              <w:sz w:val="56"/>
              <w:szCs w:val="18"/>
            </w:rPr>
            <w:t xml:space="preserve">The right to political participation of persons with disabilities ahead of the 2024 European Parliament elections </w:t>
          </w:r>
        </w:p>
        <w:p w14:paraId="0ABCADE4" w14:textId="77777777" w:rsidR="0089724A" w:rsidRPr="00843205" w:rsidRDefault="00884287" w:rsidP="008165EB">
          <w:pPr>
            <w:pStyle w:val="PublicationSubtitle"/>
            <w:spacing w:before="0"/>
            <w:jc w:val="right"/>
            <w:rPr>
              <w:color w:val="auto"/>
            </w:rPr>
          </w:pPr>
          <w:r w:rsidRPr="00843205">
            <w:rPr>
              <w:color w:val="auto"/>
            </w:rPr>
            <w:t>Germany</w:t>
          </w:r>
        </w:p>
        <w:p w14:paraId="0367ACD1" w14:textId="77777777" w:rsidR="0089724A" w:rsidRPr="00843205" w:rsidRDefault="0089724A" w:rsidP="008165EB">
          <w:pPr>
            <w:pStyle w:val="PublicationSubtitle"/>
            <w:spacing w:before="0"/>
            <w:jc w:val="right"/>
            <w:rPr>
              <w:color w:val="auto"/>
            </w:rPr>
          </w:pPr>
        </w:p>
        <w:p w14:paraId="3B5D8F1D" w14:textId="77777777" w:rsidR="00610C73" w:rsidRPr="00843205" w:rsidRDefault="00CC2CCC" w:rsidP="00C5699E">
          <w:pPr>
            <w:pStyle w:val="PublicationSubtitle"/>
            <w:spacing w:before="0"/>
            <w:jc w:val="right"/>
            <w:rPr>
              <w:color w:val="auto"/>
            </w:rPr>
          </w:pPr>
          <w:r w:rsidRPr="00843205">
            <w:rPr>
              <w:color w:val="auto"/>
            </w:rPr>
            <w:t>January 2024</w:t>
          </w:r>
        </w:p>
        <w:p w14:paraId="0F48266D" w14:textId="77777777" w:rsidR="008165EB" w:rsidRPr="00843205" w:rsidRDefault="008165EB" w:rsidP="008165EB">
          <w:pPr>
            <w:pStyle w:val="PublicationSubsubtitle"/>
            <w:spacing w:after="0"/>
            <w:jc w:val="right"/>
            <w:rPr>
              <w:color w:val="auto"/>
            </w:rPr>
          </w:pPr>
          <w:r w:rsidRPr="00843205">
            <w:rPr>
              <w:color w:val="auto"/>
            </w:rPr>
            <w:t xml:space="preserve"> </w:t>
          </w:r>
        </w:p>
        <w:p w14:paraId="5DF6E3BC" w14:textId="77777777" w:rsidR="008165EB" w:rsidRPr="00843205" w:rsidRDefault="008165EB" w:rsidP="008165EB">
          <w:pPr>
            <w:pStyle w:val="PublicationSubsubtitle"/>
            <w:spacing w:after="0"/>
            <w:jc w:val="right"/>
            <w:rPr>
              <w:color w:val="auto"/>
            </w:rPr>
          </w:pPr>
          <w:r w:rsidRPr="00843205">
            <w:rPr>
              <w:color w:val="auto"/>
            </w:rPr>
            <w:t>Contractor:</w:t>
          </w:r>
          <w:r w:rsidR="000B4FDC" w:rsidRPr="00843205">
            <w:rPr>
              <w:color w:val="auto"/>
            </w:rPr>
            <w:t xml:space="preserve"> German Institute for Human Rights</w:t>
          </w:r>
        </w:p>
        <w:p w14:paraId="638B8FB7" w14:textId="77777777" w:rsidR="008165EB" w:rsidRPr="00843205" w:rsidRDefault="008165EB" w:rsidP="00C5699E">
          <w:pPr>
            <w:pStyle w:val="PublicationSubsubtitle"/>
            <w:spacing w:after="0"/>
            <w:jc w:val="right"/>
            <w:rPr>
              <w:color w:val="auto"/>
            </w:rPr>
          </w:pPr>
          <w:r w:rsidRPr="00843205">
            <w:rPr>
              <w:color w:val="auto"/>
            </w:rPr>
            <w:t xml:space="preserve"> </w:t>
          </w:r>
        </w:p>
        <w:p w14:paraId="7C15594F" w14:textId="77777777" w:rsidR="008165EB" w:rsidRPr="00843205" w:rsidRDefault="008165EB" w:rsidP="008165EB">
          <w:pPr>
            <w:pStyle w:val="PublicationSubsubtitle"/>
            <w:spacing w:after="0"/>
            <w:jc w:val="right"/>
            <w:rPr>
              <w:color w:val="auto"/>
            </w:rPr>
          </w:pPr>
          <w:r w:rsidRPr="00843205">
            <w:rPr>
              <w:color w:val="auto"/>
            </w:rPr>
            <w:t>Authors:</w:t>
          </w:r>
          <w:r w:rsidR="000B4FDC" w:rsidRPr="00843205">
            <w:rPr>
              <w:color w:val="auto"/>
            </w:rPr>
            <w:t xml:space="preserve"> Frieder </w:t>
          </w:r>
          <w:proofErr w:type="spellStart"/>
          <w:r w:rsidR="000B4FDC" w:rsidRPr="00843205">
            <w:rPr>
              <w:color w:val="auto"/>
            </w:rPr>
            <w:t>Kurbjeweit</w:t>
          </w:r>
          <w:proofErr w:type="spellEnd"/>
          <w:r w:rsidR="000B4FDC" w:rsidRPr="00843205">
            <w:rPr>
              <w:color w:val="auto"/>
            </w:rPr>
            <w:t>, Freda Wagner</w:t>
          </w:r>
        </w:p>
        <w:p w14:paraId="5A10393D" w14:textId="77777777" w:rsidR="008165EB" w:rsidRPr="00843205" w:rsidRDefault="008165EB" w:rsidP="00C5699E">
          <w:pPr>
            <w:pStyle w:val="PublicationSubsubtitle"/>
            <w:spacing w:after="0"/>
            <w:jc w:val="right"/>
          </w:pPr>
        </w:p>
        <w:p w14:paraId="3B70B7A5" w14:textId="77777777" w:rsidR="007C6232" w:rsidRPr="00843205"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843205" w14:paraId="60B4273F" w14:textId="77777777">
            <w:tc>
              <w:tcPr>
                <w:tcW w:w="8503" w:type="dxa"/>
              </w:tcPr>
              <w:p w14:paraId="6E4210A7" w14:textId="77777777" w:rsidR="00676BF6" w:rsidRPr="00843205" w:rsidRDefault="00851AF1">
                <w:pPr>
                  <w:pStyle w:val="BoxTitleC"/>
                </w:pPr>
                <w:r w:rsidRPr="00843205">
                  <w:t>Disclaimer</w:t>
                </w:r>
              </w:p>
              <w:p w14:paraId="7785BD18" w14:textId="77777777" w:rsidR="00676BF6" w:rsidRPr="00843205" w:rsidRDefault="00851AF1">
                <w:pPr>
                  <w:pStyle w:val="BoxText"/>
                </w:pPr>
                <w:r w:rsidRPr="00843205">
                  <w:t xml:space="preserve">This document was commissioned under contract by the European Union Agency for Fundamental Rights (FRA) as background material for the project </w:t>
                </w:r>
                <w:r w:rsidR="00C71A5C" w:rsidRPr="00843205">
                  <w:t>‘</w:t>
                </w:r>
                <w:r w:rsidR="00274E14" w:rsidRPr="00843205">
                  <w:t>Participating in the EU Framework required by Article 33 (2) of the UN Convention on the Rights of Persons with Disabilities</w:t>
                </w:r>
                <w:r w:rsidR="00CC2CCC" w:rsidRPr="00843205">
                  <w:t>’</w:t>
                </w:r>
                <w:r w:rsidRPr="00843205">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843205">
                  <w:t>.</w:t>
                </w:r>
              </w:p>
            </w:tc>
          </w:tr>
        </w:tbl>
        <w:p w14:paraId="7A527A85" w14:textId="77777777" w:rsidR="001B1B37" w:rsidRPr="00843205" w:rsidRDefault="001B1B37"/>
        <w:p w14:paraId="493329F7" w14:textId="77777777" w:rsidR="001B1B37" w:rsidRPr="00843205" w:rsidRDefault="001B1B37"/>
        <w:p w14:paraId="4ADDC711" w14:textId="77777777" w:rsidR="001B45E3" w:rsidRPr="00843205" w:rsidRDefault="00000000"/>
      </w:sdtContent>
    </w:sdt>
    <w:sdt>
      <w:sdtPr>
        <w:rPr>
          <w:color w:val="006FB4"/>
        </w:rPr>
        <w:id w:val="849872350"/>
        <w:docPartObj>
          <w:docPartGallery w:val="Table of Contents"/>
          <w:docPartUnique/>
        </w:docPartObj>
      </w:sdtPr>
      <w:sdtContent>
        <w:p w14:paraId="392AA4F4" w14:textId="77777777" w:rsidR="00B47E72" w:rsidRPr="00843205" w:rsidRDefault="00B47E72">
          <w:pPr>
            <w:pStyle w:val="TOCHeading"/>
          </w:pPr>
          <w:r w:rsidRPr="00843205">
            <w:t>Contents</w:t>
          </w:r>
        </w:p>
        <w:p w14:paraId="3406ECF3" w14:textId="77777777" w:rsidR="00B63701" w:rsidRPr="00843205" w:rsidRDefault="00B63701" w:rsidP="2141E379">
          <w:pPr>
            <w:pStyle w:val="TOC1"/>
            <w:tabs>
              <w:tab w:val="clear" w:pos="8504"/>
              <w:tab w:val="left" w:pos="480"/>
              <w:tab w:val="right" w:leader="dot" w:pos="8490"/>
            </w:tabs>
            <w:rPr>
              <w:rStyle w:val="Hyperlink"/>
              <w:noProof/>
              <w:kern w:val="2"/>
              <w:lang w:val="fr-FR" w:eastAsia="fr-FR"/>
              <w14:ligatures w14:val="standardContextual"/>
            </w:rPr>
          </w:pPr>
          <w:r w:rsidRPr="00843205">
            <w:fldChar w:fldCharType="begin"/>
          </w:r>
          <w:r w:rsidR="0CD4123A" w:rsidRPr="00843205">
            <w:instrText>TOC \o "1-3" \h \z \u</w:instrText>
          </w:r>
          <w:r w:rsidRPr="00843205">
            <w:fldChar w:fldCharType="separate"/>
          </w:r>
          <w:hyperlink w:anchor="_Toc1905438080">
            <w:r w:rsidR="2141E379" w:rsidRPr="00843205">
              <w:rPr>
                <w:rStyle w:val="Hyperlink"/>
                <w:noProof/>
              </w:rPr>
              <w:t>1.</w:t>
            </w:r>
            <w:r w:rsidR="0CD4123A" w:rsidRPr="00843205">
              <w:rPr>
                <w:noProof/>
              </w:rPr>
              <w:tab/>
            </w:r>
            <w:r w:rsidR="2141E379" w:rsidRPr="00843205">
              <w:rPr>
                <w:rStyle w:val="Hyperlink"/>
                <w:noProof/>
              </w:rPr>
              <w:t>Data on persons with disabilities exercising their right to political participation</w:t>
            </w:r>
            <w:r w:rsidR="0CD4123A" w:rsidRPr="00843205">
              <w:rPr>
                <w:noProof/>
              </w:rPr>
              <w:tab/>
            </w:r>
            <w:r w:rsidR="0CD4123A" w:rsidRPr="00843205">
              <w:rPr>
                <w:noProof/>
              </w:rPr>
              <w:fldChar w:fldCharType="begin"/>
            </w:r>
            <w:r w:rsidR="0CD4123A" w:rsidRPr="00843205">
              <w:rPr>
                <w:noProof/>
              </w:rPr>
              <w:instrText>PAGEREF _Toc1905438080 \h</w:instrText>
            </w:r>
            <w:r w:rsidR="0CD4123A" w:rsidRPr="00843205">
              <w:rPr>
                <w:noProof/>
              </w:rPr>
            </w:r>
            <w:r w:rsidR="0CD4123A" w:rsidRPr="00843205">
              <w:rPr>
                <w:noProof/>
              </w:rPr>
              <w:fldChar w:fldCharType="separate"/>
            </w:r>
            <w:r w:rsidR="0055426C" w:rsidRPr="00843205">
              <w:rPr>
                <w:noProof/>
              </w:rPr>
              <w:t>3</w:t>
            </w:r>
            <w:r w:rsidR="0CD4123A" w:rsidRPr="00843205">
              <w:rPr>
                <w:noProof/>
              </w:rPr>
              <w:fldChar w:fldCharType="end"/>
            </w:r>
          </w:hyperlink>
        </w:p>
        <w:p w14:paraId="08BCE49F" w14:textId="77777777" w:rsidR="00B63701" w:rsidRPr="00843205" w:rsidRDefault="00000000" w:rsidP="2141E379">
          <w:pPr>
            <w:pStyle w:val="TOC1"/>
            <w:tabs>
              <w:tab w:val="clear" w:pos="8504"/>
              <w:tab w:val="left" w:pos="480"/>
              <w:tab w:val="right" w:leader="dot" w:pos="8490"/>
            </w:tabs>
            <w:rPr>
              <w:rStyle w:val="Hyperlink"/>
              <w:noProof/>
              <w:kern w:val="2"/>
              <w:lang w:val="fr-FR" w:eastAsia="fr-FR"/>
              <w14:ligatures w14:val="standardContextual"/>
            </w:rPr>
          </w:pPr>
          <w:hyperlink w:anchor="_Toc1607741523">
            <w:r w:rsidR="2141E379" w:rsidRPr="00843205">
              <w:rPr>
                <w:rStyle w:val="Hyperlink"/>
                <w:noProof/>
              </w:rPr>
              <w:t>2.</w:t>
            </w:r>
            <w:r w:rsidR="00B63701" w:rsidRPr="00843205">
              <w:rPr>
                <w:noProof/>
              </w:rPr>
              <w:tab/>
            </w:r>
            <w:r w:rsidR="2141E379" w:rsidRPr="00843205">
              <w:rPr>
                <w:rStyle w:val="Hyperlink"/>
                <w:noProof/>
              </w:rPr>
              <w:t>Political participation of persons with disabilities in practice</w:t>
            </w:r>
            <w:r w:rsidR="00B63701" w:rsidRPr="00843205">
              <w:rPr>
                <w:noProof/>
              </w:rPr>
              <w:tab/>
            </w:r>
            <w:r w:rsidR="00B63701" w:rsidRPr="00843205">
              <w:rPr>
                <w:noProof/>
              </w:rPr>
              <w:fldChar w:fldCharType="begin"/>
            </w:r>
            <w:r w:rsidR="00B63701" w:rsidRPr="00843205">
              <w:rPr>
                <w:noProof/>
              </w:rPr>
              <w:instrText>PAGEREF _Toc1607741523 \h</w:instrText>
            </w:r>
            <w:r w:rsidR="00B63701" w:rsidRPr="00843205">
              <w:rPr>
                <w:noProof/>
              </w:rPr>
            </w:r>
            <w:r w:rsidR="00B63701" w:rsidRPr="00843205">
              <w:rPr>
                <w:noProof/>
              </w:rPr>
              <w:fldChar w:fldCharType="separate"/>
            </w:r>
            <w:r w:rsidR="0055426C" w:rsidRPr="00843205">
              <w:rPr>
                <w:noProof/>
              </w:rPr>
              <w:t>15</w:t>
            </w:r>
            <w:r w:rsidR="00B63701" w:rsidRPr="00843205">
              <w:rPr>
                <w:noProof/>
              </w:rPr>
              <w:fldChar w:fldCharType="end"/>
            </w:r>
          </w:hyperlink>
        </w:p>
        <w:p w14:paraId="519B6008" w14:textId="77777777" w:rsidR="00B63701" w:rsidRPr="00843205" w:rsidRDefault="00000000" w:rsidP="2141E379">
          <w:pPr>
            <w:pStyle w:val="TOC2"/>
            <w:tabs>
              <w:tab w:val="clear" w:pos="8504"/>
              <w:tab w:val="left" w:pos="720"/>
              <w:tab w:val="right" w:leader="dot" w:pos="8490"/>
            </w:tabs>
            <w:rPr>
              <w:rStyle w:val="Hyperlink"/>
              <w:noProof/>
              <w:kern w:val="2"/>
              <w:lang w:val="fr-FR" w:eastAsia="fr-FR"/>
              <w14:ligatures w14:val="standardContextual"/>
            </w:rPr>
          </w:pPr>
          <w:hyperlink w:anchor="_Toc1363565999">
            <w:r w:rsidR="2141E379" w:rsidRPr="00843205">
              <w:rPr>
                <w:rStyle w:val="Hyperlink"/>
                <w:noProof/>
              </w:rPr>
              <w:t>2.1.</w:t>
            </w:r>
            <w:r w:rsidR="00B63701" w:rsidRPr="00843205">
              <w:rPr>
                <w:noProof/>
              </w:rPr>
              <w:tab/>
            </w:r>
            <w:r w:rsidR="2141E379" w:rsidRPr="00843205">
              <w:rPr>
                <w:rStyle w:val="Hyperlink"/>
                <w:noProof/>
              </w:rPr>
              <w:t>Positive and negative key development as regards political participation of persons with disabilities</w:t>
            </w:r>
            <w:r w:rsidR="00B63701" w:rsidRPr="00843205">
              <w:rPr>
                <w:noProof/>
              </w:rPr>
              <w:tab/>
            </w:r>
            <w:r w:rsidR="00B63701" w:rsidRPr="00843205">
              <w:rPr>
                <w:noProof/>
              </w:rPr>
              <w:fldChar w:fldCharType="begin"/>
            </w:r>
            <w:r w:rsidR="00B63701" w:rsidRPr="00843205">
              <w:rPr>
                <w:noProof/>
              </w:rPr>
              <w:instrText>PAGEREF _Toc1363565999 \h</w:instrText>
            </w:r>
            <w:r w:rsidR="00B63701" w:rsidRPr="00843205">
              <w:rPr>
                <w:noProof/>
              </w:rPr>
            </w:r>
            <w:r w:rsidR="00B63701" w:rsidRPr="00843205">
              <w:rPr>
                <w:noProof/>
              </w:rPr>
              <w:fldChar w:fldCharType="separate"/>
            </w:r>
            <w:r w:rsidR="0055426C" w:rsidRPr="00843205">
              <w:rPr>
                <w:noProof/>
              </w:rPr>
              <w:t>15</w:t>
            </w:r>
            <w:r w:rsidR="00B63701" w:rsidRPr="00843205">
              <w:rPr>
                <w:noProof/>
              </w:rPr>
              <w:fldChar w:fldCharType="end"/>
            </w:r>
          </w:hyperlink>
        </w:p>
        <w:p w14:paraId="50BFFC8E" w14:textId="77777777" w:rsidR="00B63701" w:rsidRPr="00843205" w:rsidRDefault="00000000" w:rsidP="2141E379">
          <w:pPr>
            <w:pStyle w:val="TOC2"/>
            <w:tabs>
              <w:tab w:val="clear" w:pos="8504"/>
              <w:tab w:val="left" w:pos="720"/>
              <w:tab w:val="right" w:leader="dot" w:pos="8490"/>
            </w:tabs>
            <w:rPr>
              <w:rStyle w:val="Hyperlink"/>
              <w:noProof/>
              <w:kern w:val="2"/>
              <w:lang w:val="fr-FR" w:eastAsia="fr-FR"/>
              <w14:ligatures w14:val="standardContextual"/>
            </w:rPr>
          </w:pPr>
          <w:hyperlink w:anchor="_Toc299275285">
            <w:r w:rsidR="2141E379" w:rsidRPr="00843205">
              <w:rPr>
                <w:rStyle w:val="Hyperlink"/>
                <w:noProof/>
              </w:rPr>
              <w:t>2.2.</w:t>
            </w:r>
            <w:r w:rsidR="00B63701" w:rsidRPr="00843205">
              <w:rPr>
                <w:noProof/>
              </w:rPr>
              <w:tab/>
            </w:r>
            <w:r w:rsidR="2141E379" w:rsidRPr="00843205">
              <w:rPr>
                <w:rStyle w:val="Hyperlink"/>
                <w:noProof/>
              </w:rPr>
              <w:t>Political participation: Promising practices</w:t>
            </w:r>
            <w:r w:rsidR="00B63701" w:rsidRPr="00843205">
              <w:rPr>
                <w:noProof/>
              </w:rPr>
              <w:tab/>
            </w:r>
            <w:r w:rsidR="00B63701" w:rsidRPr="00843205">
              <w:rPr>
                <w:noProof/>
              </w:rPr>
              <w:fldChar w:fldCharType="begin"/>
            </w:r>
            <w:r w:rsidR="00B63701" w:rsidRPr="00843205">
              <w:rPr>
                <w:noProof/>
              </w:rPr>
              <w:instrText>PAGEREF _Toc299275285 \h</w:instrText>
            </w:r>
            <w:r w:rsidR="00B63701" w:rsidRPr="00843205">
              <w:rPr>
                <w:noProof/>
              </w:rPr>
            </w:r>
            <w:r w:rsidR="00B63701" w:rsidRPr="00843205">
              <w:rPr>
                <w:noProof/>
              </w:rPr>
              <w:fldChar w:fldCharType="separate"/>
            </w:r>
            <w:r w:rsidR="0055426C" w:rsidRPr="00843205">
              <w:rPr>
                <w:noProof/>
              </w:rPr>
              <w:t>15</w:t>
            </w:r>
            <w:r w:rsidR="00B63701" w:rsidRPr="00843205">
              <w:rPr>
                <w:noProof/>
              </w:rPr>
              <w:fldChar w:fldCharType="end"/>
            </w:r>
          </w:hyperlink>
          <w:r w:rsidR="00B63701" w:rsidRPr="00843205">
            <w:fldChar w:fldCharType="end"/>
          </w:r>
        </w:p>
      </w:sdtContent>
    </w:sdt>
    <w:p w14:paraId="7048B1C5" w14:textId="77777777" w:rsidR="0CD4123A" w:rsidRPr="00843205" w:rsidRDefault="0CD4123A" w:rsidP="00236602">
      <w:pPr>
        <w:pStyle w:val="TOC1"/>
        <w:tabs>
          <w:tab w:val="clear" w:pos="8504"/>
          <w:tab w:val="right" w:leader="dot" w:pos="8490"/>
        </w:tabs>
        <w:rPr>
          <w:rStyle w:val="Hyperlink"/>
          <w:b w:val="0"/>
        </w:rPr>
      </w:pPr>
    </w:p>
    <w:p w14:paraId="2FD8B8C5" w14:textId="77777777" w:rsidR="00B47E72" w:rsidRPr="00843205" w:rsidRDefault="00B47E72"/>
    <w:p w14:paraId="28352E1E" w14:textId="77777777" w:rsidR="004231F5" w:rsidRPr="00843205" w:rsidRDefault="004231F5" w:rsidP="004231F5"/>
    <w:p w14:paraId="1B36F27E" w14:textId="77777777" w:rsidR="002432A7" w:rsidRPr="00843205" w:rsidRDefault="002432A7" w:rsidP="439E96B0">
      <w:pPr>
        <w:pStyle w:val="HeadingNumbered1"/>
        <w:numPr>
          <w:ilvl w:val="0"/>
          <w:numId w:val="0"/>
        </w:numPr>
        <w:sectPr w:rsidR="002432A7" w:rsidRPr="00843205" w:rsidSect="00A54D6E">
          <w:headerReference w:type="default" r:id="rId8"/>
          <w:footerReference w:type="even" r:id="rId9"/>
          <w:footerReference w:type="default" r:id="rId10"/>
          <w:footerReference w:type="first" r:id="rId11"/>
          <w:pgSz w:w="11906" w:h="16838" w:code="9"/>
          <w:pgMar w:top="1701" w:right="1701" w:bottom="1134" w:left="1701" w:header="850" w:footer="567" w:gutter="0"/>
          <w:cols w:space="708"/>
          <w:titlePg/>
          <w:docGrid w:linePitch="360"/>
        </w:sectPr>
      </w:pPr>
    </w:p>
    <w:p w14:paraId="26018B17" w14:textId="77777777" w:rsidR="005003F9" w:rsidRPr="00843205" w:rsidRDefault="005003F9" w:rsidP="005003F9">
      <w:pPr>
        <w:pStyle w:val="HeadingNumbered1"/>
      </w:pPr>
      <w:bookmarkStart w:id="0" w:name="_Toc1905438080"/>
      <w:r w:rsidRPr="00843205">
        <w:lastRenderedPageBreak/>
        <w:t>Data on persons with disabilities exercising their right to political participation</w:t>
      </w:r>
      <w:bookmarkEnd w:id="0"/>
    </w:p>
    <w:p w14:paraId="2441B77E" w14:textId="77777777" w:rsidR="00FD4CB2" w:rsidRPr="00843205" w:rsidRDefault="00FD4CB2">
      <w:pPr>
        <w:pStyle w:val="TableTitle"/>
      </w:pPr>
      <w:r w:rsidRPr="00843205">
        <w:t xml:space="preserve">Table </w:t>
      </w:r>
      <w:r w:rsidR="00B71A34">
        <w:fldChar w:fldCharType="begin"/>
      </w:r>
      <w:r w:rsidR="00B71A34">
        <w:instrText xml:space="preserve"> SEQ Table \* ARABIC </w:instrText>
      </w:r>
      <w:r w:rsidR="00B71A34">
        <w:fldChar w:fldCharType="separate"/>
      </w:r>
      <w:r w:rsidR="0055426C" w:rsidRPr="00843205">
        <w:rPr>
          <w:noProof/>
        </w:rPr>
        <w:t>1</w:t>
      </w:r>
      <w:r w:rsidR="00B71A34">
        <w:rPr>
          <w:noProof/>
        </w:rPr>
        <w:fldChar w:fldCharType="end"/>
      </w:r>
      <w:r w:rsidRPr="00843205">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843205" w14:paraId="22011782" w14:textId="77777777" w:rsidTr="03479D5D">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2910DA" w14:textId="77777777" w:rsidR="00566A68" w:rsidRPr="00843205" w:rsidRDefault="00566A68" w:rsidP="00867899">
            <w:pPr>
              <w:pStyle w:val="FRABodyText"/>
              <w:rPr>
                <w:color w:val="auto"/>
              </w:rPr>
            </w:pPr>
            <w:r w:rsidRPr="00843205">
              <w:t>Indicator</w:t>
            </w:r>
          </w:p>
          <w:p w14:paraId="2A7837E4" w14:textId="77777777" w:rsidR="00566A68" w:rsidRPr="00843205" w:rsidRDefault="00566A68" w:rsidP="00867899">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6104DE3F" w14:textId="77777777" w:rsidR="00566A68" w:rsidRPr="00843205" w:rsidRDefault="00566A68" w:rsidP="00867899">
            <w:pPr>
              <w:pStyle w:val="FRABodyText"/>
              <w:rPr>
                <w:b w:val="0"/>
                <w:color w:val="auto"/>
              </w:rPr>
            </w:pPr>
            <w:r w:rsidRPr="00843205">
              <w:t>Answer</w:t>
            </w:r>
          </w:p>
          <w:p w14:paraId="12CF0E7A" w14:textId="77777777" w:rsidR="00566A68" w:rsidRPr="00843205" w:rsidRDefault="00566A68" w:rsidP="00867899">
            <w:pPr>
              <w:pStyle w:val="FRABodyText"/>
              <w:rPr>
                <w:color w:val="auto"/>
              </w:rPr>
            </w:pPr>
            <w:r w:rsidRPr="00843205">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C6B0DE7" w14:textId="77777777" w:rsidR="00566A68" w:rsidRPr="00843205" w:rsidRDefault="00566A68" w:rsidP="00867899">
            <w:pPr>
              <w:pStyle w:val="FRABodyText"/>
              <w:rPr>
                <w:color w:val="auto"/>
              </w:rPr>
            </w:pPr>
            <w:r w:rsidRPr="00843205">
              <w:t xml:space="preserve">Source and </w:t>
            </w:r>
            <w:r w:rsidR="004512DA" w:rsidRPr="00843205">
              <w:t>brief description/assessment</w:t>
            </w:r>
            <w:r w:rsidRPr="00843205">
              <w:t xml:space="preserve"> </w:t>
            </w:r>
          </w:p>
        </w:tc>
      </w:tr>
      <w:tr w:rsidR="00CC2CCC" w:rsidRPr="00843205" w14:paraId="4D6FA7BB"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EF9FBC" w14:textId="77777777" w:rsidR="00566A68" w:rsidRPr="00843205" w:rsidRDefault="00566A68" w:rsidP="00867899">
            <w:pPr>
              <w:pStyle w:val="FRABodyText"/>
            </w:pPr>
            <w:r w:rsidRPr="00843205">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9CFAA0A" w14:textId="77777777" w:rsidR="00566A68" w:rsidRPr="00843205" w:rsidRDefault="00566A68" w:rsidP="00867899">
            <w:pPr>
              <w:pStyle w:val="FRABodyText"/>
            </w:pPr>
            <w:r w:rsidRPr="00843205">
              <w:t xml:space="preserve">National disability strategies specifically address political participation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BB2B0E" w14:textId="77777777" w:rsidR="00566A68" w:rsidRPr="00843205" w:rsidRDefault="009C0D9B" w:rsidP="00867899">
            <w:pPr>
              <w:pStyle w:val="FRABodyText"/>
            </w:pPr>
            <w:r w:rsidRPr="00843205">
              <w:t xml:space="preserve">In </w:t>
            </w:r>
            <w:r w:rsidRPr="00843205">
              <w:rPr>
                <w:b/>
                <w:bCs/>
              </w:rPr>
              <w:t>Germany</w:t>
            </w:r>
            <w:r w:rsidRPr="00843205">
              <w:t>, t</w:t>
            </w:r>
            <w:r w:rsidR="00AA6BD2" w:rsidRPr="00843205">
              <w:t xml:space="preserve">he </w:t>
            </w:r>
            <w:r w:rsidRPr="00843205">
              <w:t xml:space="preserve">federal governments </w:t>
            </w:r>
            <w:r w:rsidR="00AA6BD2" w:rsidRPr="00843205">
              <w:t xml:space="preserve">second action plan from 2016 does </w:t>
            </w:r>
            <w:r w:rsidR="00F504B2" w:rsidRPr="00843205">
              <w:t>address</w:t>
            </w:r>
            <w:r w:rsidR="00AA6BD2" w:rsidRPr="00843205">
              <w:t xml:space="preserve"> political participation.</w:t>
            </w:r>
            <w:r w:rsidR="00EE6CA1" w:rsidRPr="00843205">
              <w:rPr>
                <w:rStyle w:val="FootnoteReference"/>
              </w:rPr>
              <w:footnoteReference w:id="2"/>
            </w:r>
            <w:r w:rsidR="00AA6BD2" w:rsidRPr="00843205">
              <w:t xml:space="preserve"> As of today, no overarching strive for better participation can be observed. The </w:t>
            </w:r>
            <w:r w:rsidR="005B5F3A" w:rsidRPr="00843205">
              <w:t>German Institute for Human Rights</w:t>
            </w:r>
            <w:r w:rsidR="00BC2DCE" w:rsidRPr="00843205">
              <w:t xml:space="preserve"> observes that</w:t>
            </w:r>
            <w:r w:rsidR="005B5F3A" w:rsidRPr="00843205">
              <w:t xml:space="preserve"> the</w:t>
            </w:r>
            <w:r w:rsidR="00BC2DCE" w:rsidRPr="00843205">
              <w:t xml:space="preserve"> </w:t>
            </w:r>
            <w:r w:rsidR="00AA6BD2" w:rsidRPr="00843205">
              <w:t xml:space="preserve">national action plan from 2016 is said to be in </w:t>
            </w:r>
            <w:r w:rsidR="00F504B2" w:rsidRPr="00843205">
              <w:t>continuous</w:t>
            </w:r>
            <w:r w:rsidR="00AA6BD2" w:rsidRPr="00843205">
              <w:t xml:space="preserve"> development, but has been de</w:t>
            </w:r>
            <w:r w:rsidR="00BC2DCE" w:rsidRPr="00843205">
              <w:t xml:space="preserve"> </w:t>
            </w:r>
            <w:r w:rsidR="00AA6BD2" w:rsidRPr="00843205">
              <w:t xml:space="preserve">facto replaced by a rather </w:t>
            </w:r>
            <w:r w:rsidR="00F504B2" w:rsidRPr="00843205">
              <w:t>untransparent</w:t>
            </w:r>
            <w:r w:rsidR="00AA6BD2" w:rsidRPr="00843205">
              <w:t xml:space="preserve"> set of actions drafted in a non-participatory manner.  </w:t>
            </w:r>
          </w:p>
        </w:tc>
      </w:tr>
      <w:tr w:rsidR="00CC2CCC" w:rsidRPr="00A601CF" w14:paraId="25242731"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F827D23" w14:textId="77777777" w:rsidR="00566A68" w:rsidRPr="00843205" w:rsidRDefault="002402C9" w:rsidP="00867899">
            <w:pPr>
              <w:pStyle w:val="FRABodyText"/>
            </w:pPr>
            <w:r w:rsidRPr="00843205">
              <w:t xml:space="preserve">Can persons deprived of legal capacity </w:t>
            </w:r>
            <w:r w:rsidR="158FA834" w:rsidRPr="00843205">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C077723" w14:textId="77777777" w:rsidR="00566A68" w:rsidRPr="00843205" w:rsidRDefault="00566A68" w:rsidP="00867899">
            <w:pPr>
              <w:pStyle w:val="FRABodyText"/>
            </w:pPr>
            <w:r w:rsidRPr="00843205">
              <w:t xml:space="preserve">Full Participation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572683C" w14:textId="376532BD" w:rsidR="00566A68" w:rsidRPr="005357FC" w:rsidRDefault="009C0D9B" w:rsidP="00867899">
            <w:pPr>
              <w:pStyle w:val="FRABodyText"/>
              <w:rPr>
                <w:lang w:val="en-GB"/>
              </w:rPr>
            </w:pPr>
            <w:r w:rsidRPr="00843205">
              <w:t xml:space="preserve">In </w:t>
            </w:r>
            <w:r w:rsidRPr="00843205">
              <w:rPr>
                <w:b/>
                <w:bCs/>
              </w:rPr>
              <w:t>Germany</w:t>
            </w:r>
            <w:r w:rsidRPr="00843205">
              <w:t>, e</w:t>
            </w:r>
            <w:r w:rsidR="00341F7B" w:rsidRPr="00843205">
              <w:t>xclusions existe</w:t>
            </w:r>
            <w:r w:rsidR="00A33224" w:rsidRPr="00843205">
              <w:t>d</w:t>
            </w:r>
            <w:r w:rsidR="00341F7B" w:rsidRPr="00843205">
              <w:t xml:space="preserve"> </w:t>
            </w:r>
            <w:r w:rsidR="00FB145E" w:rsidRPr="03479D5D">
              <w:t>regarding both national and European elections</w:t>
            </w:r>
            <w:r w:rsidR="00FB145E" w:rsidRPr="00843205">
              <w:t xml:space="preserve"> </w:t>
            </w:r>
            <w:r w:rsidR="00341F7B" w:rsidRPr="00843205">
              <w:t xml:space="preserve">until 2019, when the constitutional court ruled them </w:t>
            </w:r>
            <w:r w:rsidR="00556DFA">
              <w:t>in the BWG</w:t>
            </w:r>
            <w:r w:rsidR="00556DFA">
              <w:rPr>
                <w:rStyle w:val="FootnoteReference"/>
              </w:rPr>
              <w:footnoteReference w:id="3"/>
            </w:r>
            <w:r w:rsidR="00556DFA">
              <w:t xml:space="preserve"> </w:t>
            </w:r>
            <w:r w:rsidR="00341F7B" w:rsidRPr="00843205">
              <w:t xml:space="preserve">unconstitutional </w:t>
            </w:r>
            <w:r w:rsidR="00341F7B" w:rsidRPr="005357FC">
              <w:rPr>
                <w:lang w:val="en-GB"/>
              </w:rPr>
              <w:t>(</w:t>
            </w:r>
            <w:proofErr w:type="spellStart"/>
            <w:r w:rsidR="00341F7B" w:rsidRPr="005357FC">
              <w:rPr>
                <w:lang w:val="en-GB"/>
              </w:rPr>
              <w:t>BVerfG</w:t>
            </w:r>
            <w:proofErr w:type="spellEnd"/>
            <w:r w:rsidR="00341F7B" w:rsidRPr="005357FC">
              <w:rPr>
                <w:lang w:val="en-GB"/>
              </w:rPr>
              <w:t xml:space="preserve">, </w:t>
            </w:r>
            <w:proofErr w:type="spellStart"/>
            <w:r w:rsidR="00341F7B" w:rsidRPr="005357FC">
              <w:rPr>
                <w:lang w:val="en-GB"/>
              </w:rPr>
              <w:t>Beschluss</w:t>
            </w:r>
            <w:proofErr w:type="spellEnd"/>
            <w:r w:rsidR="00341F7B" w:rsidRPr="005357FC">
              <w:rPr>
                <w:lang w:val="en-GB"/>
              </w:rPr>
              <w:t xml:space="preserve"> des </w:t>
            </w:r>
            <w:proofErr w:type="spellStart"/>
            <w:r w:rsidR="00341F7B" w:rsidRPr="005357FC">
              <w:rPr>
                <w:lang w:val="en-GB"/>
              </w:rPr>
              <w:t>Zweiten</w:t>
            </w:r>
            <w:proofErr w:type="spellEnd"/>
            <w:r w:rsidR="00341F7B" w:rsidRPr="005357FC">
              <w:rPr>
                <w:lang w:val="en-GB"/>
              </w:rPr>
              <w:t xml:space="preserve"> </w:t>
            </w:r>
            <w:proofErr w:type="spellStart"/>
            <w:r w:rsidR="00341F7B" w:rsidRPr="005357FC">
              <w:rPr>
                <w:lang w:val="en-GB"/>
              </w:rPr>
              <w:t>Senats</w:t>
            </w:r>
            <w:proofErr w:type="spellEnd"/>
            <w:r w:rsidR="00341F7B" w:rsidRPr="005357FC">
              <w:rPr>
                <w:lang w:val="en-GB"/>
              </w:rPr>
              <w:t xml:space="preserve"> </w:t>
            </w:r>
            <w:proofErr w:type="spellStart"/>
            <w:r w:rsidR="00341F7B" w:rsidRPr="005357FC">
              <w:rPr>
                <w:lang w:val="en-GB"/>
              </w:rPr>
              <w:t>vom</w:t>
            </w:r>
            <w:proofErr w:type="spellEnd"/>
            <w:r w:rsidR="00341F7B" w:rsidRPr="005357FC">
              <w:rPr>
                <w:lang w:val="en-GB"/>
              </w:rPr>
              <w:t xml:space="preserve"> 29. </w:t>
            </w:r>
            <w:proofErr w:type="spellStart"/>
            <w:r w:rsidR="00341F7B" w:rsidRPr="005357FC">
              <w:rPr>
                <w:lang w:val="en-GB"/>
              </w:rPr>
              <w:t>Januar</w:t>
            </w:r>
            <w:proofErr w:type="spellEnd"/>
            <w:r w:rsidR="00341F7B" w:rsidRPr="005357FC">
              <w:rPr>
                <w:lang w:val="en-GB"/>
              </w:rPr>
              <w:t xml:space="preserve"> 2019 - 2 </w:t>
            </w:r>
            <w:proofErr w:type="spellStart"/>
            <w:r w:rsidR="00341F7B" w:rsidRPr="005357FC">
              <w:rPr>
                <w:lang w:val="en-GB"/>
              </w:rPr>
              <w:t>BvC</w:t>
            </w:r>
            <w:proofErr w:type="spellEnd"/>
            <w:r w:rsidR="00341F7B" w:rsidRPr="005357FC">
              <w:rPr>
                <w:lang w:val="en-GB"/>
              </w:rPr>
              <w:t xml:space="preserve"> 62/14 -, Rn. 1-142)</w:t>
            </w:r>
            <w:r w:rsidR="00EE6CA1" w:rsidRPr="00843205">
              <w:rPr>
                <w:rStyle w:val="FootnoteReference"/>
              </w:rPr>
              <w:footnoteReference w:id="4"/>
            </w:r>
            <w:r w:rsidR="00341F7B" w:rsidRPr="005357FC">
              <w:rPr>
                <w:lang w:val="en-GB"/>
              </w:rPr>
              <w:t xml:space="preserve"> </w:t>
            </w:r>
            <w:r w:rsidR="003921B8" w:rsidRPr="03479D5D">
              <w:rPr>
                <w:lang w:val="en-GB"/>
              </w:rPr>
              <w:t>a</w:t>
            </w:r>
            <w:r w:rsidR="00C32188" w:rsidRPr="03479D5D">
              <w:rPr>
                <w:lang w:val="en-GB"/>
              </w:rPr>
              <w:t xml:space="preserve">nd </w:t>
            </w:r>
            <w:r w:rsidR="001816D6" w:rsidRPr="03479D5D">
              <w:rPr>
                <w:lang w:val="en-GB"/>
              </w:rPr>
              <w:t xml:space="preserve">the </w:t>
            </w:r>
            <w:r w:rsidR="00C32188" w:rsidRPr="03479D5D">
              <w:rPr>
                <w:lang w:val="en-GB"/>
              </w:rPr>
              <w:t xml:space="preserve">identical provisions in the </w:t>
            </w:r>
            <w:proofErr w:type="spellStart"/>
            <w:r w:rsidR="004D30DB" w:rsidRPr="03479D5D">
              <w:rPr>
                <w:lang w:val="en-GB"/>
              </w:rPr>
              <w:t>EuWG</w:t>
            </w:r>
            <w:proofErr w:type="spellEnd"/>
            <w:r w:rsidR="004D30DB" w:rsidRPr="03479D5D">
              <w:rPr>
                <w:rStyle w:val="FootnoteReference"/>
              </w:rPr>
              <w:footnoteReference w:id="5"/>
            </w:r>
            <w:r w:rsidR="004D30DB" w:rsidRPr="03479D5D">
              <w:rPr>
                <w:lang w:val="en-GB"/>
              </w:rPr>
              <w:t xml:space="preserve"> </w:t>
            </w:r>
            <w:r w:rsidR="009F52C9" w:rsidRPr="03479D5D">
              <w:rPr>
                <w:lang w:val="en-GB"/>
              </w:rPr>
              <w:t xml:space="preserve">thus </w:t>
            </w:r>
            <w:r w:rsidR="00D93A2E" w:rsidRPr="03479D5D">
              <w:rPr>
                <w:lang w:val="en-GB"/>
              </w:rPr>
              <w:lastRenderedPageBreak/>
              <w:t>inapplicable</w:t>
            </w:r>
            <w:r w:rsidR="00FD360A" w:rsidRPr="03479D5D">
              <w:rPr>
                <w:lang w:val="en-GB"/>
              </w:rPr>
              <w:t xml:space="preserve"> for the 2019 European Parliament elections</w:t>
            </w:r>
            <w:r w:rsidR="000608D7" w:rsidRPr="03479D5D">
              <w:rPr>
                <w:lang w:val="en-GB"/>
              </w:rPr>
              <w:t xml:space="preserve"> (</w:t>
            </w:r>
            <w:proofErr w:type="spellStart"/>
            <w:r w:rsidR="000608D7" w:rsidRPr="03479D5D">
              <w:rPr>
                <w:lang w:val="en-GB"/>
              </w:rPr>
              <w:t>BVerfG</w:t>
            </w:r>
            <w:proofErr w:type="spellEnd"/>
            <w:r w:rsidR="000608D7" w:rsidRPr="03479D5D">
              <w:rPr>
                <w:lang w:val="en-GB"/>
              </w:rPr>
              <w:t xml:space="preserve">, </w:t>
            </w:r>
            <w:proofErr w:type="spellStart"/>
            <w:r w:rsidR="000608D7" w:rsidRPr="03479D5D">
              <w:rPr>
                <w:lang w:val="en-GB"/>
              </w:rPr>
              <w:t>Urteil</w:t>
            </w:r>
            <w:proofErr w:type="spellEnd"/>
            <w:r w:rsidR="000608D7" w:rsidRPr="03479D5D">
              <w:rPr>
                <w:lang w:val="en-GB"/>
              </w:rPr>
              <w:t xml:space="preserve"> des </w:t>
            </w:r>
            <w:proofErr w:type="spellStart"/>
            <w:r w:rsidR="000608D7" w:rsidRPr="03479D5D">
              <w:rPr>
                <w:lang w:val="en-GB"/>
              </w:rPr>
              <w:t>Zweiten</w:t>
            </w:r>
            <w:proofErr w:type="spellEnd"/>
            <w:r w:rsidR="000608D7" w:rsidRPr="03479D5D">
              <w:rPr>
                <w:lang w:val="en-GB"/>
              </w:rPr>
              <w:t xml:space="preserve"> </w:t>
            </w:r>
            <w:proofErr w:type="spellStart"/>
            <w:r w:rsidR="000608D7" w:rsidRPr="03479D5D">
              <w:rPr>
                <w:lang w:val="en-GB"/>
              </w:rPr>
              <w:t>Senats</w:t>
            </w:r>
            <w:proofErr w:type="spellEnd"/>
            <w:r w:rsidR="000608D7" w:rsidRPr="03479D5D">
              <w:rPr>
                <w:lang w:val="en-GB"/>
              </w:rPr>
              <w:t xml:space="preserve"> </w:t>
            </w:r>
            <w:proofErr w:type="spellStart"/>
            <w:r w:rsidR="000608D7" w:rsidRPr="03479D5D">
              <w:rPr>
                <w:lang w:val="en-GB"/>
              </w:rPr>
              <w:t>vom</w:t>
            </w:r>
            <w:proofErr w:type="spellEnd"/>
            <w:r w:rsidR="000608D7" w:rsidRPr="03479D5D">
              <w:rPr>
                <w:lang w:val="en-GB"/>
              </w:rPr>
              <w:t xml:space="preserve"> 15. April 2019 - 2 </w:t>
            </w:r>
            <w:proofErr w:type="spellStart"/>
            <w:r w:rsidR="000608D7" w:rsidRPr="03479D5D">
              <w:rPr>
                <w:lang w:val="en-GB"/>
              </w:rPr>
              <w:t>BvQ</w:t>
            </w:r>
            <w:proofErr w:type="spellEnd"/>
            <w:r w:rsidR="000608D7" w:rsidRPr="03479D5D">
              <w:rPr>
                <w:lang w:val="en-GB"/>
              </w:rPr>
              <w:t xml:space="preserve"> 22/19 -, Rn. 1-53)</w:t>
            </w:r>
            <w:r w:rsidR="000608D7" w:rsidRPr="03479D5D">
              <w:rPr>
                <w:rStyle w:val="FootnoteReference"/>
              </w:rPr>
              <w:footnoteReference w:id="6"/>
            </w:r>
          </w:p>
          <w:p w14:paraId="31159C91" w14:textId="77777777" w:rsidR="00341F7B" w:rsidRPr="00A601CF" w:rsidRDefault="00341F7B" w:rsidP="00867899">
            <w:pPr>
              <w:pStyle w:val="FRABodyText"/>
            </w:pPr>
          </w:p>
        </w:tc>
      </w:tr>
      <w:tr w:rsidR="00CC2CCC" w:rsidRPr="00843205" w14:paraId="562FFC92"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7004556" w14:textId="77777777" w:rsidR="00566A68" w:rsidRPr="00843205" w:rsidRDefault="00566A68" w:rsidP="00867899">
            <w:pPr>
              <w:pStyle w:val="FRABodyText"/>
            </w:pPr>
            <w:r w:rsidRPr="00843205">
              <w:lastRenderedPageBreak/>
              <w:t>Is there a requirement under law to register to vote?</w:t>
            </w:r>
          </w:p>
          <w:p w14:paraId="6070D978" w14:textId="77777777" w:rsidR="00566A68" w:rsidRPr="00843205" w:rsidRDefault="00566A68" w:rsidP="00867899">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53B9B7" w14:textId="77777777" w:rsidR="00566A68" w:rsidRPr="00843205" w:rsidRDefault="00566A68" w:rsidP="00867899">
            <w:pPr>
              <w:pStyle w:val="FRABodyText"/>
            </w:pPr>
            <w:r w:rsidRPr="00843205">
              <w:t xml:space="preserve">No, automatic registration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089B9C" w14:textId="77777777" w:rsidR="00566A68" w:rsidRPr="00843205" w:rsidRDefault="00566A68" w:rsidP="00867899">
            <w:pPr>
              <w:pStyle w:val="FRABodyText"/>
            </w:pPr>
          </w:p>
          <w:p w14:paraId="1446B2B9" w14:textId="77777777" w:rsidR="00DF416D" w:rsidRPr="00843205" w:rsidRDefault="00A33224" w:rsidP="00867899">
            <w:pPr>
              <w:pStyle w:val="FRABodyText"/>
            </w:pPr>
            <w:r w:rsidRPr="00843205">
              <w:t>No development</w:t>
            </w:r>
          </w:p>
          <w:p w14:paraId="77433134" w14:textId="77777777" w:rsidR="00DF416D" w:rsidRPr="00843205" w:rsidRDefault="00DF416D" w:rsidP="00867899">
            <w:pPr>
              <w:pStyle w:val="FRABodyText"/>
            </w:pPr>
          </w:p>
          <w:p w14:paraId="67C39B76" w14:textId="77777777" w:rsidR="00566A68" w:rsidRPr="00843205" w:rsidRDefault="00566A68" w:rsidP="00867899">
            <w:pPr>
              <w:pStyle w:val="FRABodyText"/>
            </w:pPr>
          </w:p>
        </w:tc>
      </w:tr>
      <w:tr w:rsidR="00CC2CCC" w:rsidRPr="00843205" w14:paraId="436B2603"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F94CCD" w14:textId="77777777" w:rsidR="00566A68" w:rsidRPr="00843205" w:rsidRDefault="00566A68" w:rsidP="00867899">
            <w:pPr>
              <w:pStyle w:val="FRABodyText"/>
            </w:pPr>
            <w:r w:rsidRPr="00843205">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C040D32" w14:textId="77777777" w:rsidR="00566A68" w:rsidRPr="00843205" w:rsidRDefault="00566A68" w:rsidP="00867899">
            <w:pPr>
              <w:pStyle w:val="FRABodyText"/>
            </w:pPr>
            <w:r w:rsidRPr="00843205">
              <w:t xml:space="preserve">Yes, available to all voters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7AFDE7" w14:textId="77777777" w:rsidR="00566A68" w:rsidRPr="00843205" w:rsidRDefault="00A33224" w:rsidP="00867899">
            <w:pPr>
              <w:pStyle w:val="FRABodyText"/>
            </w:pPr>
            <w:r w:rsidRPr="00843205">
              <w:t>No development</w:t>
            </w:r>
          </w:p>
        </w:tc>
      </w:tr>
      <w:tr w:rsidR="001B1A82" w:rsidRPr="00843205" w14:paraId="312986F7"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9E298C" w14:textId="77777777" w:rsidR="001B1A82" w:rsidRPr="00843205" w:rsidRDefault="001B1A82" w:rsidP="00867899">
            <w:pPr>
              <w:pStyle w:val="FRABodyText"/>
            </w:pPr>
            <w:r w:rsidRPr="00843205">
              <w:t>Is there legislation regulating how people living in long-term institutions may vote?</w:t>
            </w:r>
          </w:p>
          <w:p w14:paraId="4EAC8BEB" w14:textId="77777777" w:rsidR="001B1A82" w:rsidRPr="00843205" w:rsidRDefault="001B1A82" w:rsidP="00867899">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C8088B8" w14:textId="77777777" w:rsidR="001B1A82" w:rsidRPr="00843205" w:rsidRDefault="001B1A82" w:rsidP="00867899">
            <w:pPr>
              <w:pStyle w:val="FRABodyText"/>
            </w:pPr>
            <w:r w:rsidRPr="00843205">
              <w:t>Yes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09D1AF" w14:textId="77777777" w:rsidR="001B1A82" w:rsidRPr="00843205" w:rsidRDefault="001B1A82" w:rsidP="00867899">
            <w:pPr>
              <w:pStyle w:val="FRABodyText"/>
            </w:pPr>
            <w:r w:rsidRPr="00843205">
              <w:t>No development</w:t>
            </w:r>
          </w:p>
          <w:p w14:paraId="65BE146B" w14:textId="77777777" w:rsidR="001B1A82" w:rsidRPr="00843205" w:rsidRDefault="001B1A82" w:rsidP="00867899">
            <w:pPr>
              <w:pStyle w:val="FRABodyText"/>
            </w:pPr>
            <w:r w:rsidRPr="00843205">
              <w:t xml:space="preserve"> </w:t>
            </w:r>
          </w:p>
          <w:p w14:paraId="482231CD" w14:textId="40585D05" w:rsidR="001B1A82" w:rsidRPr="00843205" w:rsidRDefault="001B1A82" w:rsidP="00867899">
            <w:pPr>
              <w:pStyle w:val="FRABodyText"/>
            </w:pPr>
            <w:r w:rsidRPr="00843205">
              <w:t>-</w:t>
            </w:r>
            <w:r w:rsidR="009C0D9B" w:rsidRPr="00843205">
              <w:t xml:space="preserve">In </w:t>
            </w:r>
            <w:r w:rsidR="009C0D9B" w:rsidRPr="00843205">
              <w:rPr>
                <w:b/>
                <w:bCs/>
              </w:rPr>
              <w:t>Germany</w:t>
            </w:r>
            <w:r w:rsidR="009C0D9B" w:rsidRPr="00843205">
              <w:t>, a</w:t>
            </w:r>
            <w:r w:rsidRPr="00843205">
              <w:t xml:space="preserve">ccording to Article 8 </w:t>
            </w:r>
            <w:proofErr w:type="spellStart"/>
            <w:r w:rsidRPr="00843205">
              <w:t>EuWO</w:t>
            </w:r>
            <w:proofErr w:type="spellEnd"/>
            <w:r w:rsidR="002832E6" w:rsidRPr="00843205">
              <w:rPr>
                <w:rStyle w:val="FootnoteReference"/>
              </w:rPr>
              <w:footnoteReference w:id="7"/>
            </w:r>
            <w:r w:rsidRPr="00843205">
              <w:t xml:space="preserve"> and Article 8 BWO</w:t>
            </w:r>
            <w:r w:rsidR="00D91CAB" w:rsidRPr="00843205">
              <w:rPr>
                <w:rStyle w:val="FootnoteReference"/>
              </w:rPr>
              <w:footnoteReference w:id="8"/>
            </w:r>
            <w:r w:rsidRPr="00843205">
              <w:t xml:space="preserve"> so</w:t>
            </w:r>
            <w:r w:rsidR="00167A68" w:rsidRPr="00843205">
              <w:t>-</w:t>
            </w:r>
            <w:r w:rsidRPr="00295392">
              <w:t>called mobile election boards should be established to enable voters in smaller long term institutions to cast their vote.</w:t>
            </w:r>
          </w:p>
          <w:p w14:paraId="62DD52A6" w14:textId="167AF3DD" w:rsidR="001B1A82" w:rsidRPr="00295392" w:rsidRDefault="001B1A82" w:rsidP="00867899">
            <w:pPr>
              <w:pStyle w:val="FRABodyText"/>
            </w:pPr>
            <w:r w:rsidRPr="00843205">
              <w:t xml:space="preserve">- Details on the election process are outlined in Article 55 </w:t>
            </w:r>
            <w:proofErr w:type="spellStart"/>
            <w:r w:rsidRPr="00843205">
              <w:t>EuWO</w:t>
            </w:r>
            <w:proofErr w:type="spellEnd"/>
            <w:r w:rsidRPr="00843205">
              <w:t xml:space="preserve"> and Article 62</w:t>
            </w:r>
            <w:r w:rsidR="00167A68" w:rsidRPr="00843205">
              <w:t xml:space="preserve"> </w:t>
            </w:r>
            <w:r w:rsidRPr="00843205">
              <w:t>BWO</w:t>
            </w:r>
            <w:r w:rsidR="000073A2" w:rsidRPr="00295392">
              <w:t>.</w:t>
            </w:r>
          </w:p>
          <w:p w14:paraId="5FB88797" w14:textId="77777777" w:rsidR="001B1A82" w:rsidRPr="00843205" w:rsidRDefault="001B1A82" w:rsidP="00867899">
            <w:pPr>
              <w:pStyle w:val="FRABodyText"/>
            </w:pPr>
            <w:r w:rsidRPr="00843205">
              <w:t xml:space="preserve">-Article 13 </w:t>
            </w:r>
            <w:proofErr w:type="spellStart"/>
            <w:r w:rsidRPr="00843205">
              <w:t>EuWO</w:t>
            </w:r>
            <w:proofErr w:type="spellEnd"/>
            <w:r w:rsidRPr="00843205">
              <w:t xml:space="preserve"> and Article 13 BWO provide for the establishment of special constituencies in different kinds of institutions with a higher number of voters [again, number not specified in law] such as hospitals, retirement homes or nursing homes. Where such constituencies are not established Article 8 </w:t>
            </w:r>
            <w:proofErr w:type="spellStart"/>
            <w:r w:rsidRPr="00843205">
              <w:t>EuWO</w:t>
            </w:r>
            <w:proofErr w:type="spellEnd"/>
            <w:r w:rsidRPr="00843205">
              <w:t xml:space="preserve"> or Article 8 BWO applies.</w:t>
            </w:r>
          </w:p>
          <w:p w14:paraId="45368B2A" w14:textId="77777777" w:rsidR="001B1A82" w:rsidRPr="00843205" w:rsidRDefault="001B1A82" w:rsidP="00867899">
            <w:pPr>
              <w:pStyle w:val="FRABodyText"/>
            </w:pPr>
            <w:r w:rsidRPr="00843205">
              <w:t xml:space="preserve">-Article 54 </w:t>
            </w:r>
            <w:proofErr w:type="spellStart"/>
            <w:r w:rsidRPr="00843205">
              <w:t>EuWO</w:t>
            </w:r>
            <w:proofErr w:type="spellEnd"/>
            <w:r w:rsidRPr="00843205">
              <w:t xml:space="preserve"> and Article 61 BWO regulate the details on how the elections in special constituencies are to be carried out. </w:t>
            </w:r>
          </w:p>
          <w:p w14:paraId="5885A5E5" w14:textId="7F48C82E" w:rsidR="001B1A82" w:rsidRPr="00295392" w:rsidRDefault="001B1A82" w:rsidP="00867899">
            <w:pPr>
              <w:pStyle w:val="FRABodyText"/>
            </w:pPr>
            <w:r w:rsidRPr="00843205">
              <w:lastRenderedPageBreak/>
              <w:t xml:space="preserve">-Irrespective of the listed options the possibility of casting a postal vote remains, Article 6 </w:t>
            </w:r>
            <w:proofErr w:type="spellStart"/>
            <w:r w:rsidRPr="00843205">
              <w:t>EuWG</w:t>
            </w:r>
            <w:proofErr w:type="spellEnd"/>
            <w:r w:rsidR="00D91CAB" w:rsidRPr="00843205">
              <w:rPr>
                <w:rStyle w:val="FootnoteReference"/>
              </w:rPr>
              <w:footnoteReference w:id="9"/>
            </w:r>
            <w:r w:rsidRPr="00843205">
              <w:t xml:space="preserve"> and Article 36 BWG.</w:t>
            </w:r>
            <w:r w:rsidR="00556DFA">
              <w:t xml:space="preserve"> </w:t>
            </w:r>
            <w:r w:rsidRPr="00843205">
              <w:t xml:space="preserve">Article 59 </w:t>
            </w:r>
            <w:proofErr w:type="spellStart"/>
            <w:r w:rsidRPr="00843205">
              <w:t>EuWO</w:t>
            </w:r>
            <w:proofErr w:type="spellEnd"/>
            <w:r w:rsidRPr="00843205">
              <w:t xml:space="preserve"> and Article 66 BWO outline the details on how to carry out the postal vote for persons in institutions.</w:t>
            </w:r>
          </w:p>
          <w:p w14:paraId="1A3A21A7" w14:textId="77777777" w:rsidR="001B1A82" w:rsidRPr="00843205" w:rsidRDefault="001B1A82" w:rsidP="00867899">
            <w:pPr>
              <w:pStyle w:val="FRABodyText"/>
            </w:pPr>
            <w:r w:rsidRPr="00843205">
              <w:t xml:space="preserve">-All provisions on the voting process of people living in institutions refer to the general rules of procedure, especially Article 52 and 49 (4)-(8) </w:t>
            </w:r>
            <w:proofErr w:type="spellStart"/>
            <w:r w:rsidRPr="00843205">
              <w:t>EuWO</w:t>
            </w:r>
            <w:proofErr w:type="spellEnd"/>
            <w:r w:rsidRPr="00843205">
              <w:t xml:space="preserve"> as well as Article 56 (4) and 59 BWO to ensure the secrecy of the vote and that a third party does not learn about the voter’s personal information. </w:t>
            </w:r>
          </w:p>
          <w:p w14:paraId="4329C6E1" w14:textId="77777777" w:rsidR="001B1A82" w:rsidRPr="00843205" w:rsidRDefault="001B1A82" w:rsidP="00867899">
            <w:pPr>
              <w:pStyle w:val="FRABodyText"/>
            </w:pPr>
            <w:r w:rsidRPr="00843205">
              <w:t xml:space="preserve">- On the municipal level similar provisions apply. They are codified in the different electoral laws of the states. </w:t>
            </w:r>
          </w:p>
          <w:p w14:paraId="34BF7CF5" w14:textId="77777777" w:rsidR="001B1A82" w:rsidRPr="00843205" w:rsidRDefault="001B1A82" w:rsidP="00867899">
            <w:pPr>
              <w:pStyle w:val="FRABodyText"/>
            </w:pPr>
          </w:p>
        </w:tc>
      </w:tr>
      <w:tr w:rsidR="001B1A82" w:rsidRPr="00843205" w14:paraId="4E3C785E"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2B81E8" w14:textId="77777777" w:rsidR="001B1A82" w:rsidRPr="00843205" w:rsidRDefault="001B1A82" w:rsidP="00867899">
            <w:pPr>
              <w:pStyle w:val="FRABodyText"/>
            </w:pPr>
            <w:r w:rsidRPr="00843205">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236265" w14:textId="77777777" w:rsidR="001B1A82" w:rsidRPr="00843205" w:rsidRDefault="001B1A82" w:rsidP="00867899">
            <w:pPr>
              <w:pStyle w:val="FRABodyText"/>
            </w:pPr>
            <w:r w:rsidRPr="00843205">
              <w:t>Yes, for all persons with disabilities</w:t>
            </w:r>
          </w:p>
          <w:p w14:paraId="7182909C"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F29B4C" w14:textId="0F9C6187" w:rsidR="001B1A82" w:rsidRPr="00843205" w:rsidRDefault="00544B7D" w:rsidP="00867899">
            <w:pPr>
              <w:pStyle w:val="FRABodyText"/>
            </w:pPr>
            <w:r w:rsidRPr="005357FC">
              <w:t xml:space="preserve">Article 50 (1) </w:t>
            </w:r>
            <w:proofErr w:type="spellStart"/>
            <w:r w:rsidRPr="005357FC">
              <w:t>EuWO</w:t>
            </w:r>
            <w:proofErr w:type="spellEnd"/>
            <w:r w:rsidRPr="005357FC">
              <w:t xml:space="preserve"> and Article 57 (1) BWO</w:t>
            </w:r>
            <w:r w:rsidRPr="00843205">
              <w:t xml:space="preserve"> </w:t>
            </w:r>
            <w:r w:rsidR="00307B98" w:rsidRPr="00843205">
              <w:t>grant</w:t>
            </w:r>
            <w:r w:rsidR="001B1A82" w:rsidRPr="00295392">
              <w:t xml:space="preserve"> persons not able to read or wi</w:t>
            </w:r>
            <w:r w:rsidR="001570B9" w:rsidRPr="00843205">
              <w:t>th</w:t>
            </w:r>
            <w:r w:rsidR="001B1A82" w:rsidRPr="00843205">
              <w:t xml:space="preserve"> disabilit</w:t>
            </w:r>
            <w:r w:rsidR="001570B9" w:rsidRPr="00843205">
              <w:t>ies</w:t>
            </w:r>
            <w:r w:rsidR="001B1A82" w:rsidRPr="00843205">
              <w:t xml:space="preserve"> assistance in the immediate act of voting. </w:t>
            </w:r>
          </w:p>
        </w:tc>
      </w:tr>
      <w:tr w:rsidR="001B1A82" w:rsidRPr="00D82CA0" w14:paraId="6319F462"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E28C1D" w14:textId="77777777" w:rsidR="001B1A82" w:rsidRPr="00843205" w:rsidRDefault="001B1A82" w:rsidP="00867899">
            <w:pPr>
              <w:pStyle w:val="FRABodyText"/>
            </w:pPr>
            <w:r w:rsidRPr="00843205">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25DF79" w14:textId="77777777" w:rsidR="001B1A82" w:rsidRPr="00843205" w:rsidRDefault="001B1A82" w:rsidP="00867899">
            <w:pPr>
              <w:pStyle w:val="FRABodyText"/>
            </w:pPr>
            <w:r w:rsidRPr="00843205">
              <w:t xml:space="preserve">Yes, all persons with disabilities </w:t>
            </w:r>
          </w:p>
          <w:p w14:paraId="5DFADB81"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C3D231" w14:textId="6E74379D" w:rsidR="001B1A82" w:rsidRPr="00843205" w:rsidRDefault="001B1A82" w:rsidP="00867899">
            <w:pPr>
              <w:pStyle w:val="FRABodyText"/>
            </w:pPr>
            <w:r w:rsidRPr="00843205">
              <w:t xml:space="preserve">According to the </w:t>
            </w:r>
            <w:r w:rsidR="009C0D9B" w:rsidRPr="00843205">
              <w:rPr>
                <w:b/>
                <w:bCs/>
              </w:rPr>
              <w:t xml:space="preserve">German </w:t>
            </w:r>
            <w:proofErr w:type="spellStart"/>
            <w:r w:rsidRPr="00843205">
              <w:t>WahlPrG</w:t>
            </w:r>
            <w:proofErr w:type="spellEnd"/>
            <w:r w:rsidRPr="00843205">
              <w:t xml:space="preserve"> (</w:t>
            </w:r>
            <w:proofErr w:type="spellStart"/>
            <w:r w:rsidRPr="00843205">
              <w:rPr>
                <w:i/>
              </w:rPr>
              <w:t>Wahlprüfungsgesetz</w:t>
            </w:r>
            <w:proofErr w:type="spellEnd"/>
            <w:r w:rsidRPr="00843205">
              <w:rPr>
                <w:i/>
              </w:rPr>
              <w:t>)</w:t>
            </w:r>
            <w:r w:rsidR="00D91CAB" w:rsidRPr="00843205">
              <w:rPr>
                <w:rStyle w:val="FootnoteReference"/>
                <w:i/>
              </w:rPr>
              <w:footnoteReference w:id="10"/>
            </w:r>
            <w:r w:rsidRPr="00843205">
              <w:t xml:space="preserve">, everybody </w:t>
            </w:r>
            <w:r w:rsidR="005B5F3A" w:rsidRPr="00843205">
              <w:t xml:space="preserve">has </w:t>
            </w:r>
            <w:r w:rsidRPr="00295392">
              <w:t xml:space="preserve">the possibility to raise an objection at the German Parliament with the claim that his or her </w:t>
            </w:r>
            <w:r w:rsidRPr="00843205">
              <w:t>right to vote has been violated. If the infringement is determined</w:t>
            </w:r>
            <w:r w:rsidR="005B5F3A" w:rsidRPr="00843205">
              <w:t>,</w:t>
            </w:r>
            <w:r w:rsidRPr="00843205">
              <w:t xml:space="preserve"> this will officially be established by the Parliament in the ruling</w:t>
            </w:r>
            <w:r w:rsidR="00167A68" w:rsidRPr="00843205">
              <w:t xml:space="preserve"> </w:t>
            </w:r>
            <w:r w:rsidR="00167A68" w:rsidRPr="005357FC">
              <w:t>(Art</w:t>
            </w:r>
            <w:r w:rsidR="00482B67">
              <w:t>icle</w:t>
            </w:r>
            <w:r w:rsidR="00167A68" w:rsidRPr="005357FC">
              <w:t xml:space="preserve"> 2 </w:t>
            </w:r>
            <w:proofErr w:type="spellStart"/>
            <w:r w:rsidR="00167A68" w:rsidRPr="005357FC">
              <w:t>WahlPrG</w:t>
            </w:r>
            <w:proofErr w:type="spellEnd"/>
            <w:r w:rsidR="00167A68" w:rsidRPr="005357FC">
              <w:t>).</w:t>
            </w:r>
          </w:p>
          <w:p w14:paraId="2263A0BB" w14:textId="717BB8B3" w:rsidR="001B1A82" w:rsidRPr="005357FC" w:rsidRDefault="001B1A82" w:rsidP="00867899">
            <w:pPr>
              <w:pStyle w:val="FRABodyText"/>
              <w:rPr>
                <w:lang w:val="de-DE"/>
              </w:rPr>
            </w:pPr>
            <w:r w:rsidRPr="00295392">
              <w:t>-If remedy could not be found</w:t>
            </w:r>
            <w:r w:rsidR="005B5F3A" w:rsidRPr="00295392">
              <w:t>,</w:t>
            </w:r>
            <w:r w:rsidRPr="00843205">
              <w:t xml:space="preserve"> the complainant can take the case directly to the constitutional court, Art</w:t>
            </w:r>
            <w:r w:rsidR="00482B67">
              <w:t>icle</w:t>
            </w:r>
            <w:r w:rsidRPr="00843205">
              <w:t xml:space="preserve"> 41 (2)</w:t>
            </w:r>
            <w:r w:rsidR="002832E6" w:rsidRPr="00843205">
              <w:t xml:space="preserve"> </w:t>
            </w:r>
            <w:r w:rsidRPr="00843205">
              <w:t xml:space="preserve">GG, Article 13 </w:t>
            </w:r>
            <w:r w:rsidR="00482B67">
              <w:t>no</w:t>
            </w:r>
            <w:r w:rsidRPr="00843205">
              <w:t>. 3 of the Law on the Federal Constitutional Court (</w:t>
            </w:r>
            <w:proofErr w:type="spellStart"/>
            <w:r w:rsidRPr="00843205">
              <w:t>Bundesverfassungsgerichtsgesetz</w:t>
            </w:r>
            <w:proofErr w:type="spellEnd"/>
            <w:r w:rsidRPr="00843205">
              <w:t xml:space="preserve">, </w:t>
            </w:r>
            <w:proofErr w:type="spellStart"/>
            <w:r w:rsidRPr="00843205">
              <w:t>BVerfGG</w:t>
            </w:r>
            <w:proofErr w:type="spellEnd"/>
            <w:r w:rsidRPr="00843205">
              <w:t>).</w:t>
            </w:r>
            <w:r w:rsidR="002832E6" w:rsidRPr="00843205">
              <w:rPr>
                <w:rStyle w:val="FootnoteReference"/>
              </w:rPr>
              <w:footnoteReference w:id="11"/>
            </w:r>
            <w:r w:rsidRPr="00843205">
              <w:t xml:space="preserve"> This legal route was also taken by the complainants in the 2019 case when the constitutional cour</w:t>
            </w:r>
            <w:r w:rsidR="005B5F3A" w:rsidRPr="00295392">
              <w:t>t</w:t>
            </w:r>
            <w:r w:rsidRPr="00295392">
              <w:t xml:space="preserve"> ruled deprivation of the right to vote due to full legal </w:t>
            </w:r>
            <w:r w:rsidR="00307B98" w:rsidRPr="00843205">
              <w:t>custo</w:t>
            </w:r>
            <w:r w:rsidRPr="00843205">
              <w:t xml:space="preserve">dianship </w:t>
            </w:r>
            <w:r w:rsidR="00307B98" w:rsidRPr="00843205">
              <w:t xml:space="preserve">in all affairs </w:t>
            </w:r>
            <w:r w:rsidRPr="00843205">
              <w:t>unconst</w:t>
            </w:r>
            <w:r w:rsidR="002A231B" w:rsidRPr="00843205">
              <w:t>i</w:t>
            </w:r>
            <w:r w:rsidRPr="00843205">
              <w:t>t</w:t>
            </w:r>
            <w:r w:rsidR="005B5F3A" w:rsidRPr="00843205">
              <w:t>u</w:t>
            </w:r>
            <w:r w:rsidRPr="00843205">
              <w:t xml:space="preserve">tional. </w:t>
            </w:r>
            <w:r w:rsidRPr="00843205">
              <w:rPr>
                <w:lang w:val="de-DE"/>
              </w:rPr>
              <w:t xml:space="preserve">(BVerfG, Beschluss des Zweiten Senats vom 29. Januar 2019 - 2 </w:t>
            </w:r>
            <w:proofErr w:type="spellStart"/>
            <w:r w:rsidRPr="00843205">
              <w:rPr>
                <w:lang w:val="de-DE"/>
              </w:rPr>
              <w:t>BvC</w:t>
            </w:r>
            <w:proofErr w:type="spellEnd"/>
            <w:r w:rsidRPr="00843205">
              <w:rPr>
                <w:lang w:val="de-DE"/>
              </w:rPr>
              <w:t xml:space="preserve"> 62/14 -, </w:t>
            </w:r>
            <w:proofErr w:type="spellStart"/>
            <w:r w:rsidRPr="00843205">
              <w:rPr>
                <w:lang w:val="de-DE"/>
              </w:rPr>
              <w:t>Rn</w:t>
            </w:r>
            <w:proofErr w:type="spellEnd"/>
            <w:r w:rsidRPr="00843205">
              <w:rPr>
                <w:lang w:val="de-DE"/>
              </w:rPr>
              <w:t>. 1-142)</w:t>
            </w:r>
            <w:r w:rsidR="000073A2" w:rsidRPr="00843205">
              <w:rPr>
                <w:lang w:val="de-DE"/>
              </w:rPr>
              <w:t xml:space="preserve">. </w:t>
            </w:r>
            <w:hyperlink w:history="1">
              <w:r w:rsidR="000073A2" w:rsidRPr="005357FC">
                <w:rPr>
                  <w:rStyle w:val="Hyperlink"/>
                  <w:szCs w:val="20"/>
                  <w:lang w:val="de-DE"/>
                </w:rPr>
                <w:t>https://www.bundesverfassungsgericht.de/SharedDocs/Entscheidungen/DE/2019/01/cs20190129_2bvc006214.html</w:t>
              </w:r>
            </w:hyperlink>
            <w:r w:rsidRPr="005357FC">
              <w:rPr>
                <w:lang w:val="de-DE"/>
              </w:rPr>
              <w:t>.)</w:t>
            </w:r>
          </w:p>
        </w:tc>
      </w:tr>
      <w:tr w:rsidR="001B1A82" w:rsidRPr="00843205" w14:paraId="12061B63"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5C13442" w14:textId="77777777" w:rsidR="001B1A82" w:rsidRPr="00295392" w:rsidRDefault="001B1A82" w:rsidP="00867899">
            <w:pPr>
              <w:pStyle w:val="FRABodyText"/>
            </w:pPr>
            <w:bookmarkStart w:id="1" w:name="_Hlk153199003"/>
            <w:r w:rsidRPr="00843205">
              <w:lastRenderedPageBreak/>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FEADF5" w14:textId="77777777" w:rsidR="004423AD" w:rsidRPr="00843205" w:rsidRDefault="001B1A82" w:rsidP="00867899">
            <w:pPr>
              <w:pStyle w:val="FRABodyText"/>
            </w:pPr>
            <w:r w:rsidRPr="00843205">
              <w:t xml:space="preserve">Partially – </w:t>
            </w:r>
            <w:r w:rsidR="004423AD" w:rsidRPr="00843205">
              <w:t>Website is EN 301 549 v3.2.1 (2021-03) compliant but no materials are available in alternative formats</w:t>
            </w:r>
          </w:p>
          <w:p w14:paraId="38644BB9" w14:textId="77777777" w:rsidR="001B1A82" w:rsidRPr="00843205" w:rsidRDefault="001B1A82" w:rsidP="00867899">
            <w:pPr>
              <w:pStyle w:val="FRABodyText"/>
            </w:pPr>
            <w:r w:rsidRPr="00843205">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B9C920" w14:textId="77777777" w:rsidR="001B1A82" w:rsidRPr="00843205" w:rsidRDefault="001B1A82" w:rsidP="00867899">
            <w:pPr>
              <w:pStyle w:val="FRABodyText"/>
            </w:pPr>
            <w:r w:rsidRPr="00843205">
              <w:t xml:space="preserve">The information can be found on the website of the </w:t>
            </w:r>
            <w:r w:rsidRPr="00843205">
              <w:rPr>
                <w:b/>
                <w:bCs/>
              </w:rPr>
              <w:t>German</w:t>
            </w:r>
            <w:r w:rsidRPr="00843205">
              <w:t xml:space="preserve"> Parliament, which is mostly compliant with the EU guideline</w:t>
            </w:r>
            <w:r w:rsidR="002832E6" w:rsidRPr="00843205">
              <w:t>.</w:t>
            </w:r>
            <w:r w:rsidR="002832E6" w:rsidRPr="00843205">
              <w:rPr>
                <w:rStyle w:val="FootnoteReference"/>
              </w:rPr>
              <w:footnoteReference w:id="12"/>
            </w:r>
            <w:r w:rsidRPr="00843205">
              <w:t xml:space="preserve">  </w:t>
            </w:r>
          </w:p>
          <w:p w14:paraId="4465D76C" w14:textId="77777777" w:rsidR="004423AD" w:rsidRPr="00843205" w:rsidRDefault="004423AD" w:rsidP="00867899">
            <w:pPr>
              <w:pStyle w:val="FRABodyText"/>
            </w:pPr>
            <w:r w:rsidRPr="00295392">
              <w:t xml:space="preserve">It does not </w:t>
            </w:r>
            <w:r w:rsidR="009C0D9B" w:rsidRPr="00295392">
              <w:t xml:space="preserve">however </w:t>
            </w:r>
            <w:r w:rsidRPr="00843205">
              <w:t>include easy-to-read or German sign language.</w:t>
            </w:r>
          </w:p>
        </w:tc>
      </w:tr>
      <w:bookmarkEnd w:id="1"/>
      <w:tr w:rsidR="001B1A82" w:rsidRPr="00D82CA0" w14:paraId="22D9D068"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554D94" w14:textId="77777777" w:rsidR="001B1A82" w:rsidRPr="00843205" w:rsidRDefault="001B1A82" w:rsidP="00867899">
            <w:pPr>
              <w:pStyle w:val="FRABodyText"/>
            </w:pPr>
            <w:r w:rsidRPr="00843205">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8DEB79" w14:textId="77777777" w:rsidR="001B1A82" w:rsidRPr="00843205" w:rsidRDefault="001B1A82" w:rsidP="00867899">
            <w:pPr>
              <w:pStyle w:val="FRABodyText"/>
            </w:pPr>
            <w:r w:rsidRPr="00843205">
              <w:t>Yes, cases considered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8F7074" w14:textId="17D86AD8" w:rsidR="001B1A82" w:rsidRPr="00843205" w:rsidRDefault="009C0D9B" w:rsidP="00867899">
            <w:pPr>
              <w:pStyle w:val="FRABodyText"/>
              <w:rPr>
                <w:lang w:val="de-DE"/>
              </w:rPr>
            </w:pPr>
            <w:r w:rsidRPr="00843205">
              <w:t xml:space="preserve">In </w:t>
            </w:r>
            <w:r w:rsidRPr="00843205">
              <w:rPr>
                <w:b/>
                <w:bCs/>
              </w:rPr>
              <w:t>Germany</w:t>
            </w:r>
            <w:r w:rsidRPr="00843205">
              <w:t>, e</w:t>
            </w:r>
            <w:r w:rsidR="001B1A82" w:rsidRPr="00843205">
              <w:t xml:space="preserve">xclusions on the basis of </w:t>
            </w:r>
            <w:r w:rsidR="001570B9" w:rsidRPr="00843205">
              <w:t>full legal custodianship in all matters</w:t>
            </w:r>
            <w:r w:rsidR="001B1A82" w:rsidRPr="00843205">
              <w:t xml:space="preserve"> existed until 2019, when the constitutional court ruled them unconstitutional.</w:t>
            </w:r>
            <w:r w:rsidR="001B1A82" w:rsidRPr="00295392">
              <w:rPr>
                <w:lang w:val="en-GB"/>
              </w:rPr>
              <w:t xml:space="preserve"> </w:t>
            </w:r>
            <w:r w:rsidR="001B1A82" w:rsidRPr="00295392">
              <w:rPr>
                <w:lang w:val="de-DE"/>
              </w:rPr>
              <w:t xml:space="preserve">(BVerfG, Beschluss des Zweiten Senats vom 29. Januar 2019 - 2 </w:t>
            </w:r>
            <w:proofErr w:type="spellStart"/>
            <w:r w:rsidR="001B1A82" w:rsidRPr="00295392">
              <w:rPr>
                <w:lang w:val="de-DE"/>
              </w:rPr>
              <w:t>BvC</w:t>
            </w:r>
            <w:proofErr w:type="spellEnd"/>
            <w:r w:rsidR="001B1A82" w:rsidRPr="00295392">
              <w:rPr>
                <w:lang w:val="de-DE"/>
              </w:rPr>
              <w:t xml:space="preserve"> 62/14 -, </w:t>
            </w:r>
            <w:proofErr w:type="spellStart"/>
            <w:r w:rsidR="001B1A82" w:rsidRPr="00295392">
              <w:rPr>
                <w:lang w:val="de-DE"/>
              </w:rPr>
              <w:t>Rn</w:t>
            </w:r>
            <w:proofErr w:type="spellEnd"/>
            <w:r w:rsidR="001B1A82" w:rsidRPr="00295392">
              <w:rPr>
                <w:lang w:val="de-DE"/>
              </w:rPr>
              <w:t>. 1-142)</w:t>
            </w:r>
            <w:r w:rsidRPr="00843205">
              <w:rPr>
                <w:lang w:val="de-DE"/>
              </w:rPr>
              <w:t xml:space="preserve"> </w:t>
            </w:r>
            <w:r w:rsidR="001B1A82" w:rsidRPr="00843205">
              <w:rPr>
                <w:lang w:val="de-DE"/>
              </w:rPr>
              <w:t>https://www.bundesverfassungsgericht.de/SharedDocs/Entscheidungen/DE/2019/01/cs20190129_2bvc006214.html</w:t>
            </w:r>
          </w:p>
        </w:tc>
      </w:tr>
      <w:tr w:rsidR="001B1A82" w:rsidRPr="00843205" w14:paraId="370192CE"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91CFD73" w14:textId="77777777" w:rsidR="001B1A82" w:rsidRPr="00295392" w:rsidRDefault="001B1A82" w:rsidP="00867899">
            <w:pPr>
              <w:pStyle w:val="FRABodyText"/>
            </w:pPr>
            <w:r w:rsidRPr="00843205">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33EC30" w14:textId="77777777" w:rsidR="001B1A82" w:rsidRPr="00843205" w:rsidRDefault="001B1A82" w:rsidP="00867899">
            <w:pPr>
              <w:pStyle w:val="FRABodyText"/>
            </w:pPr>
            <w:r w:rsidRPr="00843205">
              <w:t xml:space="preserve">No, no cases identified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F8A4E2" w14:textId="3B9B9B12" w:rsidR="001B1A82" w:rsidRPr="00843205" w:rsidRDefault="001B1A82" w:rsidP="00867899">
            <w:pPr>
              <w:pStyle w:val="FRABodyText"/>
            </w:pPr>
            <w:r w:rsidRPr="00843205">
              <w:t xml:space="preserve">In </w:t>
            </w:r>
            <w:r w:rsidR="009C0D9B" w:rsidRPr="00843205">
              <w:rPr>
                <w:b/>
                <w:bCs/>
              </w:rPr>
              <w:t>Germany</w:t>
            </w:r>
            <w:r w:rsidR="009C0D9B" w:rsidRPr="00843205">
              <w:t xml:space="preserve"> it is in </w:t>
            </w:r>
            <w:r w:rsidRPr="00843205">
              <w:t>principle possible to a</w:t>
            </w:r>
            <w:r w:rsidR="005B5F3A" w:rsidRPr="00843205">
              <w:t>d</w:t>
            </w:r>
            <w:r w:rsidRPr="00843205">
              <w:t>dress violations by the authorities using the complaints mechanism (</w:t>
            </w:r>
            <w:proofErr w:type="spellStart"/>
            <w:r w:rsidRPr="00843205">
              <w:t>Schlichtungsstelle</w:t>
            </w:r>
            <w:proofErr w:type="spellEnd"/>
            <w:r w:rsidRPr="00843205">
              <w:t>) of the federal government (</w:t>
            </w:r>
            <w:r w:rsidR="00E3728A" w:rsidRPr="005357FC">
              <w:rPr>
                <w:rFonts w:eastAsia="Times New Roman"/>
                <w:lang w:eastAsia="en-GB" w:bidi="ar-SA"/>
              </w:rPr>
              <w:t>Article</w:t>
            </w:r>
            <w:r w:rsidRPr="005357FC">
              <w:rPr>
                <w:rFonts w:eastAsia="Times New Roman"/>
                <w:lang w:eastAsia="en-GB" w:bidi="ar-SA"/>
              </w:rPr>
              <w:t xml:space="preserve"> 16</w:t>
            </w:r>
            <w:r w:rsidR="00E3728A">
              <w:rPr>
                <w:rFonts w:eastAsia="Times New Roman"/>
                <w:lang w:eastAsia="en-GB" w:bidi="ar-SA"/>
              </w:rPr>
              <w:t xml:space="preserve"> </w:t>
            </w:r>
            <w:r w:rsidR="00D91CAB" w:rsidRPr="00603F83">
              <w:t>of the</w:t>
            </w:r>
            <w:r w:rsidR="00D91CAB" w:rsidRPr="00843205">
              <w:t xml:space="preserve"> Federal Disabled Persons Equality Act, </w:t>
            </w:r>
            <w:proofErr w:type="spellStart"/>
            <w:r w:rsidR="00D91CAB" w:rsidRPr="00843205">
              <w:rPr>
                <w:i/>
              </w:rPr>
              <w:t>Behindertengleichstellungsgesetz</w:t>
            </w:r>
            <w:proofErr w:type="spellEnd"/>
            <w:r w:rsidR="00D91CAB" w:rsidRPr="00843205">
              <w:t xml:space="preserve">, </w:t>
            </w:r>
            <w:r w:rsidRPr="00843205">
              <w:rPr>
                <w:rFonts w:ascii="Calibri" w:eastAsia="Times New Roman" w:hAnsi="Calibri"/>
                <w:i/>
                <w:iCs/>
                <w:lang w:eastAsia="en-GB" w:bidi="ar-SA"/>
              </w:rPr>
              <w:t>BGG)</w:t>
            </w:r>
            <w:r w:rsidR="00D91CAB" w:rsidRPr="00843205">
              <w:rPr>
                <w:rStyle w:val="FootnoteReference"/>
                <w:rFonts w:ascii="Calibri" w:eastAsia="Times New Roman" w:hAnsi="Calibri"/>
                <w:i/>
                <w:iCs/>
                <w:lang w:eastAsia="en-GB" w:bidi="ar-SA"/>
              </w:rPr>
              <w:footnoteReference w:id="13"/>
            </w:r>
            <w:r w:rsidRPr="00843205">
              <w:t xml:space="preserve"> and those states, in which the legislation provides for one. No complaint</w:t>
            </w:r>
            <w:r w:rsidR="00821810" w:rsidRPr="00295392">
              <w:t>s</w:t>
            </w:r>
            <w:r w:rsidRPr="00295392">
              <w:t xml:space="preserve"> considered have been identified by </w:t>
            </w:r>
            <w:r w:rsidR="009C0D9B" w:rsidRPr="00843205">
              <w:t xml:space="preserve">the </w:t>
            </w:r>
            <w:r w:rsidR="00821810" w:rsidRPr="00843205">
              <w:t>German Institute for Human Rights</w:t>
            </w:r>
            <w:r w:rsidRPr="00843205">
              <w:t>.</w:t>
            </w:r>
          </w:p>
          <w:p w14:paraId="3FDA5BD3" w14:textId="77777777" w:rsidR="001B1A82" w:rsidRPr="00843205" w:rsidRDefault="001B1A82" w:rsidP="00867899">
            <w:pPr>
              <w:pStyle w:val="FRABodyText"/>
            </w:pPr>
          </w:p>
        </w:tc>
      </w:tr>
      <w:tr w:rsidR="001B1A82" w:rsidRPr="00843205" w14:paraId="2EC2FAE0"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269CAEB" w14:textId="77777777" w:rsidR="001B1A82" w:rsidRPr="00843205" w:rsidRDefault="001B1A82" w:rsidP="00867899">
            <w:pPr>
              <w:pStyle w:val="FRABodyText"/>
            </w:pPr>
            <w:r w:rsidRPr="00843205">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F9A6A4B" w14:textId="77777777" w:rsidR="001B1A82" w:rsidRPr="00843205" w:rsidRDefault="001B1A82" w:rsidP="00867899">
            <w:pPr>
              <w:pStyle w:val="FRABodyText"/>
            </w:pPr>
            <w:r w:rsidRPr="00843205">
              <w:t>Some MPs identify as having a disability (official data)</w:t>
            </w:r>
          </w:p>
          <w:p w14:paraId="21EC9FAE"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B6A749" w14:textId="77777777" w:rsidR="001B1A82" w:rsidRPr="00843205" w:rsidRDefault="005B5F3A" w:rsidP="00867899">
            <w:pPr>
              <w:pStyle w:val="FRABodyText"/>
            </w:pPr>
            <w:r w:rsidRPr="00843205">
              <w:t>I</w:t>
            </w:r>
            <w:r w:rsidR="001B1A82" w:rsidRPr="00843205">
              <w:t>dentifying as a person with disabilities is a personal decision</w:t>
            </w:r>
            <w:r w:rsidRPr="00843205">
              <w:t>.</w:t>
            </w:r>
            <w:r w:rsidR="001B1A82" w:rsidRPr="00843205">
              <w:t xml:space="preserve"> </w:t>
            </w:r>
            <w:r w:rsidRPr="00843205">
              <w:t>I</w:t>
            </w:r>
            <w:r w:rsidR="001B1A82" w:rsidRPr="00843205">
              <w:t xml:space="preserve">t is not clear what “official data” one would reliably draw upon to identify these members of parliament. There </w:t>
            </w:r>
            <w:r w:rsidR="009C0D9B" w:rsidRPr="00843205">
              <w:t>is at least one</w:t>
            </w:r>
            <w:r w:rsidR="001B1A82" w:rsidRPr="00843205">
              <w:t xml:space="preserve"> MP</w:t>
            </w:r>
            <w:r w:rsidR="009C0D9B" w:rsidRPr="00843205">
              <w:t xml:space="preserve"> in </w:t>
            </w:r>
            <w:r w:rsidR="009C0D9B" w:rsidRPr="00843205">
              <w:rPr>
                <w:b/>
                <w:bCs/>
              </w:rPr>
              <w:t>Germany</w:t>
            </w:r>
            <w:r w:rsidR="001B1A82" w:rsidRPr="00843205">
              <w:t xml:space="preserve"> </w:t>
            </w:r>
            <w:r w:rsidR="009C0D9B" w:rsidRPr="00843205">
              <w:t xml:space="preserve">(Stephanie </w:t>
            </w:r>
            <w:proofErr w:type="spellStart"/>
            <w:r w:rsidR="009C0D9B" w:rsidRPr="00843205">
              <w:t>Äffner</w:t>
            </w:r>
            <w:proofErr w:type="spellEnd"/>
            <w:r w:rsidR="009C0D9B" w:rsidRPr="00843205">
              <w:t xml:space="preserve">, </w:t>
            </w:r>
            <w:proofErr w:type="spellStart"/>
            <w:r w:rsidR="009C0D9B" w:rsidRPr="00843205">
              <w:t>Bündnis</w:t>
            </w:r>
            <w:proofErr w:type="spellEnd"/>
            <w:r w:rsidR="009C0D9B" w:rsidRPr="00843205">
              <w:t xml:space="preserve"> 90/Die </w:t>
            </w:r>
            <w:proofErr w:type="spellStart"/>
            <w:r w:rsidR="009C0D9B" w:rsidRPr="00843205">
              <w:t>Grünen</w:t>
            </w:r>
            <w:proofErr w:type="spellEnd"/>
            <w:r w:rsidR="009C0D9B" w:rsidRPr="00843205">
              <w:t xml:space="preserve">) </w:t>
            </w:r>
            <w:r w:rsidR="001B1A82" w:rsidRPr="00843205">
              <w:t>openly identifying as disabled.</w:t>
            </w:r>
            <w:r w:rsidR="000073A2" w:rsidRPr="00843205">
              <w:rPr>
                <w:rStyle w:val="FootnoteReference"/>
              </w:rPr>
              <w:footnoteReference w:id="14"/>
            </w:r>
          </w:p>
          <w:p w14:paraId="333C6387" w14:textId="5B98CA98" w:rsidR="00AB7080" w:rsidRPr="00843205" w:rsidRDefault="00AB7080" w:rsidP="00867899">
            <w:pPr>
              <w:pStyle w:val="FRABodyText"/>
            </w:pPr>
            <w:r w:rsidRPr="00295392">
              <w:t xml:space="preserve">A 2017 survey quoted in the national disability report issued by the federal ministry for social affairs counted 23 members of the </w:t>
            </w:r>
            <w:r w:rsidRPr="00843205">
              <w:rPr>
                <w:b/>
                <w:bCs/>
              </w:rPr>
              <w:t xml:space="preserve">German </w:t>
            </w:r>
            <w:r w:rsidRPr="00843205">
              <w:t xml:space="preserve">Bundestag with </w:t>
            </w:r>
            <w:r w:rsidRPr="00843205">
              <w:lastRenderedPageBreak/>
              <w:t xml:space="preserve">disabilities (3.3%) and went on to say that another 43 persons would be required to represent persons with disabilities in proportion </w:t>
            </w:r>
            <w:r w:rsidR="00167A68" w:rsidRPr="005357FC">
              <w:t>to</w:t>
            </w:r>
            <w:r w:rsidRPr="00843205">
              <w:t xml:space="preserve"> the population as a whole.</w:t>
            </w:r>
            <w:r w:rsidRPr="00843205">
              <w:rPr>
                <w:rStyle w:val="FootnoteReference"/>
                <w:szCs w:val="20"/>
              </w:rPr>
              <w:footnoteReference w:id="15"/>
            </w:r>
          </w:p>
        </w:tc>
      </w:tr>
      <w:tr w:rsidR="001B1A82" w:rsidRPr="00843205" w14:paraId="27969979"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1F2C22" w14:textId="77777777" w:rsidR="001B1A82" w:rsidRPr="00843205" w:rsidRDefault="001B1A82" w:rsidP="00867899">
            <w:pPr>
              <w:pStyle w:val="FRABodyText"/>
            </w:pPr>
            <w:r w:rsidRPr="00843205">
              <w:lastRenderedPageBreak/>
              <w:t>Is data available on the number of members of municipal/regional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BECD624" w14:textId="77777777" w:rsidR="001B1A82" w:rsidRPr="00843205" w:rsidRDefault="00AB7080" w:rsidP="00867899">
            <w:pPr>
              <w:pStyle w:val="FRABodyText"/>
            </w:pPr>
            <w:r w:rsidRPr="00843205">
              <w:t>No data available</w:t>
            </w:r>
          </w:p>
          <w:p w14:paraId="17DFE8FD"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3F9F773" w14:textId="77777777" w:rsidR="001B1A82" w:rsidRPr="00843205" w:rsidRDefault="001B1A82" w:rsidP="00867899">
            <w:pPr>
              <w:pStyle w:val="FRABodyText"/>
            </w:pPr>
          </w:p>
        </w:tc>
      </w:tr>
      <w:tr w:rsidR="001B1A82" w:rsidRPr="00843205" w14:paraId="44B9021C"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78A6E41" w14:textId="77777777" w:rsidR="001B1A82" w:rsidRPr="00843205" w:rsidRDefault="001B1A82" w:rsidP="00867899">
            <w:pPr>
              <w:pStyle w:val="FRABodyText"/>
            </w:pPr>
            <w:r w:rsidRPr="00843205">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B48F66" w14:textId="77777777" w:rsidR="001B1A82" w:rsidRPr="00843205" w:rsidRDefault="001B1A82" w:rsidP="00867899">
            <w:pPr>
              <w:pStyle w:val="FRABodyText"/>
            </w:pPr>
            <w:r w:rsidRPr="00843205">
              <w:t xml:space="preserve">No training required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DEE2973" w14:textId="0FA106E2" w:rsidR="001B1A82" w:rsidRPr="00843205" w:rsidRDefault="001B1A82" w:rsidP="00867899">
            <w:pPr>
              <w:pStyle w:val="FRABodyText"/>
            </w:pPr>
            <w:r w:rsidRPr="00843205">
              <w:t xml:space="preserve">Neither </w:t>
            </w:r>
            <w:r w:rsidR="00C47210" w:rsidRPr="00843205">
              <w:rPr>
                <w:b/>
                <w:bCs/>
              </w:rPr>
              <w:t>German</w:t>
            </w:r>
            <w:r w:rsidRPr="00843205">
              <w:rPr>
                <w:b/>
                <w:bCs/>
              </w:rPr>
              <w:t xml:space="preserve"> </w:t>
            </w:r>
            <w:r w:rsidRPr="00843205">
              <w:t>national law on the act of voting (</w:t>
            </w:r>
            <w:proofErr w:type="spellStart"/>
            <w:r w:rsidRPr="00843205">
              <w:t>Bundeswahlgesetz</w:t>
            </w:r>
            <w:proofErr w:type="spellEnd"/>
            <w:r w:rsidRPr="00843205">
              <w:t>), nor its executive direction (</w:t>
            </w:r>
            <w:proofErr w:type="spellStart"/>
            <w:r w:rsidRPr="00843205">
              <w:t>Bundeswahlordnung</w:t>
            </w:r>
            <w:proofErr w:type="spellEnd"/>
            <w:r w:rsidRPr="00843205">
              <w:t>) do ad</w:t>
            </w:r>
            <w:r w:rsidR="00167A68" w:rsidRPr="005357FC">
              <w:t>d</w:t>
            </w:r>
            <w:r w:rsidRPr="00843205">
              <w:t xml:space="preserve">ress this issue </w:t>
            </w:r>
            <w:r w:rsidR="00307B98" w:rsidRPr="00843205">
              <w:t xml:space="preserve">specifically. </w:t>
            </w:r>
            <w:r w:rsidR="00633376" w:rsidRPr="005357FC">
              <w:t xml:space="preserve">However, </w:t>
            </w:r>
            <w:r w:rsidR="00633376" w:rsidRPr="005357FC">
              <w:rPr>
                <w:lang w:val="en-GB"/>
              </w:rPr>
              <w:t>a</w:t>
            </w:r>
            <w:r w:rsidR="00307B98" w:rsidRPr="00843205">
              <w:rPr>
                <w:lang w:val="en-GB"/>
              </w:rPr>
              <w:t xml:space="preserve"> general provision does exist. According to Article 6 (5) </w:t>
            </w:r>
            <w:proofErr w:type="spellStart"/>
            <w:r w:rsidR="00307B98" w:rsidRPr="00843205">
              <w:rPr>
                <w:lang w:val="en-GB"/>
              </w:rPr>
              <w:t>EuWO</w:t>
            </w:r>
            <w:proofErr w:type="spellEnd"/>
            <w:r w:rsidR="00307B98" w:rsidRPr="00843205">
              <w:rPr>
                <w:lang w:val="en-GB"/>
              </w:rPr>
              <w:t xml:space="preserve"> and Article 6 (5) BWO the local authority is obliged to train the members of the election board to ensure that the election is carried out in due process. This should include the handling of assistance for persons with disabilities if they need it, includ</w:t>
            </w:r>
            <w:r w:rsidR="00307B98" w:rsidRPr="00295392">
              <w:rPr>
                <w:lang w:val="en-GB"/>
              </w:rPr>
              <w:t xml:space="preserve">ing help with casting the vote, Article 50 </w:t>
            </w:r>
            <w:proofErr w:type="spellStart"/>
            <w:r w:rsidR="00307B98" w:rsidRPr="00295392">
              <w:rPr>
                <w:lang w:val="en-GB"/>
              </w:rPr>
              <w:t>EuWO</w:t>
            </w:r>
            <w:proofErr w:type="spellEnd"/>
            <w:r w:rsidR="00307B98" w:rsidRPr="00295392">
              <w:rPr>
                <w:lang w:val="en-GB"/>
              </w:rPr>
              <w:t xml:space="preserve"> and Article 57 BWO.  However, </w:t>
            </w:r>
            <w:r w:rsidR="00D85EF7" w:rsidRPr="00843205">
              <w:rPr>
                <w:lang w:val="en-GB"/>
              </w:rPr>
              <w:t xml:space="preserve">there is </w:t>
            </w:r>
            <w:r w:rsidR="00307B98" w:rsidRPr="00843205">
              <w:t>no specific training</w:t>
            </w:r>
            <w:r w:rsidR="00D85EF7" w:rsidRPr="00843205">
              <w:t xml:space="preserve"> and</w:t>
            </w:r>
            <w:r w:rsidR="00307B98" w:rsidRPr="00843205">
              <w:t xml:space="preserve"> no information if and how election board staff is trained to assist persons</w:t>
            </w:r>
            <w:r w:rsidR="00D85EF7" w:rsidRPr="00843205">
              <w:t xml:space="preserve"> with disabilities</w:t>
            </w:r>
            <w:r w:rsidR="00307B98" w:rsidRPr="00843205">
              <w:t>.</w:t>
            </w:r>
            <w:r w:rsidR="00307B98" w:rsidRPr="00843205">
              <w:rPr>
                <w:lang w:val="en-GB"/>
              </w:rPr>
              <w:t xml:space="preserve"> Details on whether and how this general provision is realized in practice could not be obtained.</w:t>
            </w:r>
          </w:p>
        </w:tc>
      </w:tr>
      <w:tr w:rsidR="001B1A82" w:rsidRPr="00843205" w14:paraId="381BE41B"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92C424" w14:textId="77777777" w:rsidR="001B1A82" w:rsidRPr="00843205" w:rsidRDefault="001B1A82" w:rsidP="00867899">
            <w:pPr>
              <w:pStyle w:val="FRABodyText"/>
            </w:pPr>
            <w:r w:rsidRPr="00843205">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7B5600" w14:textId="77777777" w:rsidR="001B1A82" w:rsidRPr="00843205" w:rsidRDefault="004C6833" w:rsidP="00867899">
            <w:pPr>
              <w:pStyle w:val="FRABodyText"/>
            </w:pPr>
            <w:r w:rsidRPr="00843205">
              <w:t xml:space="preserve">Yes, mechanisms established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9EE4F6" w14:textId="77777777" w:rsidR="004C6833" w:rsidRPr="00843205" w:rsidRDefault="004C6833" w:rsidP="004C6833">
            <w:pPr>
              <w:spacing w:before="240"/>
              <w:contextualSpacing/>
              <w:rPr>
                <w:rFonts w:ascii="Times New Roman" w:eastAsia="Calibri" w:hAnsi="Times New Roman"/>
                <w:sz w:val="20"/>
              </w:rPr>
            </w:pPr>
            <w:r w:rsidRPr="00843205">
              <w:rPr>
                <w:rFonts w:ascii="Times New Roman" w:eastAsia="Calibri" w:hAnsi="Times New Roman"/>
                <w:sz w:val="20"/>
              </w:rPr>
              <w:t>On the federal level, Article 47 of the Common Rules of Procedure for Federal Ministries</w:t>
            </w:r>
            <w:r w:rsidR="00C47210" w:rsidRPr="00843205">
              <w:rPr>
                <w:rFonts w:ascii="Times New Roman" w:eastAsia="Calibri" w:hAnsi="Times New Roman"/>
                <w:sz w:val="20"/>
              </w:rPr>
              <w:t xml:space="preserve"> in </w:t>
            </w:r>
            <w:r w:rsidR="00C47210" w:rsidRPr="00843205">
              <w:rPr>
                <w:rFonts w:ascii="Times New Roman" w:eastAsia="Calibri" w:hAnsi="Times New Roman"/>
                <w:b/>
                <w:bCs/>
                <w:sz w:val="20"/>
              </w:rPr>
              <w:t>Germany</w:t>
            </w:r>
            <w:r w:rsidRPr="00843205">
              <w:rPr>
                <w:rFonts w:ascii="Times New Roman" w:eastAsia="Calibri" w:hAnsi="Times New Roman"/>
                <w:sz w:val="20"/>
              </w:rPr>
              <w:t xml:space="preserve"> (</w:t>
            </w:r>
            <w:proofErr w:type="spellStart"/>
            <w:r w:rsidRPr="00843205">
              <w:rPr>
                <w:rFonts w:ascii="Times New Roman" w:eastAsia="Calibri" w:hAnsi="Times New Roman"/>
                <w:i/>
                <w:sz w:val="20"/>
              </w:rPr>
              <w:t>Gemeinsame</w:t>
            </w:r>
            <w:proofErr w:type="spellEnd"/>
            <w:r w:rsidRPr="00843205">
              <w:rPr>
                <w:rFonts w:ascii="Times New Roman" w:eastAsia="Calibri" w:hAnsi="Times New Roman"/>
                <w:i/>
                <w:sz w:val="20"/>
              </w:rPr>
              <w:t xml:space="preserve"> </w:t>
            </w:r>
            <w:proofErr w:type="spellStart"/>
            <w:r w:rsidRPr="00843205">
              <w:rPr>
                <w:rFonts w:ascii="Times New Roman" w:eastAsia="Calibri" w:hAnsi="Times New Roman"/>
                <w:i/>
                <w:sz w:val="20"/>
              </w:rPr>
              <w:t>Geschäftsordnung</w:t>
            </w:r>
            <w:proofErr w:type="spellEnd"/>
            <w:r w:rsidRPr="00843205">
              <w:rPr>
                <w:rFonts w:ascii="Times New Roman" w:eastAsia="Calibri" w:hAnsi="Times New Roman"/>
                <w:i/>
                <w:sz w:val="20"/>
              </w:rPr>
              <w:t xml:space="preserve"> der </w:t>
            </w:r>
            <w:proofErr w:type="spellStart"/>
            <w:r w:rsidRPr="00843205">
              <w:rPr>
                <w:rFonts w:ascii="Times New Roman" w:eastAsia="Calibri" w:hAnsi="Times New Roman"/>
                <w:i/>
                <w:sz w:val="20"/>
              </w:rPr>
              <w:t>Bundesministerien</w:t>
            </w:r>
            <w:proofErr w:type="spellEnd"/>
            <w:r w:rsidRPr="00843205">
              <w:rPr>
                <w:rFonts w:ascii="Times New Roman" w:eastAsia="Calibri" w:hAnsi="Times New Roman"/>
                <w:sz w:val="20"/>
              </w:rPr>
              <w:t>, GGO)</w:t>
            </w:r>
            <w:r w:rsidRPr="00843205">
              <w:rPr>
                <w:rStyle w:val="FootnoteReference"/>
                <w:rFonts w:ascii="Times New Roman" w:eastAsia="Calibri" w:hAnsi="Times New Roman"/>
                <w:sz w:val="20"/>
              </w:rPr>
              <w:footnoteReference w:id="16"/>
            </w:r>
            <w:r w:rsidRPr="00843205">
              <w:rPr>
                <w:rFonts w:ascii="Times New Roman" w:eastAsia="Calibri" w:hAnsi="Times New Roman"/>
                <w:sz w:val="20"/>
              </w:rPr>
              <w:t xml:space="preserve"> provides that concerned associations have to be consulted in law-making procedures or processes to develop political strategies. This</w:t>
            </w:r>
            <w:r w:rsidRPr="00295392">
              <w:rPr>
                <w:rFonts w:ascii="Times New Roman" w:eastAsia="Calibri" w:hAnsi="Times New Roman"/>
                <w:sz w:val="20"/>
              </w:rPr>
              <w:t xml:space="preserve"> includes associations of persons with disabilities and is usually carried out through consultations, expert hearings and the submission of written statements. Article 21 GGO stipulates that the federal government has to consult the Federal Government </w:t>
            </w:r>
            <w:r w:rsidRPr="00295392">
              <w:rPr>
                <w:rFonts w:ascii="Times New Roman" w:eastAsia="Calibri" w:hAnsi="Times New Roman"/>
                <w:sz w:val="20"/>
              </w:rPr>
              <w:lastRenderedPageBreak/>
              <w:t>Comm</w:t>
            </w:r>
            <w:r w:rsidRPr="00843205">
              <w:rPr>
                <w:rFonts w:ascii="Times New Roman" w:eastAsia="Calibri" w:hAnsi="Times New Roman"/>
                <w:sz w:val="20"/>
              </w:rPr>
              <w:t>issioner for Matters relating to Disabled Persons in matters concerning people with disabilities, who himself consults DPOs.</w:t>
            </w:r>
            <w:r w:rsidR="006059B2" w:rsidRPr="00843205">
              <w:rPr>
                <w:rFonts w:ascii="Times New Roman" w:eastAsia="Calibri" w:hAnsi="Times New Roman"/>
                <w:sz w:val="20"/>
              </w:rPr>
              <w:t xml:space="preserve"> </w:t>
            </w:r>
            <w:r w:rsidRPr="00843205">
              <w:rPr>
                <w:rFonts w:ascii="Times New Roman" w:eastAsia="Calibri" w:hAnsi="Times New Roman"/>
                <w:sz w:val="20"/>
              </w:rPr>
              <w:t xml:space="preserve">Similar processes apply on the </w:t>
            </w:r>
            <w:r w:rsidRPr="00843205">
              <w:rPr>
                <w:rFonts w:ascii="Times New Roman" w:eastAsia="Calibri" w:hAnsi="Times New Roman"/>
                <w:i/>
                <w:sz w:val="20"/>
              </w:rPr>
              <w:t>Länder</w:t>
            </w:r>
            <w:r w:rsidRPr="00843205">
              <w:rPr>
                <w:rFonts w:ascii="Times New Roman" w:eastAsia="Calibri" w:hAnsi="Times New Roman"/>
                <w:sz w:val="20"/>
              </w:rPr>
              <w:t xml:space="preserve"> level.</w:t>
            </w:r>
          </w:p>
          <w:p w14:paraId="31C29C98" w14:textId="77777777" w:rsidR="004C6833" w:rsidRPr="00843205" w:rsidRDefault="004C6833" w:rsidP="00867899">
            <w:pPr>
              <w:pStyle w:val="FRABodyText"/>
            </w:pPr>
          </w:p>
          <w:p w14:paraId="11FE2F8A" w14:textId="77777777" w:rsidR="001B1A82" w:rsidRPr="00843205" w:rsidRDefault="001B1A82" w:rsidP="00867899">
            <w:pPr>
              <w:pStyle w:val="FRABodyText"/>
            </w:pPr>
            <w:r w:rsidRPr="00843205">
              <w:t>The</w:t>
            </w:r>
            <w:r w:rsidR="006059B2" w:rsidRPr="00843205">
              <w:t xml:space="preserve"> UN</w:t>
            </w:r>
            <w:r w:rsidRPr="00843205">
              <w:t xml:space="preserve"> committee on the rights on persons with disabilities showed concerns i</w:t>
            </w:r>
            <w:r w:rsidR="006059B2" w:rsidRPr="00843205">
              <w:t xml:space="preserve">n </w:t>
            </w:r>
            <w:r w:rsidRPr="00843205">
              <w:t xml:space="preserve">its concluding remarks on the 2023 state-report and issued a recommendation. </w:t>
            </w:r>
            <w:r w:rsidR="002832E6" w:rsidRPr="00843205">
              <w:rPr>
                <w:rStyle w:val="FootnoteReference"/>
                <w:szCs w:val="20"/>
              </w:rPr>
              <w:footnoteReference w:id="17"/>
            </w:r>
          </w:p>
          <w:p w14:paraId="5F727D13" w14:textId="77777777" w:rsidR="001B1A82" w:rsidRPr="00295392" w:rsidRDefault="001B1A82" w:rsidP="00867899">
            <w:pPr>
              <w:pStyle w:val="FRABodyText"/>
            </w:pPr>
          </w:p>
          <w:p w14:paraId="463527BB" w14:textId="77777777" w:rsidR="001B1A82" w:rsidRPr="00843205" w:rsidRDefault="001B1A82" w:rsidP="00867899">
            <w:pPr>
              <w:pStyle w:val="FRABodyText"/>
            </w:pPr>
            <w:r w:rsidRPr="00843205">
              <w:t>7 d):</w:t>
            </w:r>
          </w:p>
          <w:p w14:paraId="00420502" w14:textId="77777777" w:rsidR="001B1A82" w:rsidRPr="00843205" w:rsidRDefault="001B1A82" w:rsidP="00867899">
            <w:pPr>
              <w:pStyle w:val="FRABodyText"/>
            </w:pPr>
            <w:r w:rsidRPr="00843205">
              <w:t>“The lack of systematic and institutionalized engagement with organizations of persons with disabilities, including organizations of children with disabilities, in all matters affecting them, and of processes for close consultation with and the active involvement of organizations of persons with disabilities;”</w:t>
            </w:r>
          </w:p>
          <w:p w14:paraId="7FC6C98E" w14:textId="77777777" w:rsidR="001B1A82" w:rsidRPr="00843205" w:rsidRDefault="001B1A82" w:rsidP="00867899">
            <w:pPr>
              <w:pStyle w:val="FRABodyText"/>
            </w:pPr>
          </w:p>
          <w:p w14:paraId="082F56C2" w14:textId="77777777" w:rsidR="001B1A82" w:rsidRPr="00843205" w:rsidRDefault="00DA5CF9" w:rsidP="00867899">
            <w:pPr>
              <w:pStyle w:val="FRABodyText"/>
            </w:pPr>
            <w:r w:rsidRPr="00843205">
              <w:t>8</w:t>
            </w:r>
            <w:r w:rsidR="001B1A82" w:rsidRPr="00843205">
              <w:t xml:space="preserve"> d)</w:t>
            </w:r>
          </w:p>
          <w:p w14:paraId="1B20103E" w14:textId="77777777" w:rsidR="001B1A82" w:rsidRPr="00843205" w:rsidRDefault="001B1A82" w:rsidP="00867899">
            <w:pPr>
              <w:pStyle w:val="FRABodyText"/>
              <w:rPr>
                <w:lang w:val="de-DE" w:eastAsia="de-DE"/>
              </w:rPr>
            </w:pPr>
            <w:r w:rsidRPr="00843205">
              <w:t>“Develop and implement institutionalized procedures for close consultation with and the active involvement of organizations of persons with disabilities, including organizations of children with disabilities, in all matters affecting them, set standards governing these procedures, guaranteeing, among others, sufficient time for their responses and providing all relevant documents in accessible formats, in line with the Committee’s general comment No. 7 (2018) (para. 54) and its previous recommendation”</w:t>
            </w:r>
          </w:p>
        </w:tc>
      </w:tr>
      <w:tr w:rsidR="001B1A82" w:rsidRPr="00843205" w14:paraId="2C38C468"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0AA186" w14:textId="77777777" w:rsidR="001B1A82" w:rsidRPr="00843205" w:rsidRDefault="001B1A82" w:rsidP="00867899">
            <w:pPr>
              <w:pStyle w:val="FRABodyText"/>
            </w:pPr>
            <w:r w:rsidRPr="00843205">
              <w:lastRenderedPageBreak/>
              <w:t>Do national authorities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E3509F" w14:textId="77777777" w:rsidR="001B1A82" w:rsidRPr="00843205" w:rsidRDefault="001B1A82" w:rsidP="00867899">
            <w:pPr>
              <w:pStyle w:val="FRABodyText"/>
            </w:pPr>
            <w:r w:rsidRPr="00843205">
              <w:t xml:space="preserve">Yes, detailed guidance available </w:t>
            </w:r>
          </w:p>
          <w:p w14:paraId="3E98AD6B"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41AA8E" w14:textId="77777777" w:rsidR="001B1A82" w:rsidRPr="00843205" w:rsidRDefault="00C47210" w:rsidP="00867899">
            <w:pPr>
              <w:pStyle w:val="FRABodyText"/>
            </w:pPr>
            <w:r w:rsidRPr="00843205">
              <w:t xml:space="preserve">In </w:t>
            </w:r>
            <w:r w:rsidRPr="00843205">
              <w:rPr>
                <w:b/>
                <w:bCs/>
              </w:rPr>
              <w:t>Germany</w:t>
            </w:r>
            <w:r w:rsidRPr="00843205">
              <w:t>, t</w:t>
            </w:r>
            <w:r w:rsidR="001B1A82" w:rsidRPr="00843205">
              <w:t>he federal competence center for accessibility (</w:t>
            </w:r>
            <w:proofErr w:type="spellStart"/>
            <w:r w:rsidR="001B1A82" w:rsidRPr="00843205">
              <w:t>Bundesfachstelle</w:t>
            </w:r>
            <w:proofErr w:type="spellEnd"/>
            <w:r w:rsidR="001B1A82" w:rsidRPr="00843205">
              <w:t xml:space="preserve"> </w:t>
            </w:r>
            <w:proofErr w:type="spellStart"/>
            <w:r w:rsidR="001B1A82" w:rsidRPr="00843205">
              <w:t>Barrierefreiheit</w:t>
            </w:r>
            <w:proofErr w:type="spellEnd"/>
            <w:r w:rsidR="001B1A82" w:rsidRPr="00843205">
              <w:t>) issue</w:t>
            </w:r>
            <w:r w:rsidR="00D85EF7" w:rsidRPr="00843205">
              <w:t>d</w:t>
            </w:r>
            <w:r w:rsidR="001B1A82" w:rsidRPr="00843205">
              <w:t xml:space="preserve"> a </w:t>
            </w:r>
            <w:r w:rsidR="00B55F2D" w:rsidRPr="00843205">
              <w:t xml:space="preserve">non-binding </w:t>
            </w:r>
            <w:r w:rsidR="0024411D" w:rsidRPr="00843205">
              <w:t xml:space="preserve">guidebook </w:t>
            </w:r>
            <w:r w:rsidR="001B1A82" w:rsidRPr="00843205">
              <w:t>for the accessibility of polling stations</w:t>
            </w:r>
            <w:r w:rsidR="006059B2" w:rsidRPr="00843205">
              <w:t>.</w:t>
            </w:r>
            <w:r w:rsidR="006059B2" w:rsidRPr="00843205">
              <w:rPr>
                <w:rStyle w:val="FootnoteReference"/>
              </w:rPr>
              <w:footnoteReference w:id="18"/>
            </w:r>
          </w:p>
        </w:tc>
      </w:tr>
      <w:tr w:rsidR="001B1A82" w:rsidRPr="00843205" w14:paraId="36FACF3E"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D393D1" w14:textId="77777777" w:rsidR="001B1A82" w:rsidRPr="00843205" w:rsidRDefault="001B1A82" w:rsidP="00867899">
            <w:pPr>
              <w:pStyle w:val="FRABodyText"/>
            </w:pPr>
            <w:bookmarkStart w:id="2" w:name="_Hlk153198571"/>
            <w:r w:rsidRPr="00843205">
              <w:t xml:space="preserve">Does the website which provides instructions for voting and </w:t>
            </w:r>
            <w:r w:rsidRPr="00843205">
              <w:lastRenderedPageBreak/>
              <w:t>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7DA6EBA" w14:textId="77777777" w:rsidR="00C47210" w:rsidRPr="00843205" w:rsidRDefault="001B1A82" w:rsidP="00867899">
            <w:pPr>
              <w:pStyle w:val="FRABodyText"/>
            </w:pPr>
            <w:r w:rsidRPr="00843205">
              <w:lastRenderedPageBreak/>
              <w:t xml:space="preserve">Partially, some accessibility measures are in place </w:t>
            </w:r>
          </w:p>
          <w:p w14:paraId="61D69914"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BB875C" w14:textId="77777777" w:rsidR="000B4FDC" w:rsidRPr="00843205" w:rsidRDefault="000B4FDC" w:rsidP="00867899">
            <w:pPr>
              <w:pStyle w:val="FRABodyText"/>
            </w:pPr>
            <w:r w:rsidRPr="00843205">
              <w:lastRenderedPageBreak/>
              <w:t xml:space="preserve">The accessibility statement on the website of the </w:t>
            </w:r>
            <w:r w:rsidR="00C47210" w:rsidRPr="00843205">
              <w:rPr>
                <w:b/>
                <w:bCs/>
              </w:rPr>
              <w:t>German</w:t>
            </w:r>
            <w:r w:rsidR="00C47210" w:rsidRPr="00843205">
              <w:t xml:space="preserve"> </w:t>
            </w:r>
            <w:r w:rsidRPr="00843205">
              <w:t xml:space="preserve">Federal Returning Officer claims their aim is to make information accessible to as many people as </w:t>
            </w:r>
            <w:r w:rsidRPr="00843205">
              <w:lastRenderedPageBreak/>
              <w:t>possible.</w:t>
            </w:r>
            <w:r w:rsidR="000B1B02" w:rsidRPr="00843205">
              <w:rPr>
                <w:rStyle w:val="FootnoteReference"/>
              </w:rPr>
              <w:footnoteReference w:id="19"/>
            </w:r>
            <w:r w:rsidRPr="00843205">
              <w:t xml:space="preserve"> However, the website is only partially compliant with the requirements due to some incompatibilities and exceptions.</w:t>
            </w:r>
            <w:r w:rsidR="000B1B02" w:rsidRPr="00843205">
              <w:rPr>
                <w:rStyle w:val="FootnoteReference"/>
              </w:rPr>
              <w:footnoteReference w:id="20"/>
            </w:r>
            <w:r w:rsidRPr="00843205">
              <w:t xml:space="preserve"> These include PDF files of specialist publications with complex volumes of tables, documents from political parties and maps. I</w:t>
            </w:r>
            <w:r w:rsidRPr="00295392">
              <w:t>n many cases, alternatively data tables in an open format with the same or even more detailed data are offered for download. Information on constituencies, candidates, results and elected representatives can also be accessed in a hierarchical manner via in</w:t>
            </w:r>
            <w:r w:rsidRPr="00843205">
              <w:t>dividual HTML pages.</w:t>
            </w:r>
          </w:p>
          <w:p w14:paraId="354487E6" w14:textId="77777777" w:rsidR="000B4FDC" w:rsidRPr="00843205" w:rsidRDefault="000B4FDC" w:rsidP="00867899">
            <w:pPr>
              <w:pStyle w:val="FRABodyText"/>
            </w:pPr>
            <w:r w:rsidRPr="00843205">
              <w:t xml:space="preserve">For the </w:t>
            </w:r>
            <w:r w:rsidR="00C47210" w:rsidRPr="00843205">
              <w:rPr>
                <w:b/>
                <w:bCs/>
              </w:rPr>
              <w:t>German</w:t>
            </w:r>
            <w:r w:rsidR="00C47210" w:rsidRPr="00843205">
              <w:t xml:space="preserve"> </w:t>
            </w:r>
            <w:r w:rsidRPr="00843205">
              <w:t>Bundestag election 2021 information on accessible polling stations and helpers as well as ballot paper templates for blind and visually impaired voters were published</w:t>
            </w:r>
            <w:r w:rsidR="000B1B02" w:rsidRPr="00843205">
              <w:t>.</w:t>
            </w:r>
            <w:r w:rsidR="000B1B02" w:rsidRPr="00843205">
              <w:rPr>
                <w:rStyle w:val="FootnoteReference"/>
              </w:rPr>
              <w:footnoteReference w:id="21"/>
            </w:r>
          </w:p>
          <w:p w14:paraId="211E543B" w14:textId="77777777" w:rsidR="000B1B02" w:rsidRPr="00295392" w:rsidRDefault="000B1B02" w:rsidP="00867899">
            <w:pPr>
              <w:pStyle w:val="FRABodyText"/>
            </w:pPr>
          </w:p>
          <w:p w14:paraId="239219F7" w14:textId="77777777" w:rsidR="001B1A82" w:rsidRPr="00843205" w:rsidRDefault="000B4FDC" w:rsidP="00867899">
            <w:pPr>
              <w:pStyle w:val="FRABodyText"/>
            </w:pPr>
            <w:r w:rsidRPr="00843205">
              <w:t>The websites of the Returning Officers in the federal states (</w:t>
            </w:r>
            <w:proofErr w:type="spellStart"/>
            <w:r w:rsidRPr="00843205">
              <w:t>Landeswahlleiter</w:t>
            </w:r>
            <w:proofErr w:type="spellEnd"/>
            <w:r w:rsidRPr="00843205">
              <w:t>) are often part of the state's government websites, overviews of the election candidates and results are published on websites at various local levels. So far there is no systematic evaluation of the accessibility of information on elections. Yet, the first report of the German monitoring bodies for accessibility of public sector information technology to the EU commission from 2021 showed that compliance with the accessibility standards is not yet met completely on many websites, especially at municipal level</w:t>
            </w:r>
            <w:r w:rsidR="000B1B02" w:rsidRPr="00843205">
              <w:t>.</w:t>
            </w:r>
            <w:r w:rsidR="000B1B02" w:rsidRPr="00843205">
              <w:rPr>
                <w:rStyle w:val="FootnoteReference"/>
              </w:rPr>
              <w:footnoteReference w:id="22"/>
            </w:r>
            <w:r w:rsidRPr="00843205">
              <w:t xml:space="preserve"> </w:t>
            </w:r>
          </w:p>
        </w:tc>
      </w:tr>
      <w:bookmarkEnd w:id="2"/>
      <w:tr w:rsidR="001B1A82" w:rsidRPr="00843205" w14:paraId="0F847768"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EED49B0" w14:textId="77777777" w:rsidR="001B1A82" w:rsidRPr="00843205" w:rsidRDefault="001B1A82" w:rsidP="00867899">
            <w:pPr>
              <w:pStyle w:val="FRABodyText"/>
            </w:pPr>
            <w:r w:rsidRPr="00843205">
              <w:lastRenderedPageBreak/>
              <w:t xml:space="preserve">Are some television </w:t>
            </w:r>
            <w:proofErr w:type="spellStart"/>
            <w:r w:rsidRPr="00843205">
              <w:t>programmes</w:t>
            </w:r>
            <w:proofErr w:type="spellEnd"/>
            <w:r w:rsidRPr="00843205">
              <w:t xml:space="preserve">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30C41A" w14:textId="77777777" w:rsidR="00864956" w:rsidRPr="00843205" w:rsidRDefault="001B1A82" w:rsidP="00867899">
            <w:pPr>
              <w:pStyle w:val="FRABodyText"/>
            </w:pPr>
            <w:r w:rsidRPr="00843205">
              <w:t xml:space="preserve">Yes, some key </w:t>
            </w:r>
            <w:proofErr w:type="spellStart"/>
            <w:r w:rsidRPr="00843205">
              <w:t>programmes</w:t>
            </w:r>
            <w:proofErr w:type="spellEnd"/>
            <w:r w:rsidRPr="00843205">
              <w:t xml:space="preserve"> are subtitled </w:t>
            </w:r>
          </w:p>
          <w:p w14:paraId="69DFC0C8"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F3A05C" w14:textId="2F91C187" w:rsidR="00CC2AC3" w:rsidRPr="00295392" w:rsidRDefault="00864956" w:rsidP="00867899">
            <w:pPr>
              <w:pStyle w:val="FRABodyText"/>
            </w:pPr>
            <w:r w:rsidRPr="00843205">
              <w:t xml:space="preserve">Leading up to an election, </w:t>
            </w:r>
            <w:r w:rsidR="00CC2AC3" w:rsidRPr="00843205">
              <w:t xml:space="preserve">Public Broadcasting stations in </w:t>
            </w:r>
            <w:r w:rsidR="00CC2AC3" w:rsidRPr="00843205">
              <w:rPr>
                <w:b/>
                <w:bCs/>
              </w:rPr>
              <w:t>Germany</w:t>
            </w:r>
            <w:r w:rsidR="00CC2AC3" w:rsidRPr="00843205">
              <w:t xml:space="preserve"> are required under </w:t>
            </w:r>
            <w:proofErr w:type="spellStart"/>
            <w:r w:rsidR="00CC2AC3" w:rsidRPr="00843205">
              <w:t>Medienstaatsvertrag</w:t>
            </w:r>
            <w:proofErr w:type="spellEnd"/>
            <w:r w:rsidR="000B1B02" w:rsidRPr="00843205">
              <w:rPr>
                <w:rStyle w:val="FootnoteReference"/>
              </w:rPr>
              <w:footnoteReference w:id="23"/>
            </w:r>
            <w:r w:rsidR="00CC2AC3" w:rsidRPr="00843205">
              <w:t xml:space="preserve"> </w:t>
            </w:r>
            <w:r w:rsidR="00E3728A">
              <w:t>Article</w:t>
            </w:r>
            <w:r w:rsidR="00CC2AC3" w:rsidRPr="00843205">
              <w:t xml:space="preserve"> 68 to grant the parties in federal elections due air time. Similar provisions exist on the state level.  </w:t>
            </w:r>
          </w:p>
          <w:p w14:paraId="685BBA44" w14:textId="77777777" w:rsidR="00CC2AC3" w:rsidRPr="00843205" w:rsidRDefault="00CC2AC3" w:rsidP="00867899">
            <w:pPr>
              <w:pStyle w:val="FRABodyText"/>
            </w:pPr>
          </w:p>
          <w:p w14:paraId="2205C288" w14:textId="77777777" w:rsidR="00864956" w:rsidRPr="00843205" w:rsidRDefault="00CC2AC3" w:rsidP="00867899">
            <w:pPr>
              <w:pStyle w:val="FRABodyText"/>
            </w:pPr>
            <w:r w:rsidRPr="00843205">
              <w:t>No comprehensive overview of how accessible the</w:t>
            </w:r>
            <w:r w:rsidR="00864956" w:rsidRPr="00843205">
              <w:t xml:space="preserve">se and other more news- or education-related television </w:t>
            </w:r>
            <w:proofErr w:type="spellStart"/>
            <w:r w:rsidR="00864956" w:rsidRPr="00843205">
              <w:t>programmes</w:t>
            </w:r>
            <w:proofErr w:type="spellEnd"/>
            <w:r w:rsidR="00864956" w:rsidRPr="00843205">
              <w:t xml:space="preserve"> are concerning subtitles, German Sign Language and audio </w:t>
            </w:r>
            <w:proofErr w:type="spellStart"/>
            <w:r w:rsidR="00864956" w:rsidRPr="00843205">
              <w:t>desciption</w:t>
            </w:r>
            <w:proofErr w:type="spellEnd"/>
            <w:r w:rsidR="00864956" w:rsidRPr="00843205">
              <w:t xml:space="preserve"> could be obtained.</w:t>
            </w:r>
          </w:p>
          <w:p w14:paraId="5204B099" w14:textId="05BA1F14" w:rsidR="00864956" w:rsidRPr="00843205" w:rsidRDefault="00864956" w:rsidP="00867899">
            <w:pPr>
              <w:pStyle w:val="FRABodyText"/>
            </w:pPr>
            <w:r w:rsidRPr="00843205">
              <w:t xml:space="preserve">The </w:t>
            </w:r>
            <w:r w:rsidR="00D85EF7" w:rsidRPr="00843205">
              <w:t>German Institute for Human Rights</w:t>
            </w:r>
            <w:r w:rsidRPr="00843205">
              <w:t xml:space="preserve"> voiced the following general impression in its parallel report to the CRPD Committee in 2023, which </w:t>
            </w:r>
            <w:r w:rsidR="000073A2" w:rsidRPr="00843205">
              <w:t>as the author of this report it</w:t>
            </w:r>
            <w:r w:rsidRPr="00843205">
              <w:t xml:space="preserve"> consider</w:t>
            </w:r>
            <w:r w:rsidR="000073A2" w:rsidRPr="00843205">
              <w:t>s</w:t>
            </w:r>
            <w:r w:rsidRPr="00843205">
              <w:t xml:space="preserve"> to be representative also concerning elections.</w:t>
            </w:r>
            <w:r w:rsidR="002437C7" w:rsidRPr="00843205">
              <w:rPr>
                <w:rStyle w:val="FootnoteReference"/>
              </w:rPr>
              <w:footnoteReference w:id="24"/>
            </w:r>
          </w:p>
          <w:p w14:paraId="18F7CB94" w14:textId="77777777" w:rsidR="00864956" w:rsidRPr="00295392" w:rsidRDefault="00864956" w:rsidP="00867899">
            <w:pPr>
              <w:pStyle w:val="FRABodyText"/>
            </w:pPr>
            <w:r w:rsidRPr="00295392">
              <w:t xml:space="preserve"> </w:t>
            </w:r>
          </w:p>
          <w:p w14:paraId="7549B91D" w14:textId="77777777" w:rsidR="00B51FE6" w:rsidRPr="00843205" w:rsidRDefault="002437C7" w:rsidP="00867899">
            <w:pPr>
              <w:pStyle w:val="FRABodyText"/>
            </w:pPr>
            <w:r w:rsidRPr="00843205">
              <w:t>“</w:t>
            </w:r>
            <w:r w:rsidR="00B51FE6" w:rsidRPr="00843205">
              <w:t>Public and private media have expanded their accessible content significantly in</w:t>
            </w:r>
          </w:p>
          <w:p w14:paraId="284F9143" w14:textId="77777777" w:rsidR="001B1A82" w:rsidRPr="00843205" w:rsidRDefault="00B51FE6" w:rsidP="00867899">
            <w:pPr>
              <w:pStyle w:val="FRABodyText"/>
            </w:pPr>
            <w:r w:rsidRPr="00843205">
              <w:t>recent years. For example, more and more video-on-demand services and livestream are available with audio descriptions, subtitles and German Sign Language. The Media Amendment Treaty (Medienänderungsstaatsvertrag) which came into force in 2022 was the first to legally enshrine the term “barrier-free service” and obliges providers to persist in expanding their offerings “within the scope of what is technically and financially possible”. But with a few exceptions, these additional services do not appear in regular, linear broadcasting; they can only be enjoyed using special applications that require certain equipment and an internet connection, and are therefore not accessible for all persons with disabilities</w:t>
            </w:r>
            <w:r w:rsidR="00864956" w:rsidRPr="00843205">
              <w:t>.</w:t>
            </w:r>
            <w:r w:rsidRPr="00843205">
              <w:t xml:space="preserve"> Despite visible improvements, Germany remains far behind the requirements of Art. 21. The obligation to develop accessible services contained in the Media Amendment Treaty is essentially welcome, but lacks specific goals. Furthermore, it barely touches on linear broadcasts, especially live ones. The legal requirements governing accessible internet services are still frequently </w:t>
            </w:r>
            <w:r w:rsidRPr="00843205">
              <w:lastRenderedPageBreak/>
              <w:t>ignored, both in terms of design and in the way they are implemented by producers. This prevents many people from accessing important content, but those responsible are not at risk of sanction.</w:t>
            </w:r>
            <w:r w:rsidR="002437C7" w:rsidRPr="00843205">
              <w:t>”</w:t>
            </w:r>
          </w:p>
        </w:tc>
      </w:tr>
      <w:tr w:rsidR="001B1A82" w:rsidRPr="00843205" w14:paraId="278E3CC7"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E58FDE" w14:textId="77777777" w:rsidR="001B1A82" w:rsidRPr="00843205" w:rsidRDefault="001B1A82" w:rsidP="00867899">
            <w:pPr>
              <w:pStyle w:val="FRABodyText"/>
            </w:pPr>
            <w:r w:rsidRPr="00843205">
              <w:lastRenderedPageBreak/>
              <w:t xml:space="preserve">Do some television </w:t>
            </w:r>
            <w:proofErr w:type="spellStart"/>
            <w:r w:rsidRPr="00843205">
              <w:t>programmes</w:t>
            </w:r>
            <w:proofErr w:type="spellEnd"/>
            <w:r w:rsidRPr="00843205">
              <w:t xml:space="preserve">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CD359A" w14:textId="77777777" w:rsidR="001B1A82" w:rsidRPr="00843205" w:rsidRDefault="001B1A82" w:rsidP="00867899">
            <w:pPr>
              <w:pStyle w:val="FRABodyText"/>
            </w:pPr>
            <w:r w:rsidRPr="00843205">
              <w:t xml:space="preserve">Yes, some key </w:t>
            </w:r>
            <w:proofErr w:type="spellStart"/>
            <w:r w:rsidRPr="00843205">
              <w:t>programmes</w:t>
            </w:r>
            <w:proofErr w:type="spellEnd"/>
            <w:r w:rsidRPr="00843205">
              <w:t xml:space="preserve"> have sign language interpretation </w:t>
            </w:r>
          </w:p>
          <w:p w14:paraId="178E3BC0"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696F051" w14:textId="77777777" w:rsidR="001B1A82" w:rsidRPr="00843205" w:rsidRDefault="00864956" w:rsidP="00867899">
            <w:pPr>
              <w:pStyle w:val="FRABodyText"/>
            </w:pPr>
            <w:r w:rsidRPr="00843205">
              <w:t>Description above</w:t>
            </w:r>
          </w:p>
        </w:tc>
      </w:tr>
      <w:tr w:rsidR="001B1A82" w:rsidRPr="00843205" w14:paraId="7821E696"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BE609B" w14:textId="77777777" w:rsidR="001B1A82" w:rsidRPr="00843205" w:rsidRDefault="001B1A82" w:rsidP="00867899">
            <w:pPr>
              <w:pStyle w:val="FRABodyText"/>
            </w:pPr>
            <w:r w:rsidRPr="00843205">
              <w:t xml:space="preserve">Are some television </w:t>
            </w:r>
            <w:proofErr w:type="spellStart"/>
            <w:r w:rsidRPr="00843205">
              <w:t>programmes</w:t>
            </w:r>
            <w:proofErr w:type="spellEnd"/>
            <w:r w:rsidRPr="00843205">
              <w:t xml:space="preserve">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08CEAA2" w14:textId="77777777" w:rsidR="001B1A82" w:rsidRPr="00843205" w:rsidRDefault="001B1A82" w:rsidP="00867899">
            <w:pPr>
              <w:pStyle w:val="FRABodyText"/>
            </w:pPr>
            <w:r w:rsidRPr="00843205">
              <w:t xml:space="preserve">Yes, some key </w:t>
            </w:r>
            <w:proofErr w:type="spellStart"/>
            <w:r w:rsidRPr="00843205">
              <w:t>programmes</w:t>
            </w:r>
            <w:proofErr w:type="spellEnd"/>
            <w:r w:rsidRPr="00843205">
              <w:t xml:space="preserve"> have audio description </w:t>
            </w:r>
          </w:p>
          <w:p w14:paraId="591217E6"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2BC499" w14:textId="77777777" w:rsidR="001B1A82" w:rsidRPr="00843205" w:rsidRDefault="00864956" w:rsidP="00867899">
            <w:pPr>
              <w:pStyle w:val="FRABodyText"/>
            </w:pPr>
            <w:r w:rsidRPr="00843205">
              <w:t>Description above</w:t>
            </w:r>
          </w:p>
        </w:tc>
      </w:tr>
      <w:tr w:rsidR="001B1A82" w:rsidRPr="00843205" w14:paraId="39D06013"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9813DC" w14:textId="77777777" w:rsidR="001B1A82" w:rsidRPr="00843205" w:rsidRDefault="001B1A82" w:rsidP="00867899">
            <w:pPr>
              <w:pStyle w:val="FRABodyText"/>
            </w:pPr>
            <w:r w:rsidRPr="00843205">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03EB311" w14:textId="77777777" w:rsidR="001B1A82" w:rsidRPr="00843205" w:rsidRDefault="001B1A82" w:rsidP="00867899">
            <w:pPr>
              <w:pStyle w:val="FRABodyText"/>
            </w:pPr>
            <w:r w:rsidRPr="00843205">
              <w:t xml:space="preserve">Some political parties provided accessible manifestos </w:t>
            </w:r>
          </w:p>
          <w:p w14:paraId="70686C56"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1112549" w14:textId="77777777" w:rsidR="001B1A82" w:rsidRPr="00843205" w:rsidRDefault="001B1A82" w:rsidP="00867899">
            <w:pPr>
              <w:pStyle w:val="FRABodyText"/>
            </w:pPr>
            <w:r w:rsidRPr="00843205">
              <w:t>All parties represented in the federal parliament</w:t>
            </w:r>
            <w:r w:rsidR="00C47210" w:rsidRPr="00843205">
              <w:t xml:space="preserve"> of </w:t>
            </w:r>
            <w:r w:rsidR="00C47210" w:rsidRPr="00843205">
              <w:rPr>
                <w:b/>
                <w:bCs/>
              </w:rPr>
              <w:t>Germany</w:t>
            </w:r>
            <w:r w:rsidRPr="00843205">
              <w:t xml:space="preserve"> except for </w:t>
            </w:r>
            <w:r w:rsidR="00D85EF7" w:rsidRPr="00843205">
              <w:t>one (</w:t>
            </w:r>
            <w:proofErr w:type="spellStart"/>
            <w:r w:rsidRPr="00843205">
              <w:t>AfD</w:t>
            </w:r>
            <w:proofErr w:type="spellEnd"/>
            <w:r w:rsidR="00D85EF7" w:rsidRPr="00843205">
              <w:t>- Alternative für Deutschland)</w:t>
            </w:r>
            <w:r w:rsidRPr="00843205">
              <w:t xml:space="preserve"> have issued manifestos in easy-to-read during the 2021 federal election.</w:t>
            </w:r>
            <w:r w:rsidR="002437C7" w:rsidRPr="00843205">
              <w:rPr>
                <w:rStyle w:val="FootnoteReference"/>
              </w:rPr>
              <w:footnoteReference w:id="25"/>
            </w:r>
            <w:r w:rsidRPr="00843205">
              <w:t xml:space="preserve"> On the state level this is not standard yet. </w:t>
            </w:r>
            <w:r w:rsidR="000073A2" w:rsidRPr="00843205">
              <w:t>Also some parties followed suit in the</w:t>
            </w:r>
            <w:r w:rsidRPr="00295392">
              <w:t xml:space="preserve"> most recent state elections in Hess</w:t>
            </w:r>
            <w:r w:rsidR="00D85EF7" w:rsidRPr="00295392">
              <w:t>e</w:t>
            </w:r>
            <w:r w:rsidRPr="00843205">
              <w:t xml:space="preserve"> and Bavaria.</w:t>
            </w:r>
            <w:r w:rsidR="002437C7" w:rsidRPr="00843205">
              <w:rPr>
                <w:rStyle w:val="FootnoteReference"/>
              </w:rPr>
              <w:footnoteReference w:id="26"/>
            </w:r>
            <w:r w:rsidRPr="00843205">
              <w:t xml:space="preserve"> </w:t>
            </w:r>
          </w:p>
        </w:tc>
      </w:tr>
      <w:tr w:rsidR="001B1A82" w:rsidRPr="00843205" w14:paraId="2FF13F25"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028ACD" w14:textId="77777777" w:rsidR="001B1A82" w:rsidRPr="00843205" w:rsidRDefault="001B1A82" w:rsidP="00867899">
            <w:pPr>
              <w:pStyle w:val="FRABodyText"/>
            </w:pPr>
            <w:bookmarkStart w:id="3" w:name="_Hlk153198723"/>
            <w:r w:rsidRPr="00843205">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93A268" w14:textId="77777777" w:rsidR="001B1A82" w:rsidRPr="00843205" w:rsidRDefault="001B1A82" w:rsidP="00867899">
            <w:pPr>
              <w:pStyle w:val="FRABodyText"/>
            </w:pPr>
            <w:r w:rsidRPr="00843205">
              <w:t xml:space="preserve">Yes, covering public </w:t>
            </w:r>
            <w:r w:rsidR="002A231B" w:rsidRPr="00843205">
              <w:t>and private</w:t>
            </w:r>
          </w:p>
          <w:p w14:paraId="20CA31A5"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7DF53D2" w14:textId="4E6DBEC3" w:rsidR="000B4FDC" w:rsidRPr="00843205" w:rsidRDefault="000B4FDC" w:rsidP="00867899">
            <w:pPr>
              <w:pStyle w:val="FRABodyText"/>
              <w:rPr>
                <w:shd w:val="clear" w:color="auto" w:fill="FFFFFF"/>
              </w:rPr>
            </w:pPr>
            <w:r w:rsidRPr="00843205">
              <w:rPr>
                <w:shd w:val="clear" w:color="auto" w:fill="FFFFFF"/>
              </w:rPr>
              <w:t xml:space="preserve">The Barrier-free Information Technology Ordinance (BITV 2.0 from May 2019) in accordance with </w:t>
            </w:r>
            <w:r w:rsidR="00E3728A">
              <w:rPr>
                <w:shd w:val="clear" w:color="auto" w:fill="FFFFFF"/>
              </w:rPr>
              <w:t>Article</w:t>
            </w:r>
            <w:r w:rsidRPr="00843205">
              <w:rPr>
                <w:shd w:val="clear" w:color="auto" w:fill="FFFFFF"/>
              </w:rPr>
              <w:t xml:space="preserve"> 12d of the Federal Disability Equality Act (BGG) implements Directive (EU) 2016/2102 for public sector websites and refers to EN 301 549 v3.2.1 as harmonized norm in </w:t>
            </w:r>
            <w:r w:rsidR="00E3728A">
              <w:rPr>
                <w:shd w:val="clear" w:color="auto" w:fill="FFFFFF"/>
              </w:rPr>
              <w:t xml:space="preserve">Article </w:t>
            </w:r>
            <w:r w:rsidR="00E2076B" w:rsidRPr="00843205">
              <w:rPr>
                <w:shd w:val="clear" w:color="auto" w:fill="FFFFFF"/>
              </w:rPr>
              <w:t>3</w:t>
            </w:r>
            <w:r w:rsidRPr="00843205">
              <w:rPr>
                <w:shd w:val="clear" w:color="auto" w:fill="FFFFFF"/>
              </w:rPr>
              <w:t>.</w:t>
            </w:r>
            <w:r w:rsidR="00E2076B" w:rsidRPr="00843205">
              <w:rPr>
                <w:rStyle w:val="FootnoteReference"/>
                <w:shd w:val="clear" w:color="auto" w:fill="FFFFFF"/>
              </w:rPr>
              <w:footnoteReference w:id="27"/>
            </w:r>
            <w:r w:rsidRPr="00843205">
              <w:rPr>
                <w:shd w:val="clear" w:color="auto" w:fill="FFFFFF"/>
              </w:rPr>
              <w:t xml:space="preserve"> The federal states (Länder) </w:t>
            </w:r>
            <w:r w:rsidRPr="00843205">
              <w:rPr>
                <w:shd w:val="clear" w:color="auto" w:fill="FFFFFF"/>
              </w:rPr>
              <w:lastRenderedPageBreak/>
              <w:t xml:space="preserve">have equivalent laws or refer to the federal BITV. </w:t>
            </w:r>
            <w:r w:rsidR="001D5344" w:rsidRPr="00295392">
              <w:rPr>
                <w:shd w:val="clear" w:color="auto" w:fill="FFFFFF"/>
              </w:rPr>
              <w:t>Additionally,</w:t>
            </w:r>
            <w:r w:rsidRPr="00295392">
              <w:rPr>
                <w:shd w:val="clear" w:color="auto" w:fill="FFFFFF"/>
              </w:rPr>
              <w:t xml:space="preserve"> there is a requirement to provide certain contents in </w:t>
            </w:r>
            <w:r w:rsidRPr="00843205">
              <w:rPr>
                <w:b/>
                <w:bCs/>
                <w:shd w:val="clear" w:color="auto" w:fill="FFFFFF"/>
              </w:rPr>
              <w:t>German</w:t>
            </w:r>
            <w:r w:rsidRPr="00843205">
              <w:rPr>
                <w:shd w:val="clear" w:color="auto" w:fill="FFFFFF"/>
              </w:rPr>
              <w:t xml:space="preserve"> Sign Language and </w:t>
            </w:r>
            <w:r w:rsidR="002A231B" w:rsidRPr="00843205">
              <w:rPr>
                <w:shd w:val="clear" w:color="auto" w:fill="FFFFFF"/>
              </w:rPr>
              <w:t xml:space="preserve">Easy-to-Read </w:t>
            </w:r>
            <w:r w:rsidRPr="00843205">
              <w:rPr>
                <w:shd w:val="clear" w:color="auto" w:fill="FFFFFF"/>
              </w:rPr>
              <w:t>Language.</w:t>
            </w:r>
          </w:p>
          <w:p w14:paraId="1D9F60B4" w14:textId="77777777" w:rsidR="001B1A82" w:rsidRPr="00295392" w:rsidRDefault="002A231B" w:rsidP="00867899">
            <w:pPr>
              <w:pStyle w:val="FRABodyText"/>
              <w:rPr>
                <w:shd w:val="clear" w:color="auto" w:fill="FFFFFF"/>
              </w:rPr>
            </w:pPr>
            <w:r w:rsidRPr="00843205">
              <w:rPr>
                <w:shd w:val="clear" w:color="auto" w:fill="FFFFFF"/>
              </w:rPr>
              <w:t>Privates are only very marginally obligated</w:t>
            </w:r>
            <w:r w:rsidR="001D5344" w:rsidRPr="00843205">
              <w:rPr>
                <w:shd w:val="clear" w:color="auto" w:fill="FFFFFF"/>
              </w:rPr>
              <w:t xml:space="preserve">. </w:t>
            </w:r>
            <w:r w:rsidR="000B4FDC" w:rsidRPr="00843205">
              <w:rPr>
                <w:shd w:val="clear" w:color="auto" w:fill="FFFFFF"/>
              </w:rPr>
              <w:t xml:space="preserve">The European Accessibility Act (Directive (EU) 2019/882) was transposed into national law in July 2021 with the </w:t>
            </w:r>
            <w:proofErr w:type="spellStart"/>
            <w:r w:rsidR="000B4FDC" w:rsidRPr="00843205">
              <w:rPr>
                <w:shd w:val="clear" w:color="auto" w:fill="FFFFFF"/>
              </w:rPr>
              <w:t>Barrierefreiheitsstärkungsgesetz</w:t>
            </w:r>
            <w:proofErr w:type="spellEnd"/>
            <w:r w:rsidR="000B4FDC" w:rsidRPr="00843205">
              <w:rPr>
                <w:shd w:val="clear" w:color="auto" w:fill="FFFFFF"/>
              </w:rPr>
              <w:t xml:space="preserve"> (BFSG),</w:t>
            </w:r>
            <w:r w:rsidR="00E2076B" w:rsidRPr="00843205">
              <w:rPr>
                <w:rStyle w:val="FootnoteReference"/>
                <w:shd w:val="clear" w:color="auto" w:fill="FFFFFF"/>
              </w:rPr>
              <w:footnoteReference w:id="28"/>
            </w:r>
            <w:r w:rsidR="000B4FDC" w:rsidRPr="00843205">
              <w:rPr>
                <w:shd w:val="clear" w:color="auto" w:fill="FFFFFF"/>
              </w:rPr>
              <w:t xml:space="preserve"> defining accessibility requirements for certain products and services that are placed on the market or provided to co</w:t>
            </w:r>
            <w:r w:rsidR="000B4FDC" w:rsidRPr="00295392">
              <w:rPr>
                <w:shd w:val="clear" w:color="auto" w:fill="FFFFFF"/>
              </w:rPr>
              <w:t>nsumers after 28 June 2025</w:t>
            </w:r>
          </w:p>
          <w:p w14:paraId="064DA2D3" w14:textId="77777777" w:rsidR="002A231B" w:rsidRPr="00843205" w:rsidRDefault="002A231B" w:rsidP="00867899">
            <w:pPr>
              <w:pStyle w:val="FRABodyText"/>
              <w:rPr>
                <w:shd w:val="clear" w:color="auto" w:fill="FFFFFF"/>
              </w:rPr>
            </w:pPr>
          </w:p>
          <w:p w14:paraId="6B6C2C6D" w14:textId="633C221E" w:rsidR="002A231B" w:rsidRPr="00843205" w:rsidRDefault="002A231B" w:rsidP="00867899">
            <w:pPr>
              <w:pStyle w:val="FRABodyText"/>
            </w:pPr>
            <w:r w:rsidRPr="00843205">
              <w:t xml:space="preserve">The Act limits itself to the absolute minimum requirements of the EAA. The leeway that does exist to extend accessibility beyond that (such as in health services, services in the education sector, household appliances or by including the structural environment in which appliances are used) </w:t>
            </w:r>
            <w:r w:rsidRPr="005357FC">
              <w:t xml:space="preserve">was not </w:t>
            </w:r>
            <w:r w:rsidR="00633376" w:rsidRPr="00843205">
              <w:t>utilized.</w:t>
            </w:r>
            <w:r w:rsidRPr="00843205">
              <w:t xml:space="preserve"> of. Legal enforcement is undermined by long transition periods, far-reaching exceptions and weak sanctions. </w:t>
            </w:r>
          </w:p>
        </w:tc>
      </w:tr>
      <w:tr w:rsidR="001B1A82" w:rsidRPr="00843205" w14:paraId="3FF7D6D3"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510377F" w14:textId="77777777" w:rsidR="001B1A82" w:rsidRPr="00843205" w:rsidRDefault="001B1A82" w:rsidP="00867899">
            <w:pPr>
              <w:pStyle w:val="FRABodyText"/>
            </w:pPr>
            <w:bookmarkStart w:id="4" w:name="_Hlk153198748"/>
            <w:bookmarkEnd w:id="3"/>
            <w:r w:rsidRPr="00843205">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A2DE0CB" w14:textId="77777777" w:rsidR="001B1A82" w:rsidRPr="00843205" w:rsidRDefault="001B1A82" w:rsidP="00867899">
            <w:pPr>
              <w:pStyle w:val="FRABodyText"/>
            </w:pPr>
            <w:r w:rsidRPr="00843205">
              <w:t xml:space="preserve">Yes, </w:t>
            </w:r>
            <w:r w:rsidR="005951BE" w:rsidRPr="00843205">
              <w:t>for public and private</w:t>
            </w:r>
            <w:r w:rsidRPr="00843205">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D15CDE5" w14:textId="14F5CC97" w:rsidR="000B4FDC" w:rsidRPr="00843205" w:rsidRDefault="00C47210" w:rsidP="00867899">
            <w:pPr>
              <w:pStyle w:val="FRABodyText"/>
            </w:pPr>
            <w:r w:rsidRPr="00843205">
              <w:t xml:space="preserve">In </w:t>
            </w:r>
            <w:r w:rsidRPr="00843205">
              <w:rPr>
                <w:b/>
                <w:bCs/>
              </w:rPr>
              <w:t>Germany</w:t>
            </w:r>
            <w:r w:rsidRPr="00843205">
              <w:t>, t</w:t>
            </w:r>
            <w:r w:rsidR="000B4FDC" w:rsidRPr="00843205">
              <w:t>he Second Interstate Media Amendment</w:t>
            </w:r>
            <w:r w:rsidR="00E2076B" w:rsidRPr="00843205">
              <w:rPr>
                <w:rStyle w:val="FootnoteReference"/>
              </w:rPr>
              <w:footnoteReference w:id="29"/>
            </w:r>
            <w:r w:rsidR="000B4FDC" w:rsidRPr="00843205">
              <w:t xml:space="preserve"> came into force on 30 June 2022, implementing Directive (EU) 2019/882 on accessibility requirements for products and services. </w:t>
            </w:r>
            <w:r w:rsidR="00E3728A">
              <w:t>Article</w:t>
            </w:r>
            <w:r w:rsidR="000B4FDC" w:rsidRPr="00843205">
              <w:t xml:space="preserve"> 7 demands that the state broadcasting </w:t>
            </w:r>
            <w:proofErr w:type="spellStart"/>
            <w:r w:rsidR="000B4FDC" w:rsidRPr="00843205">
              <w:t>organisations</w:t>
            </w:r>
            <w:proofErr w:type="spellEnd"/>
            <w:r w:rsidR="000B4FDC" w:rsidRPr="00843205">
              <w:t xml:space="preserve"> that are part of ARD, ZDF, </w:t>
            </w:r>
            <w:proofErr w:type="spellStart"/>
            <w:r w:rsidR="000B4FDC" w:rsidRPr="00843205">
              <w:t>Deutschlandradio</w:t>
            </w:r>
            <w:proofErr w:type="spellEnd"/>
            <w:r w:rsidR="000B4FDC" w:rsidRPr="00843205">
              <w:t xml:space="preserve"> and all </w:t>
            </w:r>
            <w:proofErr w:type="spellStart"/>
            <w:r w:rsidR="000B4FDC" w:rsidRPr="00843205">
              <w:t>organisers</w:t>
            </w:r>
            <w:proofErr w:type="spellEnd"/>
            <w:r w:rsidR="000B4FDC" w:rsidRPr="00843205">
              <w:t xml:space="preserve"> of nationwi</w:t>
            </w:r>
            <w:r w:rsidR="000B4FDC" w:rsidRPr="00295392">
              <w:t xml:space="preserve">de private broadcasting </w:t>
            </w:r>
            <w:proofErr w:type="spellStart"/>
            <w:r w:rsidR="000B4FDC" w:rsidRPr="00295392">
              <w:t>programmes</w:t>
            </w:r>
            <w:proofErr w:type="spellEnd"/>
            <w:r w:rsidR="000B4FDC" w:rsidRPr="00295392">
              <w:t xml:space="preserve"> should include accessible </w:t>
            </w:r>
            <w:proofErr w:type="spellStart"/>
            <w:r w:rsidR="000B4FDC" w:rsidRPr="00295392">
              <w:t>programmes</w:t>
            </w:r>
            <w:proofErr w:type="spellEnd"/>
            <w:r w:rsidR="000B4FDC" w:rsidRPr="00295392">
              <w:t xml:space="preserve"> within the scope of their technical and financial possibilities and steadily and gradually expand the scope of such </w:t>
            </w:r>
            <w:proofErr w:type="spellStart"/>
            <w:r w:rsidR="000B4FDC" w:rsidRPr="00295392">
              <w:t>programmes</w:t>
            </w:r>
            <w:proofErr w:type="spellEnd"/>
            <w:r w:rsidR="000B4FDC" w:rsidRPr="00295392">
              <w:t>. Additionally, private and public providers have to repor</w:t>
            </w:r>
            <w:r w:rsidR="000B4FDC" w:rsidRPr="00843205">
              <w:t xml:space="preserve">t about the accessibility of their </w:t>
            </w:r>
            <w:proofErr w:type="spellStart"/>
            <w:r w:rsidR="000B4FDC" w:rsidRPr="00843205">
              <w:t>programmes</w:t>
            </w:r>
            <w:proofErr w:type="spellEnd"/>
            <w:r w:rsidR="000B4FDC" w:rsidRPr="00843205">
              <w:t>, action plans of planned measures and progress made to the relevant state media authority or their respective supervisory bodies at least every three years. </w:t>
            </w:r>
          </w:p>
          <w:p w14:paraId="4888B796" w14:textId="77777777" w:rsidR="001B1A82" w:rsidRPr="00843205" w:rsidRDefault="001B1A82" w:rsidP="00867899">
            <w:pPr>
              <w:pStyle w:val="FRABodyText"/>
            </w:pPr>
          </w:p>
        </w:tc>
      </w:tr>
      <w:bookmarkEnd w:id="4"/>
      <w:tr w:rsidR="001B1A82" w:rsidRPr="00843205" w14:paraId="3203E6FE"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F9349F" w14:textId="77777777" w:rsidR="001B1A82" w:rsidRPr="00843205" w:rsidRDefault="001B1A82" w:rsidP="00867899">
            <w:pPr>
              <w:pStyle w:val="FRABodyText"/>
            </w:pPr>
            <w:r w:rsidRPr="00843205">
              <w:lastRenderedPageBreak/>
              <w:t>Are there mandatory accessibility standards for national and local authority buildings in the election context?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06474AD" w14:textId="77777777" w:rsidR="001B1A82" w:rsidRPr="00843205" w:rsidRDefault="001B1A82" w:rsidP="00867899">
            <w:pPr>
              <w:pStyle w:val="FRABodyText"/>
            </w:pPr>
            <w:r w:rsidRPr="00843205">
              <w:t xml:space="preserve">No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DD0489" w14:textId="523C773F" w:rsidR="004423AD" w:rsidRPr="00295392" w:rsidRDefault="00C47210" w:rsidP="00867899">
            <w:pPr>
              <w:pStyle w:val="FRABodyText"/>
            </w:pPr>
            <w:r w:rsidRPr="00843205">
              <w:t xml:space="preserve">In </w:t>
            </w:r>
            <w:r w:rsidRPr="00843205">
              <w:rPr>
                <w:b/>
                <w:bCs/>
              </w:rPr>
              <w:t>Germany</w:t>
            </w:r>
            <w:r w:rsidRPr="00843205">
              <w:t xml:space="preserve">, </w:t>
            </w:r>
            <w:r w:rsidR="00D85EF7" w:rsidRPr="00843205">
              <w:t>g</w:t>
            </w:r>
            <w:r w:rsidR="001B1A82" w:rsidRPr="00843205">
              <w:t xml:space="preserve">eneral provisions for public buildings exist in the federal equality law </w:t>
            </w:r>
            <w:r w:rsidR="00E3728A">
              <w:t xml:space="preserve">Article </w:t>
            </w:r>
            <w:r w:rsidR="001B1A82" w:rsidRPr="00843205">
              <w:t xml:space="preserve">8 </w:t>
            </w:r>
            <w:r w:rsidR="00E3728A">
              <w:t>(</w:t>
            </w:r>
            <w:r w:rsidR="001B1A82" w:rsidRPr="00843205">
              <w:t>1</w:t>
            </w:r>
            <w:r w:rsidR="00E3728A">
              <w:t>)</w:t>
            </w:r>
            <w:r w:rsidR="001B1A82" w:rsidRPr="00843205">
              <w:t xml:space="preserve">. though being of weak mandatory character and offering several opportunities for circumvention. The </w:t>
            </w:r>
            <w:r w:rsidR="00D85EF7" w:rsidRPr="00843205">
              <w:t>German Institute for Human Rights</w:t>
            </w:r>
            <w:r w:rsidR="001B1A82" w:rsidRPr="00843205">
              <w:t xml:space="preserve"> concluded in 2023 that significant changes in the legislation would be necessary to ensure accessibility in the future.</w:t>
            </w:r>
            <w:r w:rsidR="00E2076B" w:rsidRPr="00843205">
              <w:rPr>
                <w:rStyle w:val="FootnoteReference"/>
              </w:rPr>
              <w:footnoteReference w:id="30"/>
            </w:r>
            <w:r w:rsidR="001B1A82" w:rsidRPr="00843205">
              <w:t xml:space="preserve"> </w:t>
            </w:r>
            <w:r w:rsidR="004423AD" w:rsidRPr="00843205">
              <w:t xml:space="preserve">Since 2022 </w:t>
            </w:r>
            <w:r w:rsidR="00E3728A">
              <w:t>Article</w:t>
            </w:r>
            <w:r w:rsidR="004423AD" w:rsidRPr="00843205">
              <w:t xml:space="preserve"> 12e-12l BGG grant universal access to assistance dogs to buildings open to the pub</w:t>
            </w:r>
            <w:r w:rsidR="004423AD" w:rsidRPr="00295392">
              <w:t>lic.</w:t>
            </w:r>
          </w:p>
        </w:tc>
      </w:tr>
      <w:tr w:rsidR="001B1A82" w:rsidRPr="00843205" w14:paraId="73608D5C"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AC17557" w14:textId="77777777" w:rsidR="001B1A82" w:rsidRPr="00843205" w:rsidRDefault="001B1A82" w:rsidP="00867899">
            <w:pPr>
              <w:pStyle w:val="FRABodyText"/>
            </w:pPr>
            <w:r w:rsidRPr="00843205">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BF66FE" w14:textId="77777777" w:rsidR="001B1A82" w:rsidRPr="00843205" w:rsidRDefault="001B1A82" w:rsidP="00867899">
            <w:pPr>
              <w:pStyle w:val="FRABodyText"/>
            </w:pPr>
            <w:r w:rsidRPr="00843205">
              <w:t xml:space="preserve">No legal standards </w:t>
            </w:r>
          </w:p>
          <w:p w14:paraId="2BDEF6B1"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3AAA4AB" w14:textId="27A4FA6E" w:rsidR="001B1A82" w:rsidRPr="00295392" w:rsidRDefault="001B1A82" w:rsidP="00867899">
            <w:pPr>
              <w:pStyle w:val="FRABodyText"/>
            </w:pPr>
            <w:r w:rsidRPr="00843205">
              <w:t xml:space="preserve">Neither the </w:t>
            </w:r>
            <w:r w:rsidR="00C47210" w:rsidRPr="00843205">
              <w:rPr>
                <w:b/>
                <w:bCs/>
              </w:rPr>
              <w:t xml:space="preserve">German </w:t>
            </w:r>
            <w:r w:rsidRPr="00843205">
              <w:t>national law on the act of voting (</w:t>
            </w:r>
            <w:r w:rsidR="005F3011">
              <w:t>Federal Elections Act</w:t>
            </w:r>
            <w:r w:rsidRPr="00843205">
              <w:t>), nor its executive direction (</w:t>
            </w:r>
            <w:r w:rsidR="005F3011">
              <w:t>Federal Electoral Regulations</w:t>
            </w:r>
            <w:r w:rsidRPr="00843205">
              <w:t xml:space="preserve">) issue a mandatory standard on polling stations. Article 46 BWO and Article 39 (1) </w:t>
            </w:r>
            <w:proofErr w:type="spellStart"/>
            <w:r w:rsidRPr="00843205">
              <w:t>EuWO</w:t>
            </w:r>
            <w:proofErr w:type="spellEnd"/>
            <w:r w:rsidRPr="00843205">
              <w:t xml:space="preserve"> state that efforts should be made to allow for access of the ballot rooms by everybody, especially persons with disabilities. Local authorities have to announce which polling stations are barrier-free in good time before the election. </w:t>
            </w:r>
            <w:r w:rsidR="001D5344" w:rsidRPr="005357FC">
              <w:t>Article</w:t>
            </w:r>
            <w:r w:rsidRPr="005357FC">
              <w:t xml:space="preserve">19 </w:t>
            </w:r>
            <w:r w:rsidR="001D5344" w:rsidRPr="005357FC">
              <w:t>(</w:t>
            </w:r>
            <w:r w:rsidR="00843205" w:rsidRPr="005357FC">
              <w:t>1</w:t>
            </w:r>
            <w:r w:rsidR="001D5344" w:rsidRPr="005357FC">
              <w:t>)</w:t>
            </w:r>
            <w:r w:rsidR="00843205" w:rsidRPr="005357FC">
              <w:t xml:space="preserve"> no. 2</w:t>
            </w:r>
            <w:r w:rsidR="001D5344" w:rsidRPr="005357FC">
              <w:t xml:space="preserve"> and</w:t>
            </w:r>
            <w:r w:rsidRPr="005357FC">
              <w:t xml:space="preserve"> 7</w:t>
            </w:r>
            <w:r w:rsidRPr="00843205">
              <w:t xml:space="preserve"> BWO specify the obligation of the state to inform about the accessibility of the assigned polling stations and where information about accessible alternatives is available.</w:t>
            </w:r>
          </w:p>
          <w:p w14:paraId="647BE8B8" w14:textId="77777777" w:rsidR="001B1A82" w:rsidRPr="00843205" w:rsidRDefault="001B1A82" w:rsidP="00867899">
            <w:pPr>
              <w:pStyle w:val="FRABodyText"/>
            </w:pPr>
          </w:p>
          <w:p w14:paraId="009BC851" w14:textId="7F280CBF" w:rsidR="001B1A82" w:rsidRPr="00843205" w:rsidRDefault="001B1A82" w:rsidP="00867899">
            <w:pPr>
              <w:pStyle w:val="FRABodyText"/>
            </w:pPr>
            <w:r w:rsidRPr="00843205">
              <w:t>- There is no uniform federal regulation regarding referendums. Rules for referendums are codified in the constitutions and in separate laws of the different states</w:t>
            </w:r>
            <w:r w:rsidR="00937B17" w:rsidRPr="00843205">
              <w:t xml:space="preserve"> (see for example Article 29 </w:t>
            </w:r>
            <w:r w:rsidR="00E3728A">
              <w:t>(</w:t>
            </w:r>
            <w:r w:rsidR="00937B17" w:rsidRPr="00843205">
              <w:t>6</w:t>
            </w:r>
            <w:r w:rsidR="00E3728A">
              <w:t>)</w:t>
            </w:r>
            <w:r w:rsidR="00937B17" w:rsidRPr="00843205">
              <w:t xml:space="preserve"> German constitutional law).</w:t>
            </w:r>
          </w:p>
        </w:tc>
      </w:tr>
      <w:tr w:rsidR="001B1A82" w:rsidRPr="00843205" w14:paraId="5AF54E61" w14:textId="77777777" w:rsidTr="03479D5D">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A1BFCA1" w14:textId="77777777" w:rsidR="001B1A82" w:rsidRPr="00843205" w:rsidRDefault="001B1A82" w:rsidP="00867899">
            <w:pPr>
              <w:pStyle w:val="FRABodyText"/>
            </w:pPr>
            <w:r w:rsidRPr="00843205">
              <w:t>Is data available on the proportion of polling stations that are accessible to persons with disabilities?</w:t>
            </w:r>
          </w:p>
          <w:p w14:paraId="7EB79BC1" w14:textId="77777777" w:rsidR="001B1A82" w:rsidRPr="00843205" w:rsidRDefault="001B1A82" w:rsidP="00867899">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DF3133" w14:textId="77777777" w:rsidR="001B1A82" w:rsidRPr="00843205" w:rsidRDefault="001B1A82" w:rsidP="00867899">
            <w:pPr>
              <w:pStyle w:val="FRABodyText"/>
            </w:pPr>
            <w:r w:rsidRPr="00843205">
              <w:t xml:space="preserve">Some official data available </w:t>
            </w:r>
          </w:p>
          <w:p w14:paraId="616F558E"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732153C" w14:textId="36F73ABF" w:rsidR="001B1A82" w:rsidRPr="00295392" w:rsidRDefault="001B1A82" w:rsidP="00867899">
            <w:pPr>
              <w:pStyle w:val="FRABodyText"/>
            </w:pPr>
            <w:r w:rsidRPr="00843205">
              <w:t>There is a general lack of data concerning the access</w:t>
            </w:r>
            <w:r w:rsidR="00D85EF7" w:rsidRPr="00843205">
              <w:t>i</w:t>
            </w:r>
            <w:r w:rsidRPr="00843205">
              <w:t>bility of polling stations</w:t>
            </w:r>
            <w:r w:rsidR="00C47210" w:rsidRPr="00843205">
              <w:t xml:space="preserve"> in </w:t>
            </w:r>
            <w:r w:rsidR="00C47210" w:rsidRPr="00843205">
              <w:rPr>
                <w:b/>
                <w:bCs/>
              </w:rPr>
              <w:t>Germany</w:t>
            </w:r>
            <w:r w:rsidRPr="00843205">
              <w:t xml:space="preserve">. As </w:t>
            </w:r>
            <w:r w:rsidR="008427A4" w:rsidRPr="005357FC">
              <w:t>the states and local authorities are responsible for the execution of the election process,</w:t>
            </w:r>
            <w:r w:rsidR="008427A4" w:rsidRPr="00843205">
              <w:t xml:space="preserve"> </w:t>
            </w:r>
            <w:r w:rsidRPr="00843205">
              <w:t>two problems arise</w:t>
            </w:r>
            <w:r w:rsidR="00D85EF7" w:rsidRPr="005357FC">
              <w:t>:</w:t>
            </w:r>
            <w:r w:rsidRPr="005357FC">
              <w:t xml:space="preserve"> </w:t>
            </w:r>
            <w:r w:rsidR="008427A4" w:rsidRPr="005357FC">
              <w:t>There are only scattered data a</w:t>
            </w:r>
            <w:r w:rsidRPr="005357FC">
              <w:t>vailable</w:t>
            </w:r>
            <w:r w:rsidRPr="00843205">
              <w:t xml:space="preserve"> </w:t>
            </w:r>
            <w:r w:rsidR="008427A4" w:rsidRPr="005357FC">
              <w:t>and</w:t>
            </w:r>
            <w:r w:rsidRPr="00843205">
              <w:t xml:space="preserve"> very different concepts of accessibility appear to be applied. Where some official data </w:t>
            </w:r>
            <w:r w:rsidR="008427A4" w:rsidRPr="005357FC">
              <w:t>are</w:t>
            </w:r>
            <w:r w:rsidRPr="00843205">
              <w:t xml:space="preserve"> </w:t>
            </w:r>
            <w:r w:rsidRPr="005357FC">
              <w:t xml:space="preserve">available </w:t>
            </w:r>
            <w:r w:rsidR="008427A4" w:rsidRPr="005357FC">
              <w:t xml:space="preserve">they suggest </w:t>
            </w:r>
            <w:r w:rsidRPr="005357FC">
              <w:t xml:space="preserve">a serious lack </w:t>
            </w:r>
            <w:r w:rsidR="008427A4" w:rsidRPr="005357FC">
              <w:t xml:space="preserve">of </w:t>
            </w:r>
            <w:r w:rsidRPr="005357FC">
              <w:t>accessible</w:t>
            </w:r>
            <w:r w:rsidRPr="00843205">
              <w:t xml:space="preserve"> polling stations. Some examples from elections in past years: </w:t>
            </w:r>
          </w:p>
          <w:p w14:paraId="276560CF" w14:textId="77777777" w:rsidR="001B1A82" w:rsidRPr="00843205" w:rsidRDefault="001B1A82" w:rsidP="00867899">
            <w:pPr>
              <w:pStyle w:val="FRABodyText"/>
            </w:pPr>
            <w:r w:rsidRPr="00843205">
              <w:lastRenderedPageBreak/>
              <w:t>-</w:t>
            </w:r>
            <w:r w:rsidRPr="00843205">
              <w:rPr>
                <w:b/>
                <w:bCs/>
              </w:rPr>
              <w:t>Th</w:t>
            </w:r>
            <w:r w:rsidR="00D85EF7" w:rsidRPr="00843205">
              <w:rPr>
                <w:b/>
                <w:bCs/>
              </w:rPr>
              <w:t>u</w:t>
            </w:r>
            <w:r w:rsidRPr="00843205">
              <w:rPr>
                <w:b/>
                <w:bCs/>
              </w:rPr>
              <w:t>ring</w:t>
            </w:r>
            <w:r w:rsidR="00E2076B" w:rsidRPr="00843205">
              <w:rPr>
                <w:b/>
                <w:bCs/>
              </w:rPr>
              <w:t>ia</w:t>
            </w:r>
            <w:r w:rsidRPr="00843205">
              <w:rPr>
                <w:b/>
                <w:bCs/>
              </w:rPr>
              <w:t>:</w:t>
            </w:r>
            <w:r w:rsidRPr="00843205">
              <w:t xml:space="preserve"> 55% accessible.</w:t>
            </w:r>
            <w:r w:rsidR="00E2076B" w:rsidRPr="00843205">
              <w:rPr>
                <w:rStyle w:val="FootnoteReference"/>
              </w:rPr>
              <w:footnoteReference w:id="31"/>
            </w:r>
            <w:r w:rsidRPr="00843205">
              <w:t xml:space="preserve"> </w:t>
            </w:r>
          </w:p>
          <w:p w14:paraId="773FC002" w14:textId="77777777" w:rsidR="001B1A82" w:rsidRPr="00843205" w:rsidRDefault="001B1A82" w:rsidP="00867899">
            <w:pPr>
              <w:pStyle w:val="FRABodyText"/>
            </w:pPr>
            <w:r w:rsidRPr="00295392">
              <w:t>-</w:t>
            </w:r>
            <w:r w:rsidRPr="00295392">
              <w:rPr>
                <w:b/>
                <w:bCs/>
              </w:rPr>
              <w:t>Saxony-Anhalt</w:t>
            </w:r>
            <w:r w:rsidRPr="00843205">
              <w:t>: 60,9% according to the state com</w:t>
            </w:r>
            <w:r w:rsidR="00D85EF7" w:rsidRPr="00843205">
              <w:t>m</w:t>
            </w:r>
            <w:r w:rsidRPr="00843205">
              <w:t>issioner for the election (</w:t>
            </w:r>
            <w:proofErr w:type="spellStart"/>
            <w:r w:rsidRPr="00843205">
              <w:t>Landeswahlleiter</w:t>
            </w:r>
            <w:proofErr w:type="spellEnd"/>
            <w:r w:rsidRPr="00843205">
              <w:t>)</w:t>
            </w:r>
            <w:r w:rsidR="00E2076B" w:rsidRPr="00843205">
              <w:t>.</w:t>
            </w:r>
            <w:r w:rsidR="00E2076B" w:rsidRPr="00843205">
              <w:rPr>
                <w:rStyle w:val="FootnoteReference"/>
              </w:rPr>
              <w:footnoteReference w:id="32"/>
            </w:r>
          </w:p>
          <w:p w14:paraId="63B6129F" w14:textId="77777777" w:rsidR="001B1A82" w:rsidRPr="00843205" w:rsidRDefault="001B1A82" w:rsidP="00867899">
            <w:pPr>
              <w:pStyle w:val="FRABodyText"/>
            </w:pPr>
            <w:r w:rsidRPr="00295392">
              <w:t>-</w:t>
            </w:r>
            <w:r w:rsidRPr="00295392">
              <w:rPr>
                <w:b/>
                <w:bCs/>
              </w:rPr>
              <w:t>Hamburg</w:t>
            </w:r>
            <w:r w:rsidRPr="00843205">
              <w:t xml:space="preserve"> 24% accessible polling stations, though significantly more are labeled as </w:t>
            </w:r>
            <w:r w:rsidR="00C47210" w:rsidRPr="00843205">
              <w:t>“</w:t>
            </w:r>
            <w:r w:rsidRPr="00843205">
              <w:t>partly accessible</w:t>
            </w:r>
            <w:r w:rsidR="00C47210" w:rsidRPr="00843205">
              <w:t>”</w:t>
            </w:r>
            <w:r w:rsidRPr="00843205">
              <w:t>.</w:t>
            </w:r>
            <w:r w:rsidR="00E2076B" w:rsidRPr="00843205">
              <w:rPr>
                <w:rStyle w:val="FootnoteReference"/>
              </w:rPr>
              <w:footnoteReference w:id="33"/>
            </w:r>
          </w:p>
        </w:tc>
      </w:tr>
      <w:tr w:rsidR="001B1A82" w:rsidRPr="00843205" w14:paraId="15D39BAA" w14:textId="77777777" w:rsidTr="03479D5D">
        <w:trPr>
          <w:trHeight w:val="1597"/>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CCB94E" w14:textId="77777777" w:rsidR="001B1A82" w:rsidRPr="00843205" w:rsidRDefault="001B1A82" w:rsidP="00867899">
            <w:pPr>
              <w:pStyle w:val="FRABodyText"/>
            </w:pPr>
            <w:r w:rsidRPr="00843205">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EDA58D" w14:textId="77777777" w:rsidR="001B1A82" w:rsidRPr="00843205" w:rsidRDefault="001B1A82" w:rsidP="00867899">
            <w:pPr>
              <w:pStyle w:val="FRABodyText"/>
              <w:rPr>
                <w:bCs/>
              </w:rPr>
            </w:pPr>
            <w:r w:rsidRPr="00843205">
              <w:t xml:space="preserve">Some official data available </w:t>
            </w:r>
          </w:p>
          <w:p w14:paraId="26F4DF40" w14:textId="77777777" w:rsidR="001B1A82" w:rsidRPr="00843205" w:rsidRDefault="001B1A82" w:rsidP="00867899">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B25699A" w14:textId="11A7A872" w:rsidR="001B1A82" w:rsidRPr="00843205" w:rsidRDefault="001B1A82" w:rsidP="00867899">
            <w:pPr>
              <w:pStyle w:val="FRABodyText"/>
            </w:pPr>
            <w:r w:rsidRPr="00843205">
              <w:t xml:space="preserve">There </w:t>
            </w:r>
            <w:r w:rsidR="008427A4" w:rsidRPr="005357FC">
              <w:t>are</w:t>
            </w:r>
            <w:r w:rsidRPr="00843205">
              <w:t xml:space="preserve"> some data available. </w:t>
            </w:r>
            <w:r w:rsidR="00E3728A">
              <w:t xml:space="preserve">Article </w:t>
            </w:r>
            <w:r w:rsidRPr="00843205">
              <w:t xml:space="preserve">8 </w:t>
            </w:r>
            <w:r w:rsidR="00E3728A">
              <w:t>(</w:t>
            </w:r>
            <w:r w:rsidRPr="00843205">
              <w:t>3</w:t>
            </w:r>
            <w:r w:rsidR="00E3728A">
              <w:t>)</w:t>
            </w:r>
            <w:r w:rsidRPr="00843205">
              <w:t xml:space="preserve"> of the federal equality law had obligated all federal institutions to report on the accessibility of their buildings and measures to ensure ac</w:t>
            </w:r>
            <w:r w:rsidR="00D85EF7" w:rsidRPr="00843205">
              <w:t>cess</w:t>
            </w:r>
            <w:r w:rsidRPr="00295392">
              <w:t>ibility until 30 June 2021</w:t>
            </w:r>
            <w:r w:rsidRPr="00843205">
              <w:t xml:space="preserve">. </w:t>
            </w:r>
            <w:r w:rsidRPr="005357FC">
              <w:t>I</w:t>
            </w:r>
            <w:r w:rsidR="008427A4" w:rsidRPr="005357FC">
              <w:t>t</w:t>
            </w:r>
            <w:r w:rsidRPr="00843205">
              <w:t xml:space="preserve"> revealed still great prevalence of barriers for people with impairments.</w:t>
            </w:r>
            <w:r w:rsidR="00C47210" w:rsidRPr="00843205">
              <w:rPr>
                <w:rStyle w:val="FootnoteReference"/>
              </w:rPr>
              <w:footnoteReference w:id="34"/>
            </w:r>
            <w:r w:rsidRPr="00843205">
              <w:t xml:space="preserve"> The federal government acknowledged that the process still </w:t>
            </w:r>
            <w:r w:rsidR="005B5F3A" w:rsidRPr="00843205">
              <w:t xml:space="preserve">required </w:t>
            </w:r>
            <w:r w:rsidRPr="00295392">
              <w:t>“more consequent continuation</w:t>
            </w:r>
            <w:r w:rsidR="005B5F3A" w:rsidRPr="00295392">
              <w:t>”</w:t>
            </w:r>
            <w:r w:rsidRPr="00843205">
              <w:t>.</w:t>
            </w:r>
            <w:r w:rsidR="005B5F3A" w:rsidRPr="00843205">
              <w:rPr>
                <w:rStyle w:val="FootnoteReference"/>
              </w:rPr>
              <w:footnoteReference w:id="35"/>
            </w:r>
          </w:p>
          <w:p w14:paraId="0550FA23" w14:textId="77777777" w:rsidR="001B1A82" w:rsidRPr="00295392" w:rsidRDefault="001B1A82" w:rsidP="00867899">
            <w:pPr>
              <w:pStyle w:val="FRABodyText"/>
            </w:pPr>
          </w:p>
          <w:p w14:paraId="0E98C53E" w14:textId="67F5DA67" w:rsidR="001B1A82" w:rsidRPr="00843205" w:rsidRDefault="001B1A82" w:rsidP="00867899">
            <w:pPr>
              <w:pStyle w:val="FRABodyText"/>
            </w:pPr>
            <w:r w:rsidRPr="00295392">
              <w:t xml:space="preserve">On the state level, similar efforts can be observed, but data </w:t>
            </w:r>
            <w:r w:rsidR="008427A4" w:rsidRPr="005357FC">
              <w:t>are</w:t>
            </w:r>
            <w:r w:rsidRPr="00843205">
              <w:t xml:space="preserve"> still far from comprehe</w:t>
            </w:r>
            <w:r w:rsidR="00D85EF7" w:rsidRPr="00295392">
              <w:t>n</w:t>
            </w:r>
            <w:r w:rsidRPr="00295392">
              <w:t>sive.</w:t>
            </w:r>
          </w:p>
        </w:tc>
      </w:tr>
    </w:tbl>
    <w:p w14:paraId="72078ED0" w14:textId="77777777" w:rsidR="00F64505" w:rsidRPr="00843205" w:rsidRDefault="00F64505" w:rsidP="00F64505">
      <w:pPr>
        <w:tabs>
          <w:tab w:val="left" w:pos="4584"/>
        </w:tabs>
        <w:sectPr w:rsidR="00F64505" w:rsidRPr="00843205" w:rsidSect="00A54D6E">
          <w:pgSz w:w="16838" w:h="11906" w:orient="landscape" w:code="9"/>
          <w:pgMar w:top="1701" w:right="1701" w:bottom="1701" w:left="1134" w:header="851" w:footer="567" w:gutter="0"/>
          <w:cols w:space="708"/>
          <w:docGrid w:linePitch="360"/>
        </w:sectPr>
      </w:pPr>
      <w:r w:rsidRPr="00843205">
        <w:lastRenderedPageBreak/>
        <w:tab/>
      </w:r>
    </w:p>
    <w:p w14:paraId="26FEBB66" w14:textId="77777777" w:rsidR="00713152" w:rsidRPr="00843205" w:rsidRDefault="00713152" w:rsidP="00713152">
      <w:pPr>
        <w:pStyle w:val="HeadingNumbered1"/>
      </w:pPr>
      <w:bookmarkStart w:id="5" w:name="_Toc1607741523"/>
      <w:r w:rsidRPr="00843205">
        <w:lastRenderedPageBreak/>
        <w:t xml:space="preserve">Political participation of persons with disabilities </w:t>
      </w:r>
      <w:r w:rsidR="00A652A4" w:rsidRPr="00843205">
        <w:t>in practice</w:t>
      </w:r>
      <w:bookmarkEnd w:id="5"/>
    </w:p>
    <w:p w14:paraId="1567F905" w14:textId="77777777" w:rsidR="007361B4" w:rsidRPr="00843205" w:rsidRDefault="007361B4" w:rsidP="0074155B">
      <w:pPr>
        <w:pStyle w:val="HeadingNumbered2"/>
      </w:pPr>
      <w:bookmarkStart w:id="6" w:name="_Toc1363565999"/>
      <w:r w:rsidRPr="00843205">
        <w:t>Positive and negative key development as regards political participation of persons with disabilities</w:t>
      </w:r>
      <w:bookmarkEnd w:id="6"/>
    </w:p>
    <w:p w14:paraId="50C8FACC" w14:textId="77777777" w:rsidR="000073A2" w:rsidRPr="00843205" w:rsidRDefault="000073A2" w:rsidP="00867899">
      <w:pPr>
        <w:pStyle w:val="FRABodyText"/>
      </w:pPr>
      <w:r w:rsidRPr="00843205">
        <w:t xml:space="preserve">The 2019 ruling by the constitutional court declaring the deprivation of the right to vote unconstitutional (see description above) </w:t>
      </w:r>
    </w:p>
    <w:p w14:paraId="494A56F9" w14:textId="77777777" w:rsidR="6BE79646" w:rsidRPr="00843205" w:rsidRDefault="00186B44" w:rsidP="2D031D61">
      <w:pPr>
        <w:pStyle w:val="HeadingNumbered2"/>
      </w:pPr>
      <w:bookmarkStart w:id="7" w:name="_Toc299275285"/>
      <w:r w:rsidRPr="00843205">
        <w:t>Political participation: Promising practices</w:t>
      </w:r>
      <w:bookmarkEnd w:id="7"/>
    </w:p>
    <w:p w14:paraId="43F779C1" w14:textId="77777777" w:rsidR="00635EFA" w:rsidRPr="00635EFA" w:rsidRDefault="001B51A8" w:rsidP="00867899">
      <w:pPr>
        <w:pStyle w:val="FRABodyText"/>
      </w:pPr>
      <w:r w:rsidRPr="00843205">
        <w:t>In Schleswig-Holstein, the state election procedures were even amended in 2016 so that the official election documents for the 2017 Landtag election were issued in easy-to-read to everyone who was entitled to vote, by default. However, this consistently inclusive approach was rescinded a year later.</w:t>
      </w:r>
      <w:r w:rsidR="000073A2" w:rsidRPr="00843205">
        <w:rPr>
          <w:rStyle w:val="FootnoteReference"/>
        </w:rPr>
        <w:footnoteReference w:id="36"/>
      </w:r>
      <w:r>
        <w:t xml:space="preserve"> </w:t>
      </w:r>
    </w:p>
    <w:p w14:paraId="0806BF27" w14:textId="77777777" w:rsidR="00C468EA" w:rsidRDefault="00C468EA" w:rsidP="00C468EA"/>
    <w:p w14:paraId="05DFED13" w14:textId="77777777" w:rsidR="00470E5F" w:rsidRDefault="00470E5F" w:rsidP="00C468EA"/>
    <w:p w14:paraId="7A96A453" w14:textId="77777777" w:rsidR="00470E5F" w:rsidRDefault="00470E5F" w:rsidP="00C468EA"/>
    <w:p w14:paraId="002B0DBA" w14:textId="77777777" w:rsidR="00470E5F" w:rsidRDefault="00470E5F" w:rsidP="00C468EA"/>
    <w:p w14:paraId="0EBA3891" w14:textId="77777777" w:rsidR="00470E5F" w:rsidRDefault="00470E5F" w:rsidP="00C468EA"/>
    <w:p w14:paraId="1918DBA9" w14:textId="77777777" w:rsidR="00470E5F" w:rsidRDefault="00470E5F" w:rsidP="00C468EA"/>
    <w:p w14:paraId="69AFA117" w14:textId="77777777" w:rsidR="00470E5F" w:rsidRDefault="00470E5F" w:rsidP="00C468EA"/>
    <w:p w14:paraId="11C3D252" w14:textId="77777777" w:rsidR="00470E5F" w:rsidRDefault="00470E5F" w:rsidP="00C468EA"/>
    <w:p w14:paraId="20684D1D" w14:textId="77777777" w:rsidR="00586AB9" w:rsidRPr="00C468EA" w:rsidRDefault="00586AB9" w:rsidP="004512DA"/>
    <w:sectPr w:rsidR="00586AB9" w:rsidRPr="00C468EA" w:rsidSect="00A54D6E">
      <w:footerReference w:type="first" r:id="rId12"/>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216D0" w14:textId="77777777" w:rsidR="00667A23" w:rsidRDefault="00667A23">
      <w:pPr>
        <w:spacing w:after="0" w:line="240" w:lineRule="auto"/>
      </w:pPr>
      <w:r>
        <w:separator/>
      </w:r>
    </w:p>
  </w:endnote>
  <w:endnote w:type="continuationSeparator" w:id="0">
    <w:p w14:paraId="08178DD6" w14:textId="77777777" w:rsidR="00667A23" w:rsidRDefault="00667A23">
      <w:pPr>
        <w:spacing w:after="0" w:line="240" w:lineRule="auto"/>
      </w:pPr>
      <w:r>
        <w:continuationSeparator/>
      </w:r>
    </w:p>
  </w:endnote>
  <w:endnote w:type="continuationNotice" w:id="1">
    <w:p w14:paraId="11610E2E" w14:textId="77777777" w:rsidR="00667A23" w:rsidRDefault="00667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rfmgvArial,Bold">
    <w:altName w:val="Calibri"/>
    <w:panose1 w:val="00000000000000000000"/>
    <w:charset w:val="00"/>
    <w:family w:val="auto"/>
    <w:notTrueType/>
    <w:pitch w:val="default"/>
    <w:sig w:usb0="00000003" w:usb1="00000000" w:usb2="00000000" w:usb3="00000000" w:csb0="00000001" w:csb1="00000000"/>
  </w:font>
  <w:font w:name="BqbmthAri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8F7E" w14:textId="7777777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28D1D510" w14:textId="77777777"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78AA0" w14:textId="77777777"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A518D" w14:textId="77777777" w:rsidR="009E72AE" w:rsidRDefault="009E72AE">
    <w:pPr>
      <w:pStyle w:val="Footer"/>
      <w:jc w:val="right"/>
    </w:pPr>
  </w:p>
  <w:p w14:paraId="44D77D1E"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6A034CB6" w14:textId="77777777"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2CCE4"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A3E47" w14:textId="77777777" w:rsidR="00667A23" w:rsidRDefault="00667A23">
      <w:pPr>
        <w:spacing w:after="0" w:line="240" w:lineRule="auto"/>
      </w:pPr>
      <w:r>
        <w:separator/>
      </w:r>
    </w:p>
  </w:footnote>
  <w:footnote w:type="continuationSeparator" w:id="0">
    <w:p w14:paraId="6E1F70D0" w14:textId="77777777" w:rsidR="00667A23" w:rsidRDefault="00667A23">
      <w:pPr>
        <w:spacing w:after="0" w:line="240" w:lineRule="auto"/>
      </w:pPr>
      <w:r>
        <w:continuationSeparator/>
      </w:r>
    </w:p>
  </w:footnote>
  <w:footnote w:type="continuationNotice" w:id="1">
    <w:p w14:paraId="4552BBD0" w14:textId="77777777" w:rsidR="00667A23" w:rsidRDefault="00667A23">
      <w:pPr>
        <w:spacing w:after="0" w:line="240" w:lineRule="auto"/>
      </w:pPr>
    </w:p>
  </w:footnote>
  <w:footnote w:id="2">
    <w:p w14:paraId="53801D36" w14:textId="77777777" w:rsidR="00EE6CA1" w:rsidRPr="00A73411" w:rsidRDefault="00EE6CA1" w:rsidP="00867899">
      <w:pPr>
        <w:pStyle w:val="FRABodyText"/>
        <w:rPr>
          <w:lang w:val="de-DE"/>
        </w:rPr>
      </w:pPr>
      <w:r>
        <w:rPr>
          <w:rStyle w:val="FootnoteReference"/>
        </w:rPr>
        <w:footnoteRef/>
      </w:r>
      <w:r w:rsidRPr="00A73411">
        <w:rPr>
          <w:lang w:val="de-DE"/>
        </w:rPr>
        <w:t xml:space="preserve"> Germany, Federal Ministry of Labout and Social Affairs, ((</w:t>
      </w:r>
      <w:r w:rsidRPr="00A73411">
        <w:rPr>
          <w:i/>
          <w:lang w:val="de-DE"/>
        </w:rPr>
        <w:t>Bundesministerium für Arbeit und Soziales</w:t>
      </w:r>
      <w:r w:rsidRPr="00A73411">
        <w:rPr>
          <w:lang w:val="de-DE"/>
        </w:rPr>
        <w:t>, BMAS) (2016): Nationaler Aktionsplan 2.0</w:t>
      </w:r>
    </w:p>
    <w:p w14:paraId="74ED761C" w14:textId="77777777" w:rsidR="00EE6CA1" w:rsidRPr="00EE6CA1" w:rsidRDefault="00EE6CA1" w:rsidP="00867899">
      <w:pPr>
        <w:pStyle w:val="FRABodyText"/>
        <w:rPr>
          <w:lang w:val="en-GB"/>
        </w:rPr>
      </w:pPr>
      <w:r w:rsidRPr="00884287">
        <w:rPr>
          <w:lang w:val="de-DE"/>
        </w:rPr>
        <w:t xml:space="preserve">der Bundesregierung zur UN-Behindertenrechtskonvention (UN-BRK). </w:t>
      </w:r>
      <w:r>
        <w:t xml:space="preserve">Available at: </w:t>
      </w:r>
      <w:hyperlink w:history="1">
        <w:r w:rsidRPr="004D1925">
          <w:rPr>
            <w:rStyle w:val="Hyperlink"/>
          </w:rPr>
          <w:t>https://www.bmas.de/SharedDocs/Downloads/DE/Publikationen/a750-nationaler-aktionsplan-2-0.pdf?__blob=publicationFile&amp;v=1</w:t>
        </w:r>
      </w:hyperlink>
      <w:r w:rsidRPr="000B4FDC">
        <w:t xml:space="preserve"> (p.153-167)</w:t>
      </w:r>
    </w:p>
  </w:footnote>
  <w:footnote w:id="3">
    <w:p w14:paraId="54D8F3AD" w14:textId="77777777" w:rsidR="00556DFA" w:rsidRPr="0053319F" w:rsidRDefault="00556DFA" w:rsidP="005357FC">
      <w:pPr>
        <w:pStyle w:val="FRABodyText"/>
      </w:pPr>
      <w:r>
        <w:rPr>
          <w:rStyle w:val="FootnoteReference"/>
        </w:rPr>
        <w:footnoteRef/>
      </w:r>
      <w:r>
        <w:t xml:space="preserve"> </w:t>
      </w:r>
      <w:r w:rsidRPr="00556DFA">
        <w:t>Germany, Federal Electoral Act (Bundeswahlgesetz, BWG), available at: www.gesetze-im-internet.de/bwahlg/.</w:t>
      </w:r>
    </w:p>
  </w:footnote>
  <w:footnote w:id="4">
    <w:p w14:paraId="22091615" w14:textId="77777777" w:rsidR="00EE6CA1" w:rsidRPr="00884287" w:rsidRDefault="00EE6CA1" w:rsidP="00867899">
      <w:pPr>
        <w:pStyle w:val="FRABodyText"/>
      </w:pPr>
      <w:r>
        <w:rPr>
          <w:rStyle w:val="FootnoteReference"/>
        </w:rPr>
        <w:footnoteRef/>
      </w:r>
      <w:r w:rsidRPr="00556DFA">
        <w:rPr>
          <w:lang w:val="de-DE"/>
        </w:rPr>
        <w:t xml:space="preserve"> Germany, Federal Constitutional Court (2019).  </w:t>
      </w:r>
      <w:r w:rsidR="00D91CAB" w:rsidRPr="00884287">
        <w:rPr>
          <w:lang w:val="de-DE"/>
        </w:rPr>
        <w:t xml:space="preserve">Beschluss des Zweiten Senats vom 29. </w:t>
      </w:r>
      <w:r w:rsidR="00D91CAB" w:rsidRPr="00D82CA0">
        <w:rPr>
          <w:lang w:val="de-DE"/>
        </w:rPr>
        <w:t xml:space="preserve">Januar 2019. </w:t>
      </w:r>
      <w:r w:rsidR="00D91CAB">
        <w:t xml:space="preserve">Available at: </w:t>
      </w:r>
      <w:r w:rsidRPr="000B4FDC">
        <w:t>https://www.bundesverfassungsgericht.de/SharedDocs/Entscheidungen/DE/2019/01/cs20190129_2bvc006214.html</w:t>
      </w:r>
    </w:p>
  </w:footnote>
  <w:footnote w:id="5">
    <w:p w14:paraId="70C80332" w14:textId="77777777" w:rsidR="004D30DB" w:rsidRPr="00884287" w:rsidRDefault="004D30DB" w:rsidP="00867899">
      <w:pPr>
        <w:pStyle w:val="FRABodyText"/>
      </w:pPr>
      <w:r>
        <w:rPr>
          <w:rStyle w:val="FootnoteReference"/>
        </w:rPr>
        <w:footnoteRef/>
      </w:r>
      <w:r>
        <w:t xml:space="preserve"> </w:t>
      </w:r>
      <w:r w:rsidRPr="00B828E2">
        <w:t xml:space="preserve">Germany, European Elections </w:t>
      </w:r>
      <w:r>
        <w:t>Act</w:t>
      </w:r>
      <w:r w:rsidRPr="00B828E2">
        <w:t xml:space="preserve"> (</w:t>
      </w:r>
      <w:r w:rsidRPr="00B828E2">
        <w:rPr>
          <w:i/>
        </w:rPr>
        <w:t>Europawahlgesetz</w:t>
      </w:r>
      <w:r w:rsidRPr="00B828E2">
        <w:t xml:space="preserve">, EuWG), available at: </w:t>
      </w:r>
      <w:r w:rsidRPr="00D91CAB">
        <w:t>https://www.gesetze-im-internet.de/euwg/</w:t>
      </w:r>
    </w:p>
  </w:footnote>
  <w:footnote w:id="6">
    <w:p w14:paraId="63AEE8C5" w14:textId="6612E24F" w:rsidR="000608D7" w:rsidRPr="000608D7" w:rsidRDefault="000608D7" w:rsidP="003534B7">
      <w:pPr>
        <w:pStyle w:val="FootnoteText"/>
      </w:pPr>
      <w:r>
        <w:rPr>
          <w:rStyle w:val="FootnoteReference"/>
        </w:rPr>
        <w:footnoteRef/>
      </w:r>
      <w:r w:rsidRPr="005357FC">
        <w:rPr>
          <w:lang w:val="de-DE"/>
        </w:rPr>
        <w:t xml:space="preserve"> </w:t>
      </w:r>
      <w:r w:rsidR="00075EC7" w:rsidRPr="00075EC7">
        <w:rPr>
          <w:lang w:val="de-DE"/>
        </w:rPr>
        <w:t>Germany, Federal Constitutional Court (2019).</w:t>
      </w:r>
      <w:r w:rsidR="003534B7" w:rsidRPr="005357FC">
        <w:rPr>
          <w:lang w:val="de-DE"/>
        </w:rPr>
        <w:t xml:space="preserve"> Urteil des Zweiten Senats vom 15. </w:t>
      </w:r>
      <w:r w:rsidR="003534B7">
        <w:t xml:space="preserve">April 2019. Available at: </w:t>
      </w:r>
      <w:r w:rsidR="00075EC7" w:rsidRPr="00075EC7">
        <w:t>https://www.bverfg.de/e/qs20190415a_2bvq002219.html</w:t>
      </w:r>
    </w:p>
  </w:footnote>
  <w:footnote w:id="7">
    <w:p w14:paraId="51A0DC20" w14:textId="74186C00" w:rsidR="002832E6" w:rsidRPr="00884287" w:rsidRDefault="002832E6" w:rsidP="00867899">
      <w:pPr>
        <w:pStyle w:val="FRABodyText"/>
      </w:pPr>
      <w:r>
        <w:rPr>
          <w:rStyle w:val="FootnoteReference"/>
        </w:rPr>
        <w:footnoteRef/>
      </w:r>
      <w:r>
        <w:t xml:space="preserve"> </w:t>
      </w:r>
      <w:r w:rsidRPr="00B828E2">
        <w:t xml:space="preserve">Germany, </w:t>
      </w:r>
      <w:r>
        <w:t>European</w:t>
      </w:r>
      <w:r w:rsidRPr="00B828E2">
        <w:t xml:space="preserve"> Electoral </w:t>
      </w:r>
      <w:r w:rsidR="00603F83">
        <w:t>Regulations</w:t>
      </w:r>
      <w:r w:rsidR="00603F83" w:rsidRPr="00B828E2">
        <w:t xml:space="preserve"> </w:t>
      </w:r>
      <w:r w:rsidRPr="00B828E2">
        <w:t>(</w:t>
      </w:r>
      <w:r>
        <w:rPr>
          <w:i/>
        </w:rPr>
        <w:t>Europa</w:t>
      </w:r>
      <w:r w:rsidRPr="00B828E2">
        <w:rPr>
          <w:i/>
        </w:rPr>
        <w:t>wahlordnung</w:t>
      </w:r>
      <w:r w:rsidRPr="00B828E2">
        <w:t xml:space="preserve">, </w:t>
      </w:r>
      <w:r>
        <w:t>E</w:t>
      </w:r>
      <w:r w:rsidRPr="00B828E2">
        <w:t xml:space="preserve">WO), available at: Germany, Federal Electoral </w:t>
      </w:r>
      <w:r w:rsidR="00603F83">
        <w:t>Regulations</w:t>
      </w:r>
      <w:r w:rsidR="00603F83" w:rsidRPr="00B828E2">
        <w:t xml:space="preserve"> </w:t>
      </w:r>
      <w:r w:rsidRPr="00B828E2">
        <w:t>(</w:t>
      </w:r>
      <w:r w:rsidRPr="00B828E2">
        <w:rPr>
          <w:i/>
        </w:rPr>
        <w:t>Bundeswahlordnung</w:t>
      </w:r>
      <w:r w:rsidRPr="00B828E2">
        <w:t>, BWO), available at: www.gesetze-im-internet.de/bwo_1985/</w:t>
      </w:r>
      <w:r>
        <w:t>.</w:t>
      </w:r>
    </w:p>
  </w:footnote>
  <w:footnote w:id="8">
    <w:p w14:paraId="23298FD1" w14:textId="67F439CD" w:rsidR="00D91CAB" w:rsidRPr="00884287" w:rsidRDefault="00D91CAB" w:rsidP="00867899">
      <w:pPr>
        <w:pStyle w:val="FRABodyText"/>
      </w:pPr>
      <w:r>
        <w:rPr>
          <w:rStyle w:val="FootnoteReference"/>
        </w:rPr>
        <w:footnoteRef/>
      </w:r>
      <w:r>
        <w:t xml:space="preserve"> </w:t>
      </w:r>
      <w:r w:rsidRPr="00B828E2">
        <w:t xml:space="preserve">Germany, Federal Electoral </w:t>
      </w:r>
      <w:r w:rsidR="00603F83">
        <w:t>Regulations</w:t>
      </w:r>
      <w:r w:rsidR="00603F83" w:rsidRPr="00B828E2">
        <w:t xml:space="preserve"> </w:t>
      </w:r>
      <w:r w:rsidRPr="00B828E2">
        <w:t>(</w:t>
      </w:r>
      <w:r w:rsidRPr="00B828E2">
        <w:rPr>
          <w:i/>
        </w:rPr>
        <w:t>Bundeswahlordnung</w:t>
      </w:r>
      <w:r w:rsidRPr="00B828E2">
        <w:t>, BWO), available at: www.gesetze-im-internet.de/bwo_1985/</w:t>
      </w:r>
      <w:r>
        <w:t>.</w:t>
      </w:r>
    </w:p>
  </w:footnote>
  <w:footnote w:id="9">
    <w:p w14:paraId="0C7F16C0" w14:textId="1F5A6CC7" w:rsidR="00D91CAB" w:rsidRPr="00884287" w:rsidRDefault="00D91CAB" w:rsidP="00867899">
      <w:pPr>
        <w:pStyle w:val="FRABodyText"/>
      </w:pPr>
      <w:r>
        <w:rPr>
          <w:rStyle w:val="FootnoteReference"/>
        </w:rPr>
        <w:footnoteRef/>
      </w:r>
      <w:r>
        <w:t xml:space="preserve"> </w:t>
      </w:r>
      <w:r w:rsidRPr="00B828E2">
        <w:t xml:space="preserve">Germany, European Elections </w:t>
      </w:r>
      <w:r w:rsidR="005F3011">
        <w:t>Act</w:t>
      </w:r>
      <w:r w:rsidRPr="00B828E2">
        <w:t xml:space="preserve"> (</w:t>
      </w:r>
      <w:r w:rsidRPr="00B828E2">
        <w:rPr>
          <w:i/>
        </w:rPr>
        <w:t>Europawahlgesetz</w:t>
      </w:r>
      <w:r w:rsidRPr="00B828E2">
        <w:t xml:space="preserve">, EuWG), available at: </w:t>
      </w:r>
      <w:r w:rsidRPr="00D91CAB">
        <w:t>https://www.gesetze-im-internet.de/euwg/</w:t>
      </w:r>
    </w:p>
  </w:footnote>
  <w:footnote w:id="10">
    <w:p w14:paraId="30282677" w14:textId="77777777" w:rsidR="00D91CAB" w:rsidRPr="00884287" w:rsidRDefault="00D91CAB" w:rsidP="00867899">
      <w:pPr>
        <w:pStyle w:val="FRABodyText"/>
      </w:pPr>
      <w:r>
        <w:rPr>
          <w:rStyle w:val="FootnoteReference"/>
        </w:rPr>
        <w:footnoteRef/>
      </w:r>
      <w:r>
        <w:t xml:space="preserve"> </w:t>
      </w:r>
      <w:r w:rsidRPr="00B828E2">
        <w:t>Germany, Scrutiny of Elections Act (</w:t>
      </w:r>
      <w:r w:rsidRPr="00B828E2">
        <w:rPr>
          <w:i/>
        </w:rPr>
        <w:t>Wahlprüfungsgesetz</w:t>
      </w:r>
      <w:r w:rsidRPr="00B828E2">
        <w:t>, WahlPrG), available at: www.gesetze-im-internet.de/wahlprg/</w:t>
      </w:r>
      <w:r>
        <w:t>.</w:t>
      </w:r>
    </w:p>
  </w:footnote>
  <w:footnote w:id="11">
    <w:p w14:paraId="0F586FBD" w14:textId="77777777" w:rsidR="002832E6" w:rsidRPr="00884287" w:rsidRDefault="002832E6" w:rsidP="00867899">
      <w:pPr>
        <w:pStyle w:val="FRABodyText"/>
      </w:pPr>
      <w:r>
        <w:rPr>
          <w:rStyle w:val="FootnoteReference"/>
        </w:rPr>
        <w:footnoteRef/>
      </w:r>
      <w:r>
        <w:t xml:space="preserve"> </w:t>
      </w:r>
      <w:r w:rsidRPr="00B828E2">
        <w:t>Germany, Law on the Federal Constitutional Court (</w:t>
      </w:r>
      <w:r w:rsidRPr="00B828E2">
        <w:rPr>
          <w:i/>
        </w:rPr>
        <w:t>Bundesverfassungsgerichtsgesetz</w:t>
      </w:r>
      <w:r w:rsidRPr="00B828E2">
        <w:t>, BVerfGG), available at: www.gesetze-im-internet.de/bverfgg/</w:t>
      </w:r>
      <w:r>
        <w:t>.</w:t>
      </w:r>
    </w:p>
  </w:footnote>
  <w:footnote w:id="12">
    <w:p w14:paraId="4EC35B3C" w14:textId="6B0BD912" w:rsidR="002832E6" w:rsidRPr="00A73411" w:rsidRDefault="002832E6" w:rsidP="00867899">
      <w:pPr>
        <w:pStyle w:val="FRABodyText"/>
        <w:rPr>
          <w:lang w:val="de-DE"/>
        </w:rPr>
      </w:pPr>
      <w:r>
        <w:rPr>
          <w:rStyle w:val="FootnoteReference"/>
        </w:rPr>
        <w:footnoteRef/>
      </w:r>
      <w:r w:rsidRPr="00A73411">
        <w:rPr>
          <w:lang w:val="de-DE"/>
        </w:rPr>
        <w:t xml:space="preserve"> Germany, Federal </w:t>
      </w:r>
      <w:r w:rsidR="00603F83" w:rsidRPr="00A73411">
        <w:rPr>
          <w:lang w:val="de-DE"/>
        </w:rPr>
        <w:t>Parlament</w:t>
      </w:r>
      <w:r w:rsidRPr="00A73411">
        <w:rPr>
          <w:lang w:val="de-DE"/>
        </w:rPr>
        <w:t xml:space="preserve"> (Bundestag) (2023): Wahlprüfung- Jeder Wahlberechtigte kann Einspruch gegen die Bundestagswahl einlegen </w:t>
      </w:r>
      <w:r w:rsidR="00000000">
        <w:fldChar w:fldCharType="begin"/>
      </w:r>
      <w:r w:rsidR="00000000" w:rsidRPr="00D82CA0">
        <w:rPr>
          <w:lang w:val="de-DE"/>
        </w:rPr>
        <w:instrText>HYPERLINK</w:instrText>
      </w:r>
      <w:r w:rsidR="00000000">
        <w:fldChar w:fldCharType="separate"/>
      </w:r>
      <w:r w:rsidRPr="00884287">
        <w:rPr>
          <w:rStyle w:val="Hyperlink"/>
          <w:szCs w:val="20"/>
          <w:lang w:val="de-DE"/>
        </w:rPr>
        <w:t>https://www.bundestag.de/dokumente/textarchiv/2021/kw39-wahlpruefungsausschuss-859646</w:t>
      </w:r>
      <w:r w:rsidR="00000000">
        <w:rPr>
          <w:rStyle w:val="Hyperlink"/>
          <w:szCs w:val="20"/>
          <w:lang w:val="de-DE"/>
        </w:rPr>
        <w:fldChar w:fldCharType="end"/>
      </w:r>
      <w:r w:rsidRPr="00A73411">
        <w:rPr>
          <w:lang w:val="de-DE"/>
        </w:rPr>
        <w:t>.</w:t>
      </w:r>
    </w:p>
  </w:footnote>
  <w:footnote w:id="13">
    <w:p w14:paraId="378FE1C4" w14:textId="77777777" w:rsidR="00D91CAB" w:rsidRPr="00884287" w:rsidRDefault="00D91CAB" w:rsidP="00867899">
      <w:pPr>
        <w:pStyle w:val="FRABodyText"/>
      </w:pPr>
      <w:r>
        <w:rPr>
          <w:rStyle w:val="FootnoteReference"/>
        </w:rPr>
        <w:footnoteRef/>
      </w:r>
      <w:r>
        <w:t xml:space="preserve"> </w:t>
      </w:r>
      <w:r w:rsidRPr="00B828E2">
        <w:t>Germany, Federal Disabled Persons Equality Act (</w:t>
      </w:r>
      <w:r w:rsidRPr="00B828E2">
        <w:rPr>
          <w:i/>
        </w:rPr>
        <w:t>Behindertengleichstellungsgesetz</w:t>
      </w:r>
      <w:r w:rsidRPr="00B828E2">
        <w:t>, BGG), available at: www.gesetze-im-internet.de/bgg/</w:t>
      </w:r>
    </w:p>
  </w:footnote>
  <w:footnote w:id="14">
    <w:p w14:paraId="25D4F54B" w14:textId="77777777" w:rsidR="000073A2" w:rsidRPr="00884287" w:rsidRDefault="000073A2" w:rsidP="00867899">
      <w:pPr>
        <w:pStyle w:val="FRABodyText"/>
      </w:pPr>
      <w:r>
        <w:rPr>
          <w:rStyle w:val="FootnoteReference"/>
        </w:rPr>
        <w:footnoteRef/>
      </w:r>
      <w:r>
        <w:t xml:space="preserve"> </w:t>
      </w:r>
      <w:hyperlink w:history="1">
        <w:r w:rsidRPr="004D1925">
          <w:rPr>
            <w:rStyle w:val="Hyperlink"/>
          </w:rPr>
          <w:t>https://aeffnerstephanie.de/ueber-mich/</w:t>
        </w:r>
      </w:hyperlink>
    </w:p>
  </w:footnote>
  <w:footnote w:id="15">
    <w:p w14:paraId="75D316F5" w14:textId="40936C05" w:rsidR="00AB7080" w:rsidRPr="005357FC" w:rsidRDefault="00AB7080" w:rsidP="00867899">
      <w:pPr>
        <w:pStyle w:val="FRABodyText"/>
        <w:rPr>
          <w:lang w:val="de-DE"/>
        </w:rPr>
      </w:pPr>
      <w:r>
        <w:rPr>
          <w:rStyle w:val="FootnoteReference"/>
        </w:rPr>
        <w:footnoteRef/>
      </w:r>
      <w:r w:rsidRPr="00A73411">
        <w:rPr>
          <w:lang w:val="de-DE"/>
        </w:rPr>
        <w:t xml:space="preserve"> Germany, Federal Ministry of Labou</w:t>
      </w:r>
      <w:r w:rsidR="00603F83" w:rsidRPr="00A73411">
        <w:rPr>
          <w:lang w:val="de-DE"/>
        </w:rPr>
        <w:t>r</w:t>
      </w:r>
      <w:r w:rsidRPr="00A73411">
        <w:rPr>
          <w:lang w:val="de-DE"/>
        </w:rPr>
        <w:t xml:space="preserve"> and Social Affairs (Bundesministerium für Arbeit und Soziales) (2021): </w:t>
      </w:r>
      <w:r w:rsidRPr="005357FC">
        <w:rPr>
          <w:lang w:val="de-DE"/>
        </w:rPr>
        <w:t>Dritter Teilhabebericht der</w:t>
      </w:r>
    </w:p>
    <w:p w14:paraId="3E24B79B" w14:textId="77777777" w:rsidR="00AB7080" w:rsidRPr="00603F83" w:rsidRDefault="00AB7080" w:rsidP="00867899">
      <w:pPr>
        <w:pStyle w:val="FRABodyText"/>
      </w:pPr>
      <w:r w:rsidRPr="00603F83">
        <w:rPr>
          <w:lang w:val="de-DE"/>
        </w:rPr>
        <w:t xml:space="preserve">Bundesregierung über die Lebenslagen von Menschen mit Beeinträchtigungen. </w:t>
      </w:r>
      <w:r w:rsidRPr="00603F83">
        <w:t>Available at: https://www.bmas.de/SharedDocs/Downloads/DE/Publikationen/a125-21-</w:t>
      </w:r>
    </w:p>
    <w:p w14:paraId="21A47FDD" w14:textId="77777777" w:rsidR="00AB7080" w:rsidRPr="00A73411" w:rsidRDefault="00AB7080" w:rsidP="00867899">
      <w:pPr>
        <w:pStyle w:val="FRABodyText"/>
        <w:rPr>
          <w:lang w:val="de-DE"/>
        </w:rPr>
      </w:pPr>
      <w:r w:rsidRPr="00A73411">
        <w:rPr>
          <w:lang w:val="de-DE"/>
        </w:rPr>
        <w:t>teilhabebericht.pdf?_blob=publicationFile&amp;v=7. p. 726.</w:t>
      </w:r>
    </w:p>
  </w:footnote>
  <w:footnote w:id="16">
    <w:p w14:paraId="3ECA10DC" w14:textId="77777777" w:rsidR="004C6833" w:rsidRPr="00A73411" w:rsidRDefault="004C6833" w:rsidP="00867899">
      <w:pPr>
        <w:pStyle w:val="FRABodyText"/>
        <w:rPr>
          <w:lang w:val="de-DE"/>
        </w:rPr>
      </w:pPr>
      <w:r w:rsidRPr="00B828E2">
        <w:rPr>
          <w:rStyle w:val="FootnoteReference"/>
        </w:rPr>
        <w:footnoteRef/>
      </w:r>
      <w:r w:rsidRPr="00A73411">
        <w:rPr>
          <w:lang w:val="de-DE"/>
        </w:rPr>
        <w:t xml:space="preserve"> Germany, </w:t>
      </w:r>
      <w:r w:rsidR="000073A2" w:rsidRPr="00A73411">
        <w:rPr>
          <w:lang w:val="de-DE"/>
        </w:rPr>
        <w:t>C</w:t>
      </w:r>
      <w:r w:rsidRPr="00A73411">
        <w:rPr>
          <w:lang w:val="de-DE"/>
        </w:rPr>
        <w:t>ommon rules of procedure for federal ministries (</w:t>
      </w:r>
      <w:r w:rsidRPr="00A73411">
        <w:rPr>
          <w:i/>
          <w:lang w:val="de-DE"/>
        </w:rPr>
        <w:t>Gemeinsamen Geschäftsordnung der Bundeministerien</w:t>
      </w:r>
      <w:r w:rsidRPr="00A73411">
        <w:rPr>
          <w:lang w:val="de-DE"/>
        </w:rPr>
        <w:t xml:space="preserve">, GGO) available at: </w:t>
      </w:r>
      <w:r w:rsidR="00A11E66" w:rsidRPr="00A73411">
        <w:rPr>
          <w:lang w:val="de-DE"/>
        </w:rPr>
        <w:t>https://www.bmi.bund.de/SharedDocs/downloads/DE/veroeffentlichungen/themen/ministerium/ggo.pdf;jsessionid=1991E68A8E1339129ACD9F0B61720E9F.live892?__blob=publicationFile&amp;v=12</w:t>
      </w:r>
      <w:r w:rsidRPr="00A73411">
        <w:rPr>
          <w:lang w:val="de-DE"/>
        </w:rPr>
        <w:t>.</w:t>
      </w:r>
    </w:p>
  </w:footnote>
  <w:footnote w:id="17">
    <w:p w14:paraId="68F59E03" w14:textId="77777777" w:rsidR="002832E6" w:rsidRPr="000B4FDC" w:rsidRDefault="002832E6" w:rsidP="00867899">
      <w:pPr>
        <w:pStyle w:val="FRABodyText"/>
      </w:pPr>
      <w:r>
        <w:rPr>
          <w:rStyle w:val="FootnoteReference"/>
        </w:rPr>
        <w:footnoteRef/>
      </w:r>
      <w:r>
        <w:t xml:space="preserve"> </w:t>
      </w:r>
      <w:hyperlink w:history="1">
        <w:r w:rsidRPr="000B4FDC">
          <w:rPr>
            <w:rStyle w:val="Hyperlink"/>
            <w:szCs w:val="20"/>
          </w:rPr>
          <w:t>United Nations (2023). Concluding observations on the combined second and third periodic reports of Germany CRPD/C/DEU/CO/2-3</w:t>
        </w:r>
      </w:hyperlink>
      <w:r>
        <w:rPr>
          <w:rStyle w:val="Hyperlink"/>
          <w:szCs w:val="20"/>
        </w:rPr>
        <w:t>.</w:t>
      </w:r>
    </w:p>
    <w:p w14:paraId="31BBCDFB" w14:textId="77777777" w:rsidR="002832E6" w:rsidRPr="00884287" w:rsidRDefault="002832E6" w:rsidP="00867899">
      <w:pPr>
        <w:pStyle w:val="FRABodyText"/>
      </w:pPr>
    </w:p>
  </w:footnote>
  <w:footnote w:id="18">
    <w:p w14:paraId="0CD9D773" w14:textId="77777777" w:rsidR="006059B2" w:rsidRPr="00A73411" w:rsidRDefault="006059B2" w:rsidP="00867899">
      <w:pPr>
        <w:pStyle w:val="FRABodyText"/>
        <w:rPr>
          <w:lang w:val="de-DE"/>
        </w:rPr>
      </w:pPr>
      <w:r>
        <w:rPr>
          <w:rStyle w:val="FootnoteReference"/>
        </w:rPr>
        <w:footnoteRef/>
      </w:r>
      <w:r w:rsidRPr="00A73411">
        <w:rPr>
          <w:lang w:val="de-DE"/>
        </w:rPr>
        <w:t xml:space="preserve"> Federal Office for Accessibility</w:t>
      </w:r>
      <w:r w:rsidR="000B1B02" w:rsidRPr="00A73411">
        <w:rPr>
          <w:lang w:val="de-DE"/>
        </w:rPr>
        <w:t xml:space="preserve"> (Bundesfachstelle Barrierefreiheit) (2021): Barrierefreie Wahlen- Eine Handreichung der Bundesfachstelle Barrierefreiheit Available at:</w:t>
      </w:r>
      <w:r w:rsidRPr="00A73411">
        <w:rPr>
          <w:lang w:val="de-DE"/>
        </w:rPr>
        <w:t xml:space="preserve"> https://www.bundesfachstelle</w:t>
      </w:r>
      <w:r w:rsidR="000B1B02" w:rsidRPr="00A73411">
        <w:rPr>
          <w:lang w:val="de-DE"/>
        </w:rPr>
        <w:t>-</w:t>
      </w:r>
      <w:r w:rsidRPr="00A73411">
        <w:rPr>
          <w:lang w:val="de-DE"/>
        </w:rPr>
        <w:t>barrierefreiheit.de/SharedDocs/Downloads/DE/Veroeffentlichungen/handreichung-barrierefreie-wahlen.pdf?__blob=publicationFile&amp;v=2</w:t>
      </w:r>
      <w:r w:rsidR="000B1B02" w:rsidRPr="00A73411">
        <w:rPr>
          <w:lang w:val="de-DE"/>
        </w:rPr>
        <w:t>.</w:t>
      </w:r>
    </w:p>
  </w:footnote>
  <w:footnote w:id="19">
    <w:p w14:paraId="1C2B1246" w14:textId="77777777" w:rsidR="000B1B02" w:rsidRPr="00A73411" w:rsidRDefault="000B1B02" w:rsidP="00867899">
      <w:pPr>
        <w:pStyle w:val="FRABodyText"/>
        <w:rPr>
          <w:lang w:val="de-DE"/>
        </w:rPr>
      </w:pPr>
      <w:r>
        <w:rPr>
          <w:rStyle w:val="FootnoteReference"/>
        </w:rPr>
        <w:footnoteRef/>
      </w:r>
      <w:r w:rsidRPr="00A73411">
        <w:rPr>
          <w:lang w:val="de-DE"/>
        </w:rPr>
        <w:t xml:space="preserve"> (</w:t>
      </w:r>
      <w:hyperlink w:history="1">
        <w:r w:rsidRPr="00884287">
          <w:rPr>
            <w:rStyle w:val="Hyperlink"/>
            <w:rFonts w:eastAsia="Times New Roman"/>
            <w:szCs w:val="20"/>
            <w:lang w:val="de-DE"/>
          </w:rPr>
          <w:t>https://www.bundeswahlleiterin.de/info/barrierefreiheit.html</w:t>
        </w:r>
      </w:hyperlink>
      <w:r w:rsidRPr="00A73411">
        <w:rPr>
          <w:lang w:val="de-DE"/>
        </w:rPr>
        <w:t>).</w:t>
      </w:r>
    </w:p>
  </w:footnote>
  <w:footnote w:id="20">
    <w:p w14:paraId="3B68C373" w14:textId="77777777" w:rsidR="000B1B02" w:rsidRPr="00884287" w:rsidRDefault="000B1B02" w:rsidP="00867899">
      <w:pPr>
        <w:pStyle w:val="FRABodyText"/>
      </w:pPr>
      <w:r>
        <w:rPr>
          <w:rStyle w:val="FootnoteReference"/>
        </w:rPr>
        <w:footnoteRef/>
      </w:r>
      <w:r>
        <w:t xml:space="preserve"> </w:t>
      </w:r>
      <w:r w:rsidRPr="00884287">
        <w:t xml:space="preserve">Ad-hoc Assessement by the NHRI for this publication. </w:t>
      </w:r>
    </w:p>
  </w:footnote>
  <w:footnote w:id="21">
    <w:p w14:paraId="3D1ED936" w14:textId="77777777" w:rsidR="000B1B02" w:rsidRPr="000B4FDC" w:rsidRDefault="000B1B02" w:rsidP="00867899">
      <w:pPr>
        <w:pStyle w:val="FRABodyText"/>
      </w:pPr>
      <w:r>
        <w:rPr>
          <w:rStyle w:val="FootnoteReference"/>
        </w:rPr>
        <w:footnoteRef/>
      </w:r>
      <w:r>
        <w:t xml:space="preserve"> </w:t>
      </w:r>
      <w:hyperlink w:history="1">
        <w:r w:rsidRPr="000B4FDC">
          <w:rPr>
            <w:rStyle w:val="Hyperlink"/>
            <w:rFonts w:eastAsia="Times New Roman"/>
            <w:color w:val="000000"/>
            <w:szCs w:val="20"/>
          </w:rPr>
          <w:t>https://www.bundeswahlleiterin.de/en/bundestagswahlen/2021/informationen-waehler/barrierefreies-waehlen.html</w:t>
        </w:r>
      </w:hyperlink>
      <w:r w:rsidRPr="000B4FDC">
        <w:t xml:space="preserve">). General information on the upcoming European Parliament election 2024 is already provided (English: </w:t>
      </w:r>
      <w:hyperlink w:history="1">
        <w:r w:rsidRPr="000B4FDC">
          <w:rPr>
            <w:rStyle w:val="Hyperlink"/>
            <w:rFonts w:eastAsia="Times New Roman"/>
            <w:color w:val="000000"/>
            <w:szCs w:val="20"/>
          </w:rPr>
          <w:t>https://www.bundeswahlleiterin.de/en/europawahlen/2024.html</w:t>
        </w:r>
      </w:hyperlink>
      <w:r w:rsidRPr="000B4FDC">
        <w:t>, German:</w:t>
      </w:r>
    </w:p>
    <w:p w14:paraId="637FBC90" w14:textId="77777777" w:rsidR="000B1B02" w:rsidRPr="002A231B" w:rsidRDefault="00000000" w:rsidP="00867899">
      <w:pPr>
        <w:pStyle w:val="FRABodyText"/>
      </w:pPr>
      <w:hyperlink w:history="1">
        <w:r w:rsidR="000B1B02" w:rsidRPr="002A231B">
          <w:rPr>
            <w:rStyle w:val="Hyperlink"/>
            <w:rFonts w:eastAsia="Times New Roman"/>
            <w:color w:val="000000"/>
            <w:szCs w:val="20"/>
            <w:lang w:val="en-GB"/>
          </w:rPr>
          <w:t>https://www.bundeswahlleiterin.de/europawahlen/2024.html</w:t>
        </w:r>
      </w:hyperlink>
      <w:r w:rsidR="000B1B02" w:rsidRPr="002A231B">
        <w:t xml:space="preserve"> , </w:t>
      </w:r>
      <w:r w:rsidR="002A231B">
        <w:t>Easy-to-Read</w:t>
      </w:r>
      <w:r w:rsidR="000B1B02" w:rsidRPr="002A231B">
        <w:t xml:space="preserve">: </w:t>
      </w:r>
      <w:hyperlink w:history="1">
        <w:r w:rsidR="000B1B02" w:rsidRPr="002A231B">
          <w:rPr>
            <w:rStyle w:val="Hyperlink"/>
            <w:rFonts w:eastAsia="Times New Roman"/>
            <w:color w:val="000000"/>
            <w:szCs w:val="20"/>
            <w:lang w:val="en-GB"/>
          </w:rPr>
          <w:t>https://www.bundeswahlleiterin.de/info/leichte-sprache/europawahl.html</w:t>
        </w:r>
      </w:hyperlink>
      <w:r w:rsidR="000B1B02" w:rsidRPr="002A231B">
        <w:t>).</w:t>
      </w:r>
    </w:p>
    <w:p w14:paraId="3671D93F" w14:textId="77777777" w:rsidR="000B1B02" w:rsidRPr="00B21BC5" w:rsidRDefault="000B1B02" w:rsidP="00867899">
      <w:pPr>
        <w:pStyle w:val="FRABodyText"/>
      </w:pPr>
    </w:p>
  </w:footnote>
  <w:footnote w:id="22">
    <w:p w14:paraId="48A8262B" w14:textId="77777777" w:rsidR="000B1B02" w:rsidRPr="002437C7" w:rsidRDefault="000B1B02" w:rsidP="00867899">
      <w:pPr>
        <w:pStyle w:val="FRABodyText"/>
        <w:rPr>
          <w:lang w:val="en-GB"/>
        </w:rPr>
      </w:pPr>
      <w:r>
        <w:rPr>
          <w:rStyle w:val="FootnoteReference"/>
        </w:rPr>
        <w:footnoteRef/>
      </w:r>
      <w:r w:rsidRPr="00A73411">
        <w:rPr>
          <w:lang w:val="de-DE"/>
        </w:rPr>
        <w:t xml:space="preserve"> </w:t>
      </w:r>
      <w:r w:rsidR="002437C7" w:rsidRPr="00A73411">
        <w:rPr>
          <w:lang w:val="de-DE"/>
        </w:rPr>
        <w:t xml:space="preserve">Germany, Federal Ministry of Labour and Social Affairs (Bundesministerium für Arbeit und Soziales) (2021): Bericht der Bundesrepublik Deutschland an die Europäische Kommission über die periodische Überwachung der Einhaltung der Barrierefreiheitsanforderungen von Websites und mobilen Anwendungen öffentlicher Stellen gemäß Artikel 8 der Richtlinie (EU) 2016/2102. </w:t>
      </w:r>
      <w:r w:rsidR="002437C7">
        <w:t xml:space="preserve">Available at: </w:t>
      </w:r>
      <w:r w:rsidRPr="000B4FDC">
        <w:t xml:space="preserve">German: </w:t>
      </w:r>
      <w:hyperlink w:history="1">
        <w:r w:rsidRPr="000B4FDC">
          <w:rPr>
            <w:rStyle w:val="Hyperlink"/>
            <w:rFonts w:eastAsia="Times New Roman"/>
            <w:color w:val="000000"/>
            <w:szCs w:val="20"/>
          </w:rPr>
          <w:t>https://www.bfit-bund.de/DE/Downloads/eu-bericht-pdf.pdf?__blob=publicationFile&amp;v=2</w:t>
        </w:r>
      </w:hyperlink>
      <w:r w:rsidRPr="000B4FDC">
        <w:t xml:space="preserve">, English: </w:t>
      </w:r>
      <w:hyperlink w:history="1">
        <w:r w:rsidRPr="000B4FDC">
          <w:rPr>
            <w:rStyle w:val="Hyperlink"/>
            <w:rFonts w:eastAsia="Times New Roman"/>
            <w:color w:val="000000"/>
            <w:szCs w:val="20"/>
          </w:rPr>
          <w:t>https://ec.europa.eu/newsroom/dae/redirection/document/82496</w:t>
        </w:r>
      </w:hyperlink>
      <w:r w:rsidRPr="000B4FDC">
        <w:t>)</w:t>
      </w:r>
      <w:r w:rsidR="002437C7">
        <w:t>.</w:t>
      </w:r>
    </w:p>
  </w:footnote>
  <w:footnote w:id="23">
    <w:p w14:paraId="75CD291E" w14:textId="77777777" w:rsidR="000B1B02" w:rsidRPr="00884287" w:rsidRDefault="000B1B02" w:rsidP="00867899">
      <w:pPr>
        <w:pStyle w:val="FRABodyText"/>
      </w:pPr>
      <w:r>
        <w:rPr>
          <w:rStyle w:val="FootnoteReference"/>
        </w:rPr>
        <w:footnoteRef/>
      </w:r>
      <w:r w:rsidR="002437C7" w:rsidRPr="00884287">
        <w:rPr>
          <w:lang w:val="de-DE"/>
        </w:rPr>
        <w:t xml:space="preserve"> Germany,</w:t>
      </w:r>
      <w:r w:rsidRPr="00884287">
        <w:rPr>
          <w:lang w:val="de-DE"/>
        </w:rPr>
        <w:t xml:space="preserve"> </w:t>
      </w:r>
      <w:r w:rsidR="002437C7" w:rsidRPr="00884287">
        <w:rPr>
          <w:lang w:val="de-DE"/>
        </w:rPr>
        <w:t xml:space="preserve">Second Interstate Media Amendment Treaty (Zweiter Medienänderungsstaatsvertrag, MÄStV (2022). </w:t>
      </w:r>
      <w:r w:rsidR="002437C7">
        <w:t>Available at:</w:t>
      </w:r>
      <w:r w:rsidR="002437C7" w:rsidRPr="000B4FDC">
        <w:t xml:space="preserve"> </w:t>
      </w:r>
      <w:hyperlink w:history="1">
        <w:r w:rsidR="002437C7" w:rsidRPr="000B4FDC">
          <w:rPr>
            <w:rStyle w:val="Hyperlink"/>
            <w:rFonts w:eastAsia="Times New Roman"/>
            <w:szCs w:val="20"/>
          </w:rPr>
          <w:t>https://www.ard-media.de/fileadmin/user_upload/media-perspektiven/Dokumentation/Doku_II_MedienStV__i.d.F._2._MAEStV_mit__Farbmarkierung.pdf</w:t>
        </w:r>
      </w:hyperlink>
      <w:r w:rsidR="00C47210">
        <w:t>.</w:t>
      </w:r>
    </w:p>
  </w:footnote>
  <w:footnote w:id="24">
    <w:p w14:paraId="5AAF5A82" w14:textId="72A3C59E" w:rsidR="002437C7" w:rsidRPr="00884287" w:rsidRDefault="002437C7" w:rsidP="00867899">
      <w:pPr>
        <w:pStyle w:val="FRABodyText"/>
      </w:pPr>
      <w:r>
        <w:rPr>
          <w:rStyle w:val="FootnoteReference"/>
        </w:rPr>
        <w:footnoteRef/>
      </w:r>
      <w:r>
        <w:t xml:space="preserve"> </w:t>
      </w:r>
      <w:r w:rsidRPr="00884287">
        <w:t xml:space="preserve">German </w:t>
      </w:r>
      <w:r w:rsidR="00603F83" w:rsidRPr="00884287">
        <w:t>Institute</w:t>
      </w:r>
      <w:r w:rsidRPr="00884287">
        <w:t xml:space="preserve"> for Human Rights (2023): Parallel Report to the UN Committee on the Rights of Persons with Disabilities for Germany’s 2nd/3rd State Party review procedure. Available at: https://www.institut-fuer</w:t>
      </w:r>
      <w:r w:rsidR="000073A2" w:rsidRPr="00884287">
        <w:t>-</w:t>
      </w:r>
      <w:r w:rsidRPr="00884287">
        <w:t>menschenrechte.de/fileadmin/Redaktion/Publikationen/Parallelbericht/DIMR_Parallel_Report_to_the_UN_Committee_on_the_Rights_of_Persons_with_Disabilities_2023.pdf.</w:t>
      </w:r>
    </w:p>
  </w:footnote>
  <w:footnote w:id="25">
    <w:p w14:paraId="14301BC0" w14:textId="77777777" w:rsidR="002437C7" w:rsidRPr="00884287" w:rsidRDefault="002437C7" w:rsidP="00867899">
      <w:pPr>
        <w:pStyle w:val="FRABodyText"/>
      </w:pPr>
      <w:r>
        <w:rPr>
          <w:rStyle w:val="FootnoteReference"/>
        </w:rPr>
        <w:footnoteRef/>
      </w:r>
      <w:r w:rsidRPr="00680CA7">
        <w:rPr>
          <w:lang w:val="de-DE"/>
        </w:rPr>
        <w:t xml:space="preserve"> State Center for political education Baden Württemberg (Landeszentrale für politische Bildung Baden-Württemberg) (2021): Wahlprogramme in Leichter Sprache zur Bundestagswahl 2021. </w:t>
      </w:r>
      <w:r w:rsidRPr="00884287">
        <w:t xml:space="preserve">Availablt at </w:t>
      </w:r>
      <w:hyperlink w:history="1">
        <w:r w:rsidRPr="004D1925">
          <w:rPr>
            <w:rStyle w:val="Hyperlink"/>
          </w:rPr>
          <w:t>https://www.bundestagswahl-bw.de/wahlprogramme-leichte-sprache#c75195</w:t>
        </w:r>
      </w:hyperlink>
      <w:r>
        <w:t>.</w:t>
      </w:r>
    </w:p>
  </w:footnote>
  <w:footnote w:id="26">
    <w:p w14:paraId="14A54528" w14:textId="77777777" w:rsidR="002437C7" w:rsidRPr="000B4FDC" w:rsidRDefault="002437C7" w:rsidP="00867899">
      <w:pPr>
        <w:pStyle w:val="FRABodyText"/>
      </w:pPr>
      <w:r>
        <w:rPr>
          <w:rStyle w:val="FootnoteReference"/>
        </w:rPr>
        <w:footnoteRef/>
      </w:r>
      <w:r>
        <w:t xml:space="preserve"> </w:t>
      </w:r>
      <w:r w:rsidRPr="00884287">
        <w:t xml:space="preserve">Find some of the manifestos here: </w:t>
      </w:r>
      <w:r w:rsidRPr="000B4FDC">
        <w:t>Some of the manifestos:</w:t>
      </w:r>
    </w:p>
    <w:p w14:paraId="235AD00C" w14:textId="77777777" w:rsidR="002437C7" w:rsidRPr="000B4FDC" w:rsidRDefault="00000000" w:rsidP="00867899">
      <w:pPr>
        <w:pStyle w:val="FRABodyText"/>
      </w:pPr>
      <w:hyperlink w:history="1">
        <w:r w:rsidR="002437C7" w:rsidRPr="000B4FDC">
          <w:rPr>
            <w:rStyle w:val="Hyperlink"/>
            <w:szCs w:val="20"/>
          </w:rPr>
          <w:t>https://www.gruene-bayern.de/leichte-sprache/</w:t>
        </w:r>
      </w:hyperlink>
    </w:p>
    <w:p w14:paraId="6DEC1EE5" w14:textId="77777777" w:rsidR="002437C7" w:rsidRPr="000B4FDC" w:rsidRDefault="00000000" w:rsidP="00867899">
      <w:pPr>
        <w:pStyle w:val="FRABodyText"/>
      </w:pPr>
      <w:hyperlink w:history="1">
        <w:r w:rsidR="002437C7" w:rsidRPr="000B4FDC">
          <w:rPr>
            <w:rStyle w:val="Hyperlink"/>
            <w:szCs w:val="20"/>
          </w:rPr>
          <w:t>https://bayernspd.de/programm/</w:t>
        </w:r>
      </w:hyperlink>
    </w:p>
    <w:p w14:paraId="166A1C6C" w14:textId="77777777" w:rsidR="002437C7" w:rsidRPr="000B4FDC" w:rsidRDefault="00000000" w:rsidP="00867899">
      <w:pPr>
        <w:pStyle w:val="FRABodyText"/>
      </w:pPr>
      <w:hyperlink w:history="1">
        <w:r w:rsidR="002437C7" w:rsidRPr="000B4FDC">
          <w:rPr>
            <w:rStyle w:val="Hyperlink"/>
            <w:szCs w:val="20"/>
          </w:rPr>
          <w:t>https://www.die-linke-hessen.de/media/attachments/2023/08/20/2-leichtesprache_kurzwahlprogramm.pdf</w:t>
        </w:r>
      </w:hyperlink>
    </w:p>
    <w:p w14:paraId="7FD11DFE" w14:textId="77777777" w:rsidR="002437C7" w:rsidRPr="000B4FDC" w:rsidRDefault="00000000" w:rsidP="00867899">
      <w:pPr>
        <w:pStyle w:val="FRABodyText"/>
      </w:pPr>
      <w:hyperlink w:history="1">
        <w:r w:rsidR="002437C7" w:rsidRPr="000B4FDC">
          <w:rPr>
            <w:rStyle w:val="Hyperlink"/>
            <w:szCs w:val="20"/>
          </w:rPr>
          <w:t>https://landtagswahl.gruene-hessen.de/wp-content/uploads/2023/09/Praeambel-Regierungsprogramm-Leichte-Sprache.pdf</w:t>
        </w:r>
      </w:hyperlink>
    </w:p>
    <w:p w14:paraId="14789369" w14:textId="77777777" w:rsidR="002437C7" w:rsidRPr="00884287" w:rsidRDefault="002437C7" w:rsidP="00867899">
      <w:pPr>
        <w:pStyle w:val="FRABodyText"/>
      </w:pPr>
    </w:p>
  </w:footnote>
  <w:footnote w:id="27">
    <w:p w14:paraId="70BBD99D" w14:textId="77777777" w:rsidR="00E2076B" w:rsidRPr="00884287" w:rsidRDefault="00E2076B" w:rsidP="00867899">
      <w:pPr>
        <w:pStyle w:val="FRABodyText"/>
      </w:pPr>
      <w:r>
        <w:rPr>
          <w:rStyle w:val="FootnoteReference"/>
        </w:rPr>
        <w:footnoteRef/>
      </w:r>
      <w:r w:rsidRPr="00A73411">
        <w:rPr>
          <w:lang w:val="de-DE"/>
        </w:rPr>
        <w:t xml:space="preserve"> Germany, Verordnung zur Schaffung barrierefreier Informationstechnik nach dem Behindertengleichstellungsgesetz (Barrierefreie-Informationstechnik-Verordnung - BITV 2.0). </w:t>
      </w:r>
      <w:r>
        <w:t>Available at:</w:t>
      </w:r>
      <w:r w:rsidRPr="000B4FDC">
        <w:rPr>
          <w:shd w:val="clear" w:color="auto" w:fill="FFFFFF"/>
        </w:rPr>
        <w:t xml:space="preserve"> </w:t>
      </w:r>
      <w:hyperlink w:history="1">
        <w:r w:rsidRPr="004D1925">
          <w:rPr>
            <w:rStyle w:val="Hyperlink"/>
            <w:shd w:val="clear" w:color="auto" w:fill="FFFFFF"/>
          </w:rPr>
          <w:t>https://www.gesetze-im-internet.de/bitv_2_0/__3.html</w:t>
        </w:r>
      </w:hyperlink>
      <w:r>
        <w:rPr>
          <w:shd w:val="clear" w:color="auto" w:fill="FFFFFF"/>
        </w:rPr>
        <w:t>.</w:t>
      </w:r>
    </w:p>
  </w:footnote>
  <w:footnote w:id="28">
    <w:p w14:paraId="71985E42" w14:textId="77777777" w:rsidR="00E2076B" w:rsidRPr="00680CA7" w:rsidRDefault="00E2076B" w:rsidP="00867899">
      <w:pPr>
        <w:pStyle w:val="FRABodyText"/>
        <w:rPr>
          <w:lang w:val="de-DE"/>
        </w:rPr>
      </w:pPr>
      <w:r>
        <w:rPr>
          <w:rStyle w:val="FootnoteReference"/>
        </w:rPr>
        <w:footnoteRef/>
      </w:r>
      <w:r w:rsidRPr="00680CA7">
        <w:rPr>
          <w:lang w:val="de-DE"/>
        </w:rPr>
        <w:t xml:space="preserve"> Germany, Gesetz zur Umsetzung der Richtlinie (EU) 2019/882 des Europäischen Parlaments und des Rates über die Barrierefreiheitsanforderungen für Produkte und Dienstleistungen. (Barrierefreiheitsstärkungsgesetz - BFSG). Available at: </w:t>
      </w:r>
      <w:r w:rsidR="00000000">
        <w:fldChar w:fldCharType="begin"/>
      </w:r>
      <w:r w:rsidR="00000000" w:rsidRPr="00D82CA0">
        <w:rPr>
          <w:lang w:val="de-DE"/>
        </w:rPr>
        <w:instrText>HYPERLINK</w:instrText>
      </w:r>
      <w:r w:rsidR="00000000">
        <w:fldChar w:fldCharType="separate"/>
      </w:r>
      <w:r w:rsidRPr="005357FC">
        <w:rPr>
          <w:rStyle w:val="Hyperlink"/>
          <w:shd w:val="clear" w:color="auto" w:fill="FFFFFF"/>
          <w:lang w:val="de-DE"/>
        </w:rPr>
        <w:t>https://www.gesetze-im-internet.de/bfsg/BFSG.pdf</w:t>
      </w:r>
      <w:r w:rsidR="00000000">
        <w:rPr>
          <w:rStyle w:val="Hyperlink"/>
          <w:shd w:val="clear" w:color="auto" w:fill="FFFFFF"/>
          <w:lang w:val="de-DE"/>
        </w:rPr>
        <w:fldChar w:fldCharType="end"/>
      </w:r>
      <w:r w:rsidRPr="00680CA7">
        <w:rPr>
          <w:shd w:val="clear" w:color="auto" w:fill="FFFFFF"/>
          <w:lang w:val="de-DE"/>
        </w:rPr>
        <w:t>.</w:t>
      </w:r>
    </w:p>
  </w:footnote>
  <w:footnote w:id="29">
    <w:p w14:paraId="7D64FE7D" w14:textId="77777777" w:rsidR="00E2076B" w:rsidRPr="00884287" w:rsidRDefault="00E2076B" w:rsidP="00867899">
      <w:pPr>
        <w:pStyle w:val="FRABodyText"/>
      </w:pPr>
      <w:r>
        <w:rPr>
          <w:rStyle w:val="FootnoteReference"/>
        </w:rPr>
        <w:footnoteRef/>
      </w:r>
      <w:r w:rsidRPr="00884287">
        <w:rPr>
          <w:lang w:val="de-DE"/>
        </w:rPr>
        <w:t xml:space="preserve"> Germany, Second Interstate Media Amendment Treaty (Zweiter Medienänderungsstaatsvertrag, MÄStV (2022). </w:t>
      </w:r>
      <w:r>
        <w:t>Available at:</w:t>
      </w:r>
      <w:r w:rsidRPr="000B4FDC">
        <w:t xml:space="preserve"> </w:t>
      </w:r>
      <w:hyperlink w:history="1">
        <w:r w:rsidRPr="000B4FDC">
          <w:rPr>
            <w:rStyle w:val="Hyperlink"/>
            <w:rFonts w:eastAsia="Times New Roman"/>
            <w:szCs w:val="20"/>
          </w:rPr>
          <w:t>https://www.ard-media.de/fileadmin/user_upload/media-perspektiven/Dokumentation/Doku_II_MedienStV__i.d.F._2._MAEStV_mit__Farbmarkierung.pdf</w:t>
        </w:r>
      </w:hyperlink>
    </w:p>
  </w:footnote>
  <w:footnote w:id="30">
    <w:p w14:paraId="2683ECA2" w14:textId="77777777" w:rsidR="00E2076B" w:rsidRPr="00A73411" w:rsidRDefault="00E2076B" w:rsidP="00867899">
      <w:pPr>
        <w:pStyle w:val="FRABodyText"/>
        <w:rPr>
          <w:lang w:val="de-DE"/>
        </w:rPr>
      </w:pPr>
      <w:r>
        <w:rPr>
          <w:rStyle w:val="FootnoteReference"/>
        </w:rPr>
        <w:footnoteRef/>
      </w:r>
      <w:r w:rsidRPr="00A73411">
        <w:rPr>
          <w:lang w:val="de-DE"/>
        </w:rPr>
        <w:t xml:space="preserve"> German Institute for Human Rights (2023): Entwicklung der Menschenrechtssituation in Deutschland Juli 2022 – Juni 2023 Available at: </w:t>
      </w:r>
      <w:r w:rsidR="00000000">
        <w:fldChar w:fldCharType="begin"/>
      </w:r>
      <w:r w:rsidR="00000000" w:rsidRPr="00D82CA0">
        <w:rPr>
          <w:lang w:val="de-DE"/>
        </w:rPr>
        <w:instrText>HYPERLINK</w:instrText>
      </w:r>
      <w:r w:rsidR="00000000">
        <w:fldChar w:fldCharType="separate"/>
      </w:r>
      <w:r w:rsidRPr="00884287">
        <w:rPr>
          <w:rStyle w:val="Hyperlink"/>
          <w:lang w:val="de-DE"/>
        </w:rPr>
        <w:t>https://www.institut-fuer-menschenrechte.de/fileadmin/Redaktion/Publikationen/Menschenrechtsbericht/Menschenrechtsbericht_2023.pdf</w:t>
      </w:r>
      <w:r w:rsidR="00000000">
        <w:rPr>
          <w:rStyle w:val="Hyperlink"/>
          <w:lang w:val="de-DE"/>
        </w:rPr>
        <w:fldChar w:fldCharType="end"/>
      </w:r>
      <w:r w:rsidRPr="00A73411">
        <w:rPr>
          <w:lang w:val="de-DE"/>
        </w:rPr>
        <w:t xml:space="preserve"> p.117-145.</w:t>
      </w:r>
    </w:p>
  </w:footnote>
  <w:footnote w:id="31">
    <w:p w14:paraId="2E19D9FF" w14:textId="77777777" w:rsidR="00E2076B" w:rsidRPr="00D82CA0" w:rsidRDefault="00E2076B" w:rsidP="00867899">
      <w:pPr>
        <w:pStyle w:val="FRABodyText"/>
        <w:rPr>
          <w:lang w:val="en-GB"/>
        </w:rPr>
      </w:pPr>
      <w:r>
        <w:rPr>
          <w:rStyle w:val="FootnoteReference"/>
        </w:rPr>
        <w:footnoteRef/>
      </w:r>
      <w:r w:rsidRPr="005357FC">
        <w:rPr>
          <w:lang w:val="de-DE"/>
        </w:rPr>
        <w:t xml:space="preserve"> </w:t>
      </w:r>
      <w:r w:rsidRPr="005357FC">
        <w:rPr>
          <w:rFonts w:ascii="KrfmgvArial,Bold" w:hAnsi="KrfmgvArial,Bold" w:cs="KrfmgvArial,Bold"/>
          <w:lang w:val="de-DE"/>
        </w:rPr>
        <w:t>Thüringer Landtag (15.10.2021):</w:t>
      </w:r>
      <w:r w:rsidRPr="005357FC">
        <w:rPr>
          <w:rFonts w:ascii="KrfmgvArial,Bold" w:hAnsi="KrfmgvArial,Bold" w:cs="KrfmgvArial,Bold"/>
          <w:b/>
          <w:bCs/>
          <w:lang w:val="de-DE"/>
        </w:rPr>
        <w:t xml:space="preserve"> </w:t>
      </w:r>
      <w:r w:rsidRPr="005357FC">
        <w:rPr>
          <w:lang w:val="de-DE"/>
        </w:rPr>
        <w:t xml:space="preserve">Barrierefreiheit in Thüringen – Barrierefreiheit von Wahllokalen. </w:t>
      </w:r>
      <w:r w:rsidRPr="00A73411">
        <w:rPr>
          <w:lang w:val="de-DE"/>
        </w:rPr>
        <w:t xml:space="preserve">Kleine Anfrage der Abgeordneten Meißner (CDU) und Antwort des Thüringer Ministeriums für Inneres und Kommunales, Drucksache 7/4244. </w:t>
      </w:r>
      <w:r w:rsidRPr="00D82CA0">
        <w:rPr>
          <w:lang w:val="en-GB"/>
        </w:rPr>
        <w:t>Available at:</w:t>
      </w:r>
      <w:r w:rsidR="00821810" w:rsidRPr="00D82CA0">
        <w:rPr>
          <w:lang w:val="en-GB"/>
        </w:rPr>
        <w:t xml:space="preserve"> https://www.google.com/url?sa=t&amp;rct=j&amp;q=&amp;esrc=s&amp;source=web&amp;cd=&amp;cad=rja&amp;uact=8&amp;ved=2ahUKEwic7rLas4mEAxWXSvEDHV_KCQUQFnoECBIQAQ&amp;url=https%3A%2F%2Fparldok.thueringer-landtag.de%2FParlDok%2Fdokument%2F82859%2Fbarrierefreiheit_in_thueringen_barrierefreiheit_von_wahllokalen.pdf&amp;usg=AOvVaw0DfL7-UyhHFrlWCSqJ83Hr&amp;opi=89978449</w:t>
      </w:r>
    </w:p>
  </w:footnote>
  <w:footnote w:id="32">
    <w:p w14:paraId="30CCC8A1" w14:textId="77777777" w:rsidR="00E2076B" w:rsidRPr="00884287" w:rsidRDefault="00E2076B" w:rsidP="00867899">
      <w:pPr>
        <w:pStyle w:val="FRABodyText"/>
      </w:pPr>
      <w:r>
        <w:rPr>
          <w:rStyle w:val="FootnoteReference"/>
        </w:rPr>
        <w:footnoteRef/>
      </w:r>
      <w:r w:rsidRPr="00884287">
        <w:rPr>
          <w:lang w:val="de-DE"/>
        </w:rPr>
        <w:t xml:space="preserve"> </w:t>
      </w:r>
      <w:r>
        <w:rPr>
          <w:lang w:val="de-DE"/>
        </w:rPr>
        <w:t xml:space="preserve">Cited in Mitteldeutscher Rundfunkt (2021). </w:t>
      </w:r>
      <w:r w:rsidRPr="00E2076B">
        <w:rPr>
          <w:lang w:val="de-DE"/>
        </w:rPr>
        <w:t>Bundestagswahl: Nur 60 Prozent der Wahllokale in Sachsen-Anhalt barrierefrei</w:t>
      </w:r>
      <w:r w:rsidRPr="00884287">
        <w:rPr>
          <w:lang w:val="de-DE"/>
        </w:rPr>
        <w:t xml:space="preserve">. </w:t>
      </w:r>
      <w:r>
        <w:t xml:space="preserve">Available at: </w:t>
      </w:r>
      <w:r w:rsidRPr="000B4FDC">
        <w:t>https://www.mdr.de/nachrichten/deutschland/wahlen/bundestagswahl/so-steht-es-um-die-barrierefreiheit-von-wahllokalen-in-sachsen-anhalt-zur-bundestagswahl-100.html.</w:t>
      </w:r>
    </w:p>
  </w:footnote>
  <w:footnote w:id="33">
    <w:p w14:paraId="3B399CC9" w14:textId="77777777" w:rsidR="00E2076B" w:rsidRPr="00A73411" w:rsidRDefault="00E2076B" w:rsidP="00867899">
      <w:pPr>
        <w:pStyle w:val="FRABodyText"/>
        <w:rPr>
          <w:rFonts w:ascii="BqbmthArial" w:hAnsi="BqbmthArial" w:cs="BqbmthArial"/>
          <w:lang w:val="de-DE"/>
        </w:rPr>
      </w:pPr>
      <w:r>
        <w:rPr>
          <w:rStyle w:val="FootnoteReference"/>
        </w:rPr>
        <w:footnoteRef/>
      </w:r>
      <w:r w:rsidRPr="00A73411">
        <w:rPr>
          <w:lang w:val="de-DE"/>
        </w:rPr>
        <w:t xml:space="preserve"> Bürgerschaft der Freien und Hansestadt Hamburg (2020): </w:t>
      </w:r>
      <w:r w:rsidRPr="00A73411">
        <w:rPr>
          <w:rFonts w:ascii="BqbmthArial" w:hAnsi="BqbmthArial" w:cs="BqbmthArial"/>
          <w:lang w:val="de-DE"/>
        </w:rPr>
        <w:t xml:space="preserve">Zugänglichkeit </w:t>
      </w:r>
      <w:r w:rsidRPr="00A73411">
        <w:rPr>
          <w:lang w:val="de-DE"/>
        </w:rPr>
        <w:t>und Barrierefreiheit von Bürgerschafts-Wahllokalen für Menschen mit Behinderungen</w:t>
      </w:r>
    </w:p>
    <w:p w14:paraId="2C408BC2" w14:textId="77777777" w:rsidR="00E2076B" w:rsidRPr="00A73411" w:rsidRDefault="00E2076B" w:rsidP="00867899">
      <w:pPr>
        <w:pStyle w:val="FRABodyText"/>
        <w:rPr>
          <w:lang w:val="de-DE"/>
        </w:rPr>
      </w:pPr>
      <w:r w:rsidRPr="00A73411">
        <w:rPr>
          <w:lang w:val="de-DE"/>
        </w:rPr>
        <w:t>– Wie ist der Stand? Schriftliche Kleine Anfrage der Abgeordneten Cansu Özdemir (DIE LINKE) vom 16.01.20 und Antwort des Senats, Drucksache 21/19754.</w:t>
      </w:r>
      <w:r w:rsidR="00C47210" w:rsidRPr="00A73411">
        <w:rPr>
          <w:lang w:val="de-DE"/>
        </w:rPr>
        <w:t xml:space="preserve"> </w:t>
      </w:r>
      <w:r w:rsidR="00821810" w:rsidRPr="00A73411">
        <w:rPr>
          <w:lang w:val="de-DE"/>
        </w:rPr>
        <w:t>https://www.google.com/url?sa=t&amp;rct=j&amp;q=&amp;esrc=s&amp;source=web&amp;cd=&amp;ved=2ahUKEwibzo6JtImEAxWcXfEDHf1uAEsQFnoECA4QAQ&amp;url=https%3A%2F%2Fwww.buergerschaft-hh.de%2Fparldok%2Fdokument%2F69478%2Fzugaenglichkeit_und_barrierefreiheit_von_buergerschafts_wahllokalen_fuer_menschen_mit_behinderungen_wie_ist_der_stand.pdf&amp;usg=AOvVaw0jHZQ_YThO-HHDd8ts2s2m&amp;opi=89978449</w:t>
      </w:r>
    </w:p>
  </w:footnote>
  <w:footnote w:id="34">
    <w:p w14:paraId="433E68EB" w14:textId="77777777" w:rsidR="00C47210" w:rsidRPr="00C47210" w:rsidRDefault="00C47210" w:rsidP="00867899">
      <w:pPr>
        <w:pStyle w:val="FRABodyText"/>
      </w:pPr>
      <w:r>
        <w:rPr>
          <w:rStyle w:val="FootnoteReference"/>
        </w:rPr>
        <w:footnoteRef/>
      </w:r>
      <w:r w:rsidRPr="00A73411">
        <w:rPr>
          <w:lang w:val="de-DE"/>
        </w:rPr>
        <w:t xml:space="preserve"> Germany, German Federal Parliament (Bundestag) (2022). Unterrichtung durch die Bundesregierung- Bericht der Bundesregierung über die Wirkungen der Novellierung des Gesetzes zur Weiterentwicklung des Behindertengleichstellungsrechts. </w:t>
      </w:r>
      <w:r>
        <w:t xml:space="preserve">Available at: </w:t>
      </w:r>
      <w:r w:rsidRPr="000B4FDC">
        <w:t>https://dserver.bundestag.de/btd/20/044/2004440.pdf</w:t>
      </w:r>
      <w:r>
        <w:t>.</w:t>
      </w:r>
      <w:r w:rsidRPr="000B4FDC">
        <w:t xml:space="preserve"> P.196 f.</w:t>
      </w:r>
    </w:p>
  </w:footnote>
  <w:footnote w:id="35">
    <w:p w14:paraId="4C4BD83C" w14:textId="77777777" w:rsidR="005B5F3A" w:rsidRPr="002A231B" w:rsidRDefault="005B5F3A" w:rsidP="00867899">
      <w:pPr>
        <w:pStyle w:val="FRABodyText"/>
        <w:rPr>
          <w:lang w:val="de-DE"/>
        </w:rPr>
      </w:pPr>
      <w:r>
        <w:rPr>
          <w:rStyle w:val="FootnoteReference"/>
        </w:rPr>
        <w:footnoteRef/>
      </w:r>
      <w:r>
        <w:t xml:space="preserve"> </w:t>
      </w:r>
      <w:r w:rsidRPr="002A231B">
        <w:t xml:space="preserve">Germany, Germany Federal Parliament (Bundestag) (2022). </w:t>
      </w:r>
      <w:r>
        <w:rPr>
          <w:lang w:val="de-DE"/>
        </w:rPr>
        <w:t>P.6</w:t>
      </w:r>
    </w:p>
  </w:footnote>
  <w:footnote w:id="36">
    <w:p w14:paraId="14B35FF9" w14:textId="77777777" w:rsidR="000073A2" w:rsidRPr="00A73411" w:rsidRDefault="000073A2" w:rsidP="00867899">
      <w:pPr>
        <w:pStyle w:val="FRABodyText"/>
        <w:rPr>
          <w:lang w:val="de-DE"/>
        </w:rPr>
      </w:pPr>
      <w:r>
        <w:rPr>
          <w:rStyle w:val="FootnoteReference"/>
        </w:rPr>
        <w:footnoteRef/>
      </w:r>
      <w:r w:rsidRPr="00A73411">
        <w:rPr>
          <w:lang w:val="de-DE"/>
        </w:rPr>
        <w:t xml:space="preserve"> </w:t>
      </w:r>
      <w:r w:rsidRPr="00884287">
        <w:rPr>
          <w:rStyle w:val="FRABodyTextChar"/>
          <w:lang w:val="de-DE"/>
        </w:rPr>
        <w:t>German Institute for Human Rights,</w:t>
      </w:r>
      <w:r w:rsidRPr="00A73411">
        <w:rPr>
          <w:lang w:val="de-DE"/>
        </w:rPr>
        <w:t xml:space="preserve"> </w:t>
      </w:r>
      <w:r w:rsidRPr="00884287">
        <w:rPr>
          <w:rStyle w:val="FRABodyTextChar"/>
          <w:lang w:val="de-DE"/>
        </w:rPr>
        <w:t>Deutsches Institut für Menschenrechte, Monitoring-Stelle UN-Behindertenrechtskonvention (2019): Wer Inklusion will, sucht Wege. Zehn Jahre UN-Behindertenrechtskonvention in Deutschland. https://www.institut-fuer-menschenrechte.de/publikationen/detail/wer-inklusion-will-sucht-wege (retrieved on 28/06/2023) p.52.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Content>
      <w:p w14:paraId="14E9F005" w14:textId="77777777" w:rsidR="00610C73" w:rsidRDefault="009E72AE">
        <w:pPr>
          <w:pStyle w:val="Head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56AA0D98"/>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1224760179">
    <w:abstractNumId w:val="4"/>
  </w:num>
  <w:num w:numId="2" w16cid:durableId="396442543">
    <w:abstractNumId w:val="1"/>
  </w:num>
  <w:num w:numId="3" w16cid:durableId="680933234">
    <w:abstractNumId w:val="9"/>
  </w:num>
  <w:num w:numId="4" w16cid:durableId="1676302662">
    <w:abstractNumId w:val="2"/>
  </w:num>
  <w:num w:numId="5" w16cid:durableId="783499306">
    <w:abstractNumId w:val="3"/>
  </w:num>
  <w:num w:numId="6" w16cid:durableId="1034887324">
    <w:abstractNumId w:val="6"/>
  </w:num>
  <w:num w:numId="7" w16cid:durableId="2113040960">
    <w:abstractNumId w:val="0"/>
  </w:num>
  <w:num w:numId="8" w16cid:durableId="1108545349">
    <w:abstractNumId w:val="5"/>
  </w:num>
  <w:num w:numId="9" w16cid:durableId="76754743">
    <w:abstractNumId w:val="8"/>
  </w:num>
  <w:num w:numId="10" w16cid:durableId="1478255988">
    <w:abstractNumId w:val="10"/>
  </w:num>
  <w:num w:numId="11" w16cid:durableId="1103769070">
    <w:abstractNumId w:val="11"/>
  </w:num>
  <w:num w:numId="12" w16cid:durableId="1972635032">
    <w:abstractNumId w:val="7"/>
  </w:num>
  <w:num w:numId="13" w16cid:durableId="961182332">
    <w:abstractNumId w:val="12"/>
  </w:num>
  <w:num w:numId="14" w16cid:durableId="1653022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62E9"/>
    <w:rsid w:val="000073A2"/>
    <w:rsid w:val="00015EC2"/>
    <w:rsid w:val="0002519B"/>
    <w:rsid w:val="00025D55"/>
    <w:rsid w:val="000318A4"/>
    <w:rsid w:val="00043A66"/>
    <w:rsid w:val="0004609A"/>
    <w:rsid w:val="000473F4"/>
    <w:rsid w:val="00054135"/>
    <w:rsid w:val="00054181"/>
    <w:rsid w:val="000608D7"/>
    <w:rsid w:val="00062DF4"/>
    <w:rsid w:val="0006412C"/>
    <w:rsid w:val="00071C58"/>
    <w:rsid w:val="00072220"/>
    <w:rsid w:val="00075EC7"/>
    <w:rsid w:val="0007693C"/>
    <w:rsid w:val="00081108"/>
    <w:rsid w:val="000819FB"/>
    <w:rsid w:val="000878EF"/>
    <w:rsid w:val="000A573B"/>
    <w:rsid w:val="000A65F0"/>
    <w:rsid w:val="000A7165"/>
    <w:rsid w:val="000B1B02"/>
    <w:rsid w:val="000B4FDC"/>
    <w:rsid w:val="000C2127"/>
    <w:rsid w:val="000C2F7C"/>
    <w:rsid w:val="000C3C8B"/>
    <w:rsid w:val="000C3CA4"/>
    <w:rsid w:val="000D69DC"/>
    <w:rsid w:val="000F29E1"/>
    <w:rsid w:val="001007A4"/>
    <w:rsid w:val="001012D5"/>
    <w:rsid w:val="0010149D"/>
    <w:rsid w:val="001028A5"/>
    <w:rsid w:val="00104701"/>
    <w:rsid w:val="001072B5"/>
    <w:rsid w:val="00113244"/>
    <w:rsid w:val="001151D6"/>
    <w:rsid w:val="00143352"/>
    <w:rsid w:val="00146D4F"/>
    <w:rsid w:val="00147B12"/>
    <w:rsid w:val="001510CB"/>
    <w:rsid w:val="00151894"/>
    <w:rsid w:val="001570B9"/>
    <w:rsid w:val="00165666"/>
    <w:rsid w:val="00167A68"/>
    <w:rsid w:val="00167AED"/>
    <w:rsid w:val="00172528"/>
    <w:rsid w:val="001803C5"/>
    <w:rsid w:val="001816D6"/>
    <w:rsid w:val="00186B44"/>
    <w:rsid w:val="0019610F"/>
    <w:rsid w:val="00196ECE"/>
    <w:rsid w:val="00197F2F"/>
    <w:rsid w:val="001B0589"/>
    <w:rsid w:val="001B1A82"/>
    <w:rsid w:val="001B1B37"/>
    <w:rsid w:val="001B3927"/>
    <w:rsid w:val="001B45E3"/>
    <w:rsid w:val="001B51A8"/>
    <w:rsid w:val="001C52A5"/>
    <w:rsid w:val="001D3205"/>
    <w:rsid w:val="001D5344"/>
    <w:rsid w:val="001F37B4"/>
    <w:rsid w:val="001F5FF2"/>
    <w:rsid w:val="00206846"/>
    <w:rsid w:val="00206AB5"/>
    <w:rsid w:val="002138FB"/>
    <w:rsid w:val="00214BD1"/>
    <w:rsid w:val="00220F02"/>
    <w:rsid w:val="00223C6C"/>
    <w:rsid w:val="00223E72"/>
    <w:rsid w:val="0022538B"/>
    <w:rsid w:val="00236602"/>
    <w:rsid w:val="002402C9"/>
    <w:rsid w:val="002408F9"/>
    <w:rsid w:val="00240F44"/>
    <w:rsid w:val="002432A7"/>
    <w:rsid w:val="002437C7"/>
    <w:rsid w:val="0024411D"/>
    <w:rsid w:val="00254B17"/>
    <w:rsid w:val="002601CC"/>
    <w:rsid w:val="002607BB"/>
    <w:rsid w:val="00260A63"/>
    <w:rsid w:val="00260C23"/>
    <w:rsid w:val="00274E14"/>
    <w:rsid w:val="00276BF3"/>
    <w:rsid w:val="00280956"/>
    <w:rsid w:val="002832E6"/>
    <w:rsid w:val="00286F72"/>
    <w:rsid w:val="00295392"/>
    <w:rsid w:val="002975AB"/>
    <w:rsid w:val="002A231B"/>
    <w:rsid w:val="002B07DA"/>
    <w:rsid w:val="002B479B"/>
    <w:rsid w:val="002C7358"/>
    <w:rsid w:val="002F6FAB"/>
    <w:rsid w:val="00304BA7"/>
    <w:rsid w:val="00307B98"/>
    <w:rsid w:val="00325EAA"/>
    <w:rsid w:val="00331077"/>
    <w:rsid w:val="003351E2"/>
    <w:rsid w:val="0034024B"/>
    <w:rsid w:val="00341F7B"/>
    <w:rsid w:val="003534B7"/>
    <w:rsid w:val="00364CF9"/>
    <w:rsid w:val="00365C2E"/>
    <w:rsid w:val="00365E7B"/>
    <w:rsid w:val="00367564"/>
    <w:rsid w:val="00384417"/>
    <w:rsid w:val="003849D0"/>
    <w:rsid w:val="003921B8"/>
    <w:rsid w:val="0039375D"/>
    <w:rsid w:val="003944DF"/>
    <w:rsid w:val="003C40CB"/>
    <w:rsid w:val="003C574E"/>
    <w:rsid w:val="003C75F6"/>
    <w:rsid w:val="003D36E4"/>
    <w:rsid w:val="003E3787"/>
    <w:rsid w:val="003E4FD8"/>
    <w:rsid w:val="003E5FDC"/>
    <w:rsid w:val="003F149D"/>
    <w:rsid w:val="003F6446"/>
    <w:rsid w:val="00401553"/>
    <w:rsid w:val="00403EC9"/>
    <w:rsid w:val="004108AF"/>
    <w:rsid w:val="0041611B"/>
    <w:rsid w:val="004178C1"/>
    <w:rsid w:val="004231F5"/>
    <w:rsid w:val="00426B63"/>
    <w:rsid w:val="0043149E"/>
    <w:rsid w:val="004423AD"/>
    <w:rsid w:val="004449DF"/>
    <w:rsid w:val="00445650"/>
    <w:rsid w:val="0044732A"/>
    <w:rsid w:val="004512DA"/>
    <w:rsid w:val="0045540B"/>
    <w:rsid w:val="00455762"/>
    <w:rsid w:val="00470E5F"/>
    <w:rsid w:val="00472BF6"/>
    <w:rsid w:val="0047437F"/>
    <w:rsid w:val="00482B67"/>
    <w:rsid w:val="004922F7"/>
    <w:rsid w:val="0049740F"/>
    <w:rsid w:val="004A0D86"/>
    <w:rsid w:val="004B509C"/>
    <w:rsid w:val="004B5FD3"/>
    <w:rsid w:val="004C07F2"/>
    <w:rsid w:val="004C5C08"/>
    <w:rsid w:val="004C6833"/>
    <w:rsid w:val="004D30DB"/>
    <w:rsid w:val="004D5BFE"/>
    <w:rsid w:val="004D5D2B"/>
    <w:rsid w:val="004D60A8"/>
    <w:rsid w:val="004E09E0"/>
    <w:rsid w:val="004E53D9"/>
    <w:rsid w:val="004E5807"/>
    <w:rsid w:val="004E648A"/>
    <w:rsid w:val="004F36CE"/>
    <w:rsid w:val="005003F9"/>
    <w:rsid w:val="00502E90"/>
    <w:rsid w:val="005125C8"/>
    <w:rsid w:val="005151FE"/>
    <w:rsid w:val="0051553C"/>
    <w:rsid w:val="00520DEB"/>
    <w:rsid w:val="00521ECB"/>
    <w:rsid w:val="00524ADD"/>
    <w:rsid w:val="0052591E"/>
    <w:rsid w:val="00531769"/>
    <w:rsid w:val="0053319F"/>
    <w:rsid w:val="005340D2"/>
    <w:rsid w:val="005357FC"/>
    <w:rsid w:val="005360B4"/>
    <w:rsid w:val="00544B7D"/>
    <w:rsid w:val="0055426C"/>
    <w:rsid w:val="00554F40"/>
    <w:rsid w:val="00556DFA"/>
    <w:rsid w:val="00562065"/>
    <w:rsid w:val="00566A68"/>
    <w:rsid w:val="00567F94"/>
    <w:rsid w:val="00572FAA"/>
    <w:rsid w:val="00581F1F"/>
    <w:rsid w:val="00583F49"/>
    <w:rsid w:val="00586AB9"/>
    <w:rsid w:val="00587193"/>
    <w:rsid w:val="0059518A"/>
    <w:rsid w:val="005951BE"/>
    <w:rsid w:val="005A09DE"/>
    <w:rsid w:val="005A0A09"/>
    <w:rsid w:val="005A4F32"/>
    <w:rsid w:val="005A767A"/>
    <w:rsid w:val="005A7D09"/>
    <w:rsid w:val="005B18AD"/>
    <w:rsid w:val="005B5F3A"/>
    <w:rsid w:val="005C7344"/>
    <w:rsid w:val="005D76F4"/>
    <w:rsid w:val="005F3011"/>
    <w:rsid w:val="00603F83"/>
    <w:rsid w:val="006041EA"/>
    <w:rsid w:val="006059B2"/>
    <w:rsid w:val="00610C73"/>
    <w:rsid w:val="00612045"/>
    <w:rsid w:val="00633376"/>
    <w:rsid w:val="00635EFA"/>
    <w:rsid w:val="00641F1B"/>
    <w:rsid w:val="006452AC"/>
    <w:rsid w:val="00646D3E"/>
    <w:rsid w:val="006475E0"/>
    <w:rsid w:val="00656638"/>
    <w:rsid w:val="00667A23"/>
    <w:rsid w:val="006718D1"/>
    <w:rsid w:val="00674E7B"/>
    <w:rsid w:val="00676BF6"/>
    <w:rsid w:val="00677D8C"/>
    <w:rsid w:val="00680CA7"/>
    <w:rsid w:val="00684FD7"/>
    <w:rsid w:val="00690918"/>
    <w:rsid w:val="00695A68"/>
    <w:rsid w:val="006B30B1"/>
    <w:rsid w:val="006B4833"/>
    <w:rsid w:val="006C09C9"/>
    <w:rsid w:val="006C54A3"/>
    <w:rsid w:val="006D4C90"/>
    <w:rsid w:val="006E3DDF"/>
    <w:rsid w:val="006E56D0"/>
    <w:rsid w:val="006F3A08"/>
    <w:rsid w:val="006F77F8"/>
    <w:rsid w:val="0070231F"/>
    <w:rsid w:val="0070464E"/>
    <w:rsid w:val="00704ACC"/>
    <w:rsid w:val="007066AE"/>
    <w:rsid w:val="00710EF4"/>
    <w:rsid w:val="00712FCF"/>
    <w:rsid w:val="00713152"/>
    <w:rsid w:val="0071413B"/>
    <w:rsid w:val="0071688D"/>
    <w:rsid w:val="00717BF9"/>
    <w:rsid w:val="007361B4"/>
    <w:rsid w:val="0074155B"/>
    <w:rsid w:val="007438C1"/>
    <w:rsid w:val="007453A6"/>
    <w:rsid w:val="00753226"/>
    <w:rsid w:val="00755058"/>
    <w:rsid w:val="007566C3"/>
    <w:rsid w:val="007574AC"/>
    <w:rsid w:val="007616E1"/>
    <w:rsid w:val="00763D29"/>
    <w:rsid w:val="007730A6"/>
    <w:rsid w:val="0077361A"/>
    <w:rsid w:val="00775CAB"/>
    <w:rsid w:val="007804EE"/>
    <w:rsid w:val="00786139"/>
    <w:rsid w:val="00796446"/>
    <w:rsid w:val="007A124D"/>
    <w:rsid w:val="007A1641"/>
    <w:rsid w:val="007A2426"/>
    <w:rsid w:val="007B0339"/>
    <w:rsid w:val="007B3BD2"/>
    <w:rsid w:val="007B71AE"/>
    <w:rsid w:val="007C6232"/>
    <w:rsid w:val="007D0ED8"/>
    <w:rsid w:val="007E0C2B"/>
    <w:rsid w:val="007E3484"/>
    <w:rsid w:val="007E4C1B"/>
    <w:rsid w:val="0080070B"/>
    <w:rsid w:val="00804927"/>
    <w:rsid w:val="0081018E"/>
    <w:rsid w:val="0081304D"/>
    <w:rsid w:val="00814F38"/>
    <w:rsid w:val="008165EB"/>
    <w:rsid w:val="00821810"/>
    <w:rsid w:val="00826419"/>
    <w:rsid w:val="00832063"/>
    <w:rsid w:val="0084222F"/>
    <w:rsid w:val="008427A4"/>
    <w:rsid w:val="00843205"/>
    <w:rsid w:val="00851AF1"/>
    <w:rsid w:val="00860381"/>
    <w:rsid w:val="0086108A"/>
    <w:rsid w:val="0086284A"/>
    <w:rsid w:val="00864956"/>
    <w:rsid w:val="00867899"/>
    <w:rsid w:val="00872E7F"/>
    <w:rsid w:val="00877719"/>
    <w:rsid w:val="00881865"/>
    <w:rsid w:val="00884287"/>
    <w:rsid w:val="0089184D"/>
    <w:rsid w:val="008936DF"/>
    <w:rsid w:val="0089724A"/>
    <w:rsid w:val="008A1817"/>
    <w:rsid w:val="008A6CDC"/>
    <w:rsid w:val="008B35DA"/>
    <w:rsid w:val="008B4D09"/>
    <w:rsid w:val="008C038F"/>
    <w:rsid w:val="008C240A"/>
    <w:rsid w:val="008C51A2"/>
    <w:rsid w:val="008D05C7"/>
    <w:rsid w:val="008E028D"/>
    <w:rsid w:val="009001AA"/>
    <w:rsid w:val="009006CF"/>
    <w:rsid w:val="009013FB"/>
    <w:rsid w:val="00904CDB"/>
    <w:rsid w:val="009161F6"/>
    <w:rsid w:val="00923329"/>
    <w:rsid w:val="0093004A"/>
    <w:rsid w:val="009323C8"/>
    <w:rsid w:val="0093262C"/>
    <w:rsid w:val="009354B7"/>
    <w:rsid w:val="0093786F"/>
    <w:rsid w:val="00937B17"/>
    <w:rsid w:val="00972D20"/>
    <w:rsid w:val="009815B3"/>
    <w:rsid w:val="00984FBA"/>
    <w:rsid w:val="00986DE1"/>
    <w:rsid w:val="00991B94"/>
    <w:rsid w:val="00996343"/>
    <w:rsid w:val="009A1BA1"/>
    <w:rsid w:val="009A3FD9"/>
    <w:rsid w:val="009B26D2"/>
    <w:rsid w:val="009C08A5"/>
    <w:rsid w:val="009C0D9B"/>
    <w:rsid w:val="009C1A65"/>
    <w:rsid w:val="009C644F"/>
    <w:rsid w:val="009C67A1"/>
    <w:rsid w:val="009C7AC0"/>
    <w:rsid w:val="009E72AE"/>
    <w:rsid w:val="009F52C9"/>
    <w:rsid w:val="009F5646"/>
    <w:rsid w:val="009F5999"/>
    <w:rsid w:val="009F6A5D"/>
    <w:rsid w:val="00A06C1B"/>
    <w:rsid w:val="00A1095A"/>
    <w:rsid w:val="00A11E66"/>
    <w:rsid w:val="00A2131B"/>
    <w:rsid w:val="00A263FE"/>
    <w:rsid w:val="00A31AEC"/>
    <w:rsid w:val="00A33224"/>
    <w:rsid w:val="00A36F51"/>
    <w:rsid w:val="00A40F38"/>
    <w:rsid w:val="00A44CFF"/>
    <w:rsid w:val="00A50D81"/>
    <w:rsid w:val="00A53754"/>
    <w:rsid w:val="00A54D6E"/>
    <w:rsid w:val="00A57467"/>
    <w:rsid w:val="00A601CF"/>
    <w:rsid w:val="00A652A4"/>
    <w:rsid w:val="00A716F0"/>
    <w:rsid w:val="00A72910"/>
    <w:rsid w:val="00A73411"/>
    <w:rsid w:val="00A80820"/>
    <w:rsid w:val="00A87AC3"/>
    <w:rsid w:val="00A91D95"/>
    <w:rsid w:val="00A94DF5"/>
    <w:rsid w:val="00A9560A"/>
    <w:rsid w:val="00AA3DC0"/>
    <w:rsid w:val="00AA6BD2"/>
    <w:rsid w:val="00AB3960"/>
    <w:rsid w:val="00AB6847"/>
    <w:rsid w:val="00AB7080"/>
    <w:rsid w:val="00AC5626"/>
    <w:rsid w:val="00AD0852"/>
    <w:rsid w:val="00AD3039"/>
    <w:rsid w:val="00AD7BCC"/>
    <w:rsid w:val="00AE10D8"/>
    <w:rsid w:val="00AF3C0D"/>
    <w:rsid w:val="00B10FA3"/>
    <w:rsid w:val="00B17E31"/>
    <w:rsid w:val="00B21BC5"/>
    <w:rsid w:val="00B247D2"/>
    <w:rsid w:val="00B24AD6"/>
    <w:rsid w:val="00B27119"/>
    <w:rsid w:val="00B33009"/>
    <w:rsid w:val="00B33171"/>
    <w:rsid w:val="00B33351"/>
    <w:rsid w:val="00B35896"/>
    <w:rsid w:val="00B40DD6"/>
    <w:rsid w:val="00B47E72"/>
    <w:rsid w:val="00B51FE6"/>
    <w:rsid w:val="00B552AC"/>
    <w:rsid w:val="00B55F2D"/>
    <w:rsid w:val="00B603C3"/>
    <w:rsid w:val="00B63701"/>
    <w:rsid w:val="00B6414C"/>
    <w:rsid w:val="00B64684"/>
    <w:rsid w:val="00B71A34"/>
    <w:rsid w:val="00B82FD5"/>
    <w:rsid w:val="00B95EE1"/>
    <w:rsid w:val="00BA1942"/>
    <w:rsid w:val="00BA69E4"/>
    <w:rsid w:val="00BC08BB"/>
    <w:rsid w:val="00BC2DCE"/>
    <w:rsid w:val="00BC38AB"/>
    <w:rsid w:val="00BC3CAE"/>
    <w:rsid w:val="00BC4F64"/>
    <w:rsid w:val="00BD0C12"/>
    <w:rsid w:val="00BD2CEF"/>
    <w:rsid w:val="00BD3C93"/>
    <w:rsid w:val="00BE511B"/>
    <w:rsid w:val="00BF0563"/>
    <w:rsid w:val="00BF562B"/>
    <w:rsid w:val="00C00DB7"/>
    <w:rsid w:val="00C17AB8"/>
    <w:rsid w:val="00C224B5"/>
    <w:rsid w:val="00C2468F"/>
    <w:rsid w:val="00C32188"/>
    <w:rsid w:val="00C32F22"/>
    <w:rsid w:val="00C35214"/>
    <w:rsid w:val="00C43B6F"/>
    <w:rsid w:val="00C468EA"/>
    <w:rsid w:val="00C47210"/>
    <w:rsid w:val="00C559BD"/>
    <w:rsid w:val="00C560D7"/>
    <w:rsid w:val="00C5699E"/>
    <w:rsid w:val="00C5783A"/>
    <w:rsid w:val="00C57BC6"/>
    <w:rsid w:val="00C6001B"/>
    <w:rsid w:val="00C61A19"/>
    <w:rsid w:val="00C701FC"/>
    <w:rsid w:val="00C70F0E"/>
    <w:rsid w:val="00C71A5C"/>
    <w:rsid w:val="00C72941"/>
    <w:rsid w:val="00C7539B"/>
    <w:rsid w:val="00C83D6D"/>
    <w:rsid w:val="00C85F7D"/>
    <w:rsid w:val="00C9144E"/>
    <w:rsid w:val="00C92524"/>
    <w:rsid w:val="00C96B5A"/>
    <w:rsid w:val="00CA28C7"/>
    <w:rsid w:val="00CA31B6"/>
    <w:rsid w:val="00CA4CAF"/>
    <w:rsid w:val="00CC1CE0"/>
    <w:rsid w:val="00CC2AC3"/>
    <w:rsid w:val="00CC2CCC"/>
    <w:rsid w:val="00CC58EF"/>
    <w:rsid w:val="00CD4D55"/>
    <w:rsid w:val="00CF34A8"/>
    <w:rsid w:val="00CF3670"/>
    <w:rsid w:val="00D0027D"/>
    <w:rsid w:val="00D0236F"/>
    <w:rsid w:val="00D07C08"/>
    <w:rsid w:val="00D1449C"/>
    <w:rsid w:val="00D2214A"/>
    <w:rsid w:val="00D27B39"/>
    <w:rsid w:val="00D3251A"/>
    <w:rsid w:val="00D32AAE"/>
    <w:rsid w:val="00D4418B"/>
    <w:rsid w:val="00D448E3"/>
    <w:rsid w:val="00D4720B"/>
    <w:rsid w:val="00D54A16"/>
    <w:rsid w:val="00D62FEB"/>
    <w:rsid w:val="00D70E0C"/>
    <w:rsid w:val="00D76700"/>
    <w:rsid w:val="00D81BD1"/>
    <w:rsid w:val="00D82CA0"/>
    <w:rsid w:val="00D84418"/>
    <w:rsid w:val="00D85EF7"/>
    <w:rsid w:val="00D9008D"/>
    <w:rsid w:val="00D91CAB"/>
    <w:rsid w:val="00D93A2E"/>
    <w:rsid w:val="00DA5CF9"/>
    <w:rsid w:val="00DB5FB9"/>
    <w:rsid w:val="00DB7E86"/>
    <w:rsid w:val="00DC0639"/>
    <w:rsid w:val="00DC395B"/>
    <w:rsid w:val="00DC40C7"/>
    <w:rsid w:val="00DC70DB"/>
    <w:rsid w:val="00DD4AD5"/>
    <w:rsid w:val="00DE1688"/>
    <w:rsid w:val="00DF1146"/>
    <w:rsid w:val="00DF416D"/>
    <w:rsid w:val="00DF5864"/>
    <w:rsid w:val="00E15641"/>
    <w:rsid w:val="00E15A6A"/>
    <w:rsid w:val="00E175FC"/>
    <w:rsid w:val="00E2076B"/>
    <w:rsid w:val="00E31936"/>
    <w:rsid w:val="00E3728A"/>
    <w:rsid w:val="00E4365C"/>
    <w:rsid w:val="00E4462F"/>
    <w:rsid w:val="00E50394"/>
    <w:rsid w:val="00E62A03"/>
    <w:rsid w:val="00E64E49"/>
    <w:rsid w:val="00E7530C"/>
    <w:rsid w:val="00E816F2"/>
    <w:rsid w:val="00E83FC0"/>
    <w:rsid w:val="00E93084"/>
    <w:rsid w:val="00E962CB"/>
    <w:rsid w:val="00EC7903"/>
    <w:rsid w:val="00ED0C82"/>
    <w:rsid w:val="00ED2DB3"/>
    <w:rsid w:val="00ED332F"/>
    <w:rsid w:val="00ED668D"/>
    <w:rsid w:val="00ED7B0E"/>
    <w:rsid w:val="00EE44AA"/>
    <w:rsid w:val="00EE6CA1"/>
    <w:rsid w:val="00EF073A"/>
    <w:rsid w:val="00EF45E4"/>
    <w:rsid w:val="00EF5FFE"/>
    <w:rsid w:val="00F06C49"/>
    <w:rsid w:val="00F130A0"/>
    <w:rsid w:val="00F13860"/>
    <w:rsid w:val="00F146F8"/>
    <w:rsid w:val="00F25A84"/>
    <w:rsid w:val="00F266BB"/>
    <w:rsid w:val="00F40A6C"/>
    <w:rsid w:val="00F420C0"/>
    <w:rsid w:val="00F434D4"/>
    <w:rsid w:val="00F504B2"/>
    <w:rsid w:val="00F51ABA"/>
    <w:rsid w:val="00F5418E"/>
    <w:rsid w:val="00F54820"/>
    <w:rsid w:val="00F55FE4"/>
    <w:rsid w:val="00F57AD4"/>
    <w:rsid w:val="00F6041A"/>
    <w:rsid w:val="00F64505"/>
    <w:rsid w:val="00F65E01"/>
    <w:rsid w:val="00F72C03"/>
    <w:rsid w:val="00F7578E"/>
    <w:rsid w:val="00F84622"/>
    <w:rsid w:val="00F9313E"/>
    <w:rsid w:val="00F93478"/>
    <w:rsid w:val="00F95503"/>
    <w:rsid w:val="00F95649"/>
    <w:rsid w:val="00F971B7"/>
    <w:rsid w:val="00FA19F8"/>
    <w:rsid w:val="00FA7CFA"/>
    <w:rsid w:val="00FB145E"/>
    <w:rsid w:val="00FC7A82"/>
    <w:rsid w:val="00FD360A"/>
    <w:rsid w:val="00FD4CB2"/>
    <w:rsid w:val="00FD572B"/>
    <w:rsid w:val="00FE03C5"/>
    <w:rsid w:val="00FE7F83"/>
    <w:rsid w:val="00FF1B30"/>
    <w:rsid w:val="00FF2174"/>
    <w:rsid w:val="00FF462E"/>
    <w:rsid w:val="00FF5A3D"/>
    <w:rsid w:val="03479D5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uiPriority="99"/>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uiPriority="99"/>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20"/>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9354B7"/>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uiPriority w:val="99"/>
    <w:semiHidden/>
    <w:rsid w:val="00206AB5"/>
    <w:rPr>
      <w:sz w:val="16"/>
      <w:szCs w:val="16"/>
    </w:rPr>
  </w:style>
  <w:style w:type="paragraph" w:styleId="CommentText">
    <w:name w:val="annotation text"/>
    <w:basedOn w:val="Normal"/>
    <w:link w:val="CommentTextChar"/>
    <w:uiPriority w:val="99"/>
    <w:rsid w:val="00206AB5"/>
    <w:pPr>
      <w:spacing w:line="240" w:lineRule="auto"/>
    </w:pPr>
    <w:rPr>
      <w:sz w:val="20"/>
    </w:rPr>
  </w:style>
  <w:style w:type="character" w:customStyle="1" w:styleId="CommentTextChar">
    <w:name w:val="Comment Text Char"/>
    <w:basedOn w:val="DefaultParagraphFont"/>
    <w:link w:val="CommentText"/>
    <w:uiPriority w:val="99"/>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867899"/>
    <w:pPr>
      <w:spacing w:after="0" w:line="240" w:lineRule="auto"/>
    </w:pPr>
    <w:rPr>
      <w:rFonts w:ascii="Times New Roman" w:eastAsia="Calibri" w:hAnsi="Times New Roman"/>
      <w:sz w:val="20"/>
      <w:szCs w:val="22"/>
      <w:lang w:val="en-US" w:eastAsia="en-IE" w:bidi="en-US"/>
    </w:rPr>
  </w:style>
  <w:style w:type="character" w:customStyle="1" w:styleId="FRABodyTextChar">
    <w:name w:val="(FRA) Body Text Char"/>
    <w:basedOn w:val="DefaultParagraphFont"/>
    <w:link w:val="FRABodyText"/>
    <w:rsid w:val="00867899"/>
    <w:rPr>
      <w:rFonts w:ascii="Times New Roman" w:eastAsia="Calibri" w:hAnsi="Times New Roman"/>
      <w:sz w:val="20"/>
      <w:szCs w:val="22"/>
      <w:lang w:val="en-US"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character" w:customStyle="1" w:styleId="plainlinks-print">
    <w:name w:val="plainlinks-print"/>
    <w:basedOn w:val="DefaultParagraphFont"/>
    <w:rsid w:val="00341F7B"/>
  </w:style>
  <w:style w:type="paragraph" w:customStyle="1" w:styleId="Default">
    <w:name w:val="Default"/>
    <w:rsid w:val="00986DE1"/>
    <w:pPr>
      <w:autoSpaceDE w:val="0"/>
      <w:autoSpaceDN w:val="0"/>
      <w:adjustRightInd w:val="0"/>
      <w:spacing w:after="0" w:line="240" w:lineRule="auto"/>
    </w:pPr>
    <w:rPr>
      <w:rFonts w:ascii="Arial" w:hAnsi="Arial" w:cs="Arial"/>
      <w:color w:val="000000"/>
      <w:szCs w:val="24"/>
      <w:lang w:val="de-DE"/>
    </w:rPr>
  </w:style>
  <w:style w:type="paragraph" w:styleId="BalloonText">
    <w:name w:val="Balloon Text"/>
    <w:basedOn w:val="Normal"/>
    <w:link w:val="BalloonTextChar"/>
    <w:semiHidden/>
    <w:rsid w:val="00554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5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756078">
      <w:bodyDiv w:val="1"/>
      <w:marLeft w:val="0"/>
      <w:marRight w:val="0"/>
      <w:marTop w:val="0"/>
      <w:marBottom w:val="0"/>
      <w:divBdr>
        <w:top w:val="none" w:sz="0" w:space="0" w:color="auto"/>
        <w:left w:val="none" w:sz="0" w:space="0" w:color="auto"/>
        <w:bottom w:val="none" w:sz="0" w:space="0" w:color="auto"/>
        <w:right w:val="none" w:sz="0" w:space="0" w:color="auto"/>
      </w:divBdr>
    </w:div>
    <w:div w:id="985475002">
      <w:bodyDiv w:val="1"/>
      <w:marLeft w:val="0"/>
      <w:marRight w:val="0"/>
      <w:marTop w:val="0"/>
      <w:marBottom w:val="0"/>
      <w:divBdr>
        <w:top w:val="none" w:sz="0" w:space="0" w:color="auto"/>
        <w:left w:val="none" w:sz="0" w:space="0" w:color="auto"/>
        <w:bottom w:val="none" w:sz="0" w:space="0" w:color="auto"/>
        <w:right w:val="none" w:sz="0" w:space="0" w:color="auto"/>
      </w:divBdr>
    </w:div>
    <w:div w:id="1654723629">
      <w:bodyDiv w:val="1"/>
      <w:marLeft w:val="0"/>
      <w:marRight w:val="0"/>
      <w:marTop w:val="0"/>
      <w:marBottom w:val="0"/>
      <w:divBdr>
        <w:top w:val="none" w:sz="0" w:space="0" w:color="auto"/>
        <w:left w:val="none" w:sz="0" w:space="0" w:color="auto"/>
        <w:bottom w:val="none" w:sz="0" w:space="0" w:color="auto"/>
        <w:right w:val="none" w:sz="0" w:space="0" w:color="auto"/>
      </w:divBdr>
    </w:div>
    <w:div w:id="1678845920">
      <w:bodyDiv w:val="1"/>
      <w:marLeft w:val="0"/>
      <w:marRight w:val="0"/>
      <w:marTop w:val="0"/>
      <w:marBottom w:val="0"/>
      <w:divBdr>
        <w:top w:val="none" w:sz="0" w:space="0" w:color="auto"/>
        <w:left w:val="none" w:sz="0" w:space="0" w:color="auto"/>
        <w:bottom w:val="none" w:sz="0" w:space="0" w:color="auto"/>
        <w:right w:val="none" w:sz="0" w:space="0" w:color="auto"/>
      </w:divBdr>
    </w:div>
    <w:div w:id="1704133478">
      <w:bodyDiv w:val="1"/>
      <w:marLeft w:val="0"/>
      <w:marRight w:val="0"/>
      <w:marTop w:val="0"/>
      <w:marBottom w:val="0"/>
      <w:divBdr>
        <w:top w:val="none" w:sz="0" w:space="0" w:color="auto"/>
        <w:left w:val="none" w:sz="0" w:space="0" w:color="auto"/>
        <w:bottom w:val="none" w:sz="0" w:space="0" w:color="auto"/>
        <w:right w:val="none" w:sz="0" w:space="0" w:color="auto"/>
      </w:divBdr>
    </w:div>
    <w:div w:id="2061779541">
      <w:bodyDiv w:val="1"/>
      <w:marLeft w:val="0"/>
      <w:marRight w:val="0"/>
      <w:marTop w:val="0"/>
      <w:marBottom w:val="0"/>
      <w:divBdr>
        <w:top w:val="none" w:sz="0" w:space="0" w:color="auto"/>
        <w:left w:val="none" w:sz="0" w:space="0" w:color="auto"/>
        <w:bottom w:val="none" w:sz="0" w:space="0" w:color="auto"/>
        <w:right w:val="none" w:sz="0" w:space="0" w:color="auto"/>
      </w:divBdr>
    </w:div>
    <w:div w:id="208660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6AE1-F1E2-47C6-ABBF-F8533719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3221</Words>
  <Characters>18749</Characters>
  <Application>Microsoft Office Word</Application>
  <DocSecurity>0</DocSecurity>
  <PresentationFormat>Microsoft Word 14.0</PresentationFormat>
  <Lines>468</Lines>
  <Paragraphs>152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2024-05-30T07:44:00Z</dcterms:created>
  <dcterms:modified xsi:type="dcterms:W3CDTF">2024-05-30T07:44:00Z</dcterms:modified>
</cp:coreProperties>
</file>