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Calibri" w:eastAsia="Times New Roman" w:hAnsi="Calibri" w:cs="Times New Roman"/>
          <w:b w:val="0"/>
          <w:sz w:val="24"/>
          <w:szCs w:val="20"/>
          <w:lang w:eastAsia="en-GB" w:bidi="ar-SA"/>
        </w:rPr>
        <w:alias w:val="Cover Page"/>
        <w:tag w:val="t6wVQ5x8u4wxp1DJf4fqy5"/>
        <w:id w:val="-1138875436"/>
      </w:sdtPr>
      <w:sdtEndPr/>
      <w:sdtContent>
        <w:p w14:paraId="3A024E33" w14:textId="1D55603A" w:rsidR="00610C73" w:rsidRPr="006E5B7F" w:rsidRDefault="00610C73" w:rsidP="00236602">
          <w:pPr>
            <w:pStyle w:val="FRAHeading4Unnumbered"/>
          </w:pPr>
        </w:p>
        <w:p w14:paraId="057EBEB7" w14:textId="6DF825CF" w:rsidR="00610C73" w:rsidRPr="006E5B7F" w:rsidRDefault="005C7344" w:rsidP="00C5699E">
          <w:pPr>
            <w:pStyle w:val="PublicationTitle"/>
            <w:spacing w:before="480" w:after="360"/>
            <w:jc w:val="right"/>
            <w:rPr>
              <w:color w:val="4472C4" w:themeColor="accent1"/>
              <w:sz w:val="56"/>
              <w:szCs w:val="18"/>
            </w:rPr>
          </w:pPr>
          <w:bookmarkStart w:id="0" w:name="_Hlk147143660"/>
          <w:r w:rsidRPr="006E5B7F">
            <w:rPr>
              <w:color w:val="4472C4" w:themeColor="accent1"/>
              <w:sz w:val="56"/>
              <w:szCs w:val="18"/>
            </w:rPr>
            <w:t xml:space="preserve">The right to political participation of persons with disabilities ahead of the 2024 European Parliament elections </w:t>
          </w:r>
        </w:p>
        <w:bookmarkEnd w:id="0"/>
        <w:p w14:paraId="2283451C" w14:textId="581474A8" w:rsidR="0089724A" w:rsidRPr="006E5B7F" w:rsidRDefault="004812BB" w:rsidP="008165EB">
          <w:pPr>
            <w:pStyle w:val="PublicationSubtitle"/>
            <w:spacing w:before="0"/>
            <w:jc w:val="right"/>
            <w:rPr>
              <w:color w:val="auto"/>
            </w:rPr>
          </w:pPr>
          <w:r w:rsidRPr="006E5B7F">
            <w:rPr>
              <w:color w:val="auto"/>
            </w:rPr>
            <w:t>Finland</w:t>
          </w:r>
        </w:p>
        <w:p w14:paraId="76B6EB03" w14:textId="77777777" w:rsidR="0089724A" w:rsidRPr="006E5B7F" w:rsidRDefault="0089724A" w:rsidP="008165EB">
          <w:pPr>
            <w:pStyle w:val="PublicationSubtitle"/>
            <w:spacing w:before="0"/>
            <w:jc w:val="right"/>
            <w:rPr>
              <w:color w:val="auto"/>
            </w:rPr>
          </w:pPr>
        </w:p>
        <w:p w14:paraId="6A673131" w14:textId="3F034D96" w:rsidR="00610C73" w:rsidRPr="006E5B7F" w:rsidRDefault="00CC2CCC" w:rsidP="00C5699E">
          <w:pPr>
            <w:pStyle w:val="PublicationSubtitle"/>
            <w:spacing w:before="0"/>
            <w:jc w:val="right"/>
            <w:rPr>
              <w:color w:val="auto"/>
            </w:rPr>
          </w:pPr>
          <w:r w:rsidRPr="006E5B7F">
            <w:rPr>
              <w:color w:val="auto"/>
            </w:rPr>
            <w:t>January 2024</w:t>
          </w:r>
        </w:p>
        <w:p w14:paraId="2EAF2CC3" w14:textId="47D942E6" w:rsidR="008165EB" w:rsidRPr="006E5B7F" w:rsidRDefault="008165EB" w:rsidP="008165EB">
          <w:pPr>
            <w:pStyle w:val="PublicationSubsubtitle"/>
            <w:spacing w:after="0"/>
            <w:jc w:val="right"/>
            <w:rPr>
              <w:color w:val="auto"/>
            </w:rPr>
          </w:pPr>
          <w:r w:rsidRPr="006E5B7F">
            <w:rPr>
              <w:color w:val="auto"/>
            </w:rPr>
            <w:t xml:space="preserve"> </w:t>
          </w:r>
        </w:p>
        <w:p w14:paraId="505EBD70" w14:textId="1D3CB6F0" w:rsidR="008165EB" w:rsidRPr="006E5B7F" w:rsidRDefault="008165EB" w:rsidP="008165EB">
          <w:pPr>
            <w:pStyle w:val="PublicationSubsubtitle"/>
            <w:spacing w:after="0"/>
            <w:jc w:val="right"/>
            <w:rPr>
              <w:color w:val="auto"/>
            </w:rPr>
          </w:pPr>
          <w:r w:rsidRPr="006E5B7F">
            <w:rPr>
              <w:color w:val="auto"/>
            </w:rPr>
            <w:t>Contractor:</w:t>
          </w:r>
          <w:r w:rsidR="002A6C44" w:rsidRPr="006E5B7F">
            <w:rPr>
              <w:color w:val="auto"/>
            </w:rPr>
            <w:t xml:space="preserve"> Institute for Human Rights, </w:t>
          </w:r>
          <w:proofErr w:type="spellStart"/>
          <w:r w:rsidR="002A6C44" w:rsidRPr="006E5B7F">
            <w:rPr>
              <w:color w:val="auto"/>
            </w:rPr>
            <w:t>Åbo</w:t>
          </w:r>
          <w:proofErr w:type="spellEnd"/>
          <w:r w:rsidR="002A6C44" w:rsidRPr="006E5B7F">
            <w:rPr>
              <w:color w:val="auto"/>
            </w:rPr>
            <w:t xml:space="preserve"> </w:t>
          </w:r>
          <w:proofErr w:type="spellStart"/>
          <w:r w:rsidR="002A6C44" w:rsidRPr="006E5B7F">
            <w:rPr>
              <w:color w:val="auto"/>
            </w:rPr>
            <w:t>Akademi</w:t>
          </w:r>
          <w:proofErr w:type="spellEnd"/>
          <w:r w:rsidR="002A6C44" w:rsidRPr="006E5B7F">
            <w:rPr>
              <w:color w:val="auto"/>
            </w:rPr>
            <w:t xml:space="preserve"> Un</w:t>
          </w:r>
          <w:r w:rsidR="00333650" w:rsidRPr="006E5B7F">
            <w:rPr>
              <w:color w:val="auto"/>
            </w:rPr>
            <w:t>iver</w:t>
          </w:r>
          <w:r w:rsidR="002A6C44" w:rsidRPr="006E5B7F">
            <w:rPr>
              <w:color w:val="auto"/>
            </w:rPr>
            <w:t>sity</w:t>
          </w:r>
        </w:p>
        <w:p w14:paraId="4FA623F4" w14:textId="3744402D" w:rsidR="008165EB" w:rsidRPr="006E5B7F" w:rsidRDefault="008165EB" w:rsidP="00C5699E">
          <w:pPr>
            <w:pStyle w:val="PublicationSubsubtitle"/>
            <w:spacing w:after="0"/>
            <w:jc w:val="right"/>
            <w:rPr>
              <w:color w:val="auto"/>
            </w:rPr>
          </w:pPr>
          <w:r w:rsidRPr="006E5B7F">
            <w:rPr>
              <w:color w:val="auto"/>
            </w:rPr>
            <w:t xml:space="preserve"> </w:t>
          </w:r>
        </w:p>
        <w:p w14:paraId="3DDE0548" w14:textId="5F01000C" w:rsidR="008165EB" w:rsidRPr="006E5B7F" w:rsidRDefault="008165EB" w:rsidP="008165EB">
          <w:pPr>
            <w:pStyle w:val="PublicationSubsubtitle"/>
            <w:spacing w:after="0"/>
            <w:jc w:val="right"/>
            <w:rPr>
              <w:color w:val="auto"/>
            </w:rPr>
          </w:pPr>
          <w:r w:rsidRPr="006E5B7F">
            <w:rPr>
              <w:color w:val="auto"/>
            </w:rPr>
            <w:t>Author(s):</w:t>
          </w:r>
          <w:r w:rsidR="002A6C44" w:rsidRPr="006E5B7F">
            <w:rPr>
              <w:color w:val="auto"/>
            </w:rPr>
            <w:t xml:space="preserve"> Kristiina Vainio</w:t>
          </w:r>
        </w:p>
        <w:p w14:paraId="69907268" w14:textId="77777777" w:rsidR="008165EB" w:rsidRPr="006E5B7F" w:rsidRDefault="008165EB" w:rsidP="00C5699E">
          <w:pPr>
            <w:pStyle w:val="PublicationSubsubtitle"/>
            <w:spacing w:after="0"/>
            <w:jc w:val="right"/>
          </w:pPr>
        </w:p>
        <w:p w14:paraId="1131CB92" w14:textId="77777777" w:rsidR="007C6232" w:rsidRPr="006E5B7F" w:rsidRDefault="007C6232" w:rsidP="00C5699E">
          <w:pPr>
            <w:pStyle w:val="PublicationSubsubtitle"/>
            <w:spacing w:after="0"/>
            <w:jc w:val="right"/>
          </w:pPr>
        </w:p>
        <w:tbl>
          <w:tblPr>
            <w:tblStyle w:val="TableBoxC"/>
            <w:tblW w:w="8503" w:type="dxa"/>
            <w:tblLook w:val="04A0" w:firstRow="1" w:lastRow="0" w:firstColumn="1" w:lastColumn="0" w:noHBand="0" w:noVBand="1"/>
          </w:tblPr>
          <w:tblGrid>
            <w:gridCol w:w="8503"/>
          </w:tblGrid>
          <w:tr w:rsidR="00676BF6" w:rsidRPr="006E5B7F" w14:paraId="6575B4F5" w14:textId="77777777">
            <w:tc>
              <w:tcPr>
                <w:tcW w:w="8503" w:type="dxa"/>
              </w:tcPr>
              <w:p w14:paraId="764F0746" w14:textId="2CBD0F39" w:rsidR="00676BF6" w:rsidRPr="006E5B7F" w:rsidRDefault="00851AF1">
                <w:pPr>
                  <w:pStyle w:val="BoxTitleC"/>
                </w:pPr>
                <w:r w:rsidRPr="006E5B7F">
                  <w:t>Disclaimer</w:t>
                </w:r>
              </w:p>
              <w:p w14:paraId="50D70F60" w14:textId="1AE76073" w:rsidR="00676BF6" w:rsidRPr="006E5B7F" w:rsidRDefault="00851AF1">
                <w:pPr>
                  <w:pStyle w:val="BoxText"/>
                </w:pPr>
                <w:r w:rsidRPr="006E5B7F">
                  <w:t xml:space="preserve">This document was commissioned under contract by the European Union Agency for Fundamental Rights (FRA) as background material for the project </w:t>
                </w:r>
                <w:r w:rsidR="00C71A5C" w:rsidRPr="006E5B7F">
                  <w:t>‘</w:t>
                </w:r>
                <w:r w:rsidR="00274E14" w:rsidRPr="006E5B7F">
                  <w:t>Participating in the EU Framework required by Article 33 (2) of the UN Convention on the Rights of Persons with Disabilities</w:t>
                </w:r>
                <w:r w:rsidR="00CC2CCC" w:rsidRPr="006E5B7F">
                  <w:t>’</w:t>
                </w:r>
                <w:r w:rsidRPr="006E5B7F">
                  <w:t>. The information and views contained in the document do not necessarily reflect the views or the official position of the FRA. The document is made publicly available for transparency and information purposes only and does not constitute legal advice or legal opinion</w:t>
                </w:r>
                <w:r w:rsidR="009C08A5" w:rsidRPr="006E5B7F">
                  <w:t>.</w:t>
                </w:r>
              </w:p>
            </w:tc>
          </w:tr>
        </w:tbl>
        <w:p w14:paraId="7A70273C" w14:textId="77777777" w:rsidR="001B1B37" w:rsidRPr="006E5B7F" w:rsidRDefault="001B1B37"/>
        <w:p w14:paraId="4941C82D" w14:textId="77777777" w:rsidR="001B1B37" w:rsidRPr="006E5B7F" w:rsidRDefault="001B1B37"/>
        <w:p w14:paraId="55249A1F" w14:textId="77777777" w:rsidR="001B45E3" w:rsidRPr="006E5B7F" w:rsidRDefault="00DE604A"/>
      </w:sdtContent>
    </w:sdt>
    <w:sdt>
      <w:sdtPr>
        <w:rPr>
          <w:color w:val="006FB4"/>
        </w:rPr>
        <w:id w:val="849872350"/>
        <w:docPartObj>
          <w:docPartGallery w:val="Table of Contents"/>
          <w:docPartUnique/>
        </w:docPartObj>
      </w:sdtPr>
      <w:sdtEndPr/>
      <w:sdtContent>
        <w:p w14:paraId="3D0A6AC7" w14:textId="43BE8730" w:rsidR="00B47E72" w:rsidRPr="006E5B7F" w:rsidRDefault="00B47E72">
          <w:pPr>
            <w:pStyle w:val="TOCHeading"/>
          </w:pPr>
          <w:r w:rsidRPr="006E5B7F">
            <w:t>Contents</w:t>
          </w:r>
        </w:p>
        <w:p w14:paraId="108BBD24" w14:textId="6EC921BA" w:rsidR="00B63701" w:rsidRPr="006E5B7F" w:rsidRDefault="00B63701" w:rsidP="2141E379">
          <w:pPr>
            <w:pStyle w:val="TOC1"/>
            <w:tabs>
              <w:tab w:val="clear" w:pos="8504"/>
              <w:tab w:val="left" w:pos="480"/>
              <w:tab w:val="right" w:leader="dot" w:pos="8490"/>
            </w:tabs>
            <w:rPr>
              <w:rStyle w:val="Hyperlink"/>
              <w:kern w:val="2"/>
              <w:lang w:eastAsia="fr-FR"/>
              <w14:ligatures w14:val="standardContextual"/>
            </w:rPr>
          </w:pPr>
          <w:r w:rsidRPr="006E5B7F">
            <w:fldChar w:fldCharType="begin"/>
          </w:r>
          <w:r w:rsidR="0CD4123A" w:rsidRPr="006E5B7F">
            <w:instrText>TOC \o "1-3" \h \z \u</w:instrText>
          </w:r>
          <w:r w:rsidRPr="006E5B7F">
            <w:fldChar w:fldCharType="separate"/>
          </w:r>
          <w:hyperlink w:anchor="_Toc1905438080">
            <w:r w:rsidR="2141E379" w:rsidRPr="006E5B7F">
              <w:rPr>
                <w:rStyle w:val="Hyperlink"/>
              </w:rPr>
              <w:t>1.</w:t>
            </w:r>
            <w:r w:rsidR="0CD4123A" w:rsidRPr="006E5B7F">
              <w:tab/>
            </w:r>
            <w:r w:rsidR="2141E379" w:rsidRPr="006E5B7F">
              <w:rPr>
                <w:rStyle w:val="Hyperlink"/>
              </w:rPr>
              <w:t>Data on persons with disabilities exercising their right to political participation</w:t>
            </w:r>
            <w:r w:rsidR="0CD4123A" w:rsidRPr="006E5B7F">
              <w:tab/>
            </w:r>
            <w:r w:rsidR="0CD4123A" w:rsidRPr="006E5B7F">
              <w:fldChar w:fldCharType="begin"/>
            </w:r>
            <w:r w:rsidR="0CD4123A" w:rsidRPr="006E5B7F">
              <w:instrText>PAGEREF _Toc1905438080 \h</w:instrText>
            </w:r>
            <w:r w:rsidR="0CD4123A" w:rsidRPr="006E5B7F">
              <w:fldChar w:fldCharType="separate"/>
            </w:r>
            <w:r w:rsidR="00E83FC0" w:rsidRPr="006E5B7F">
              <w:t>3</w:t>
            </w:r>
            <w:r w:rsidR="0CD4123A" w:rsidRPr="006E5B7F">
              <w:fldChar w:fldCharType="end"/>
            </w:r>
          </w:hyperlink>
        </w:p>
        <w:p w14:paraId="5BE3D1E3" w14:textId="491B167E" w:rsidR="00B63701" w:rsidRPr="006E5B7F" w:rsidRDefault="00DE604A" w:rsidP="2141E379">
          <w:pPr>
            <w:pStyle w:val="TOC1"/>
            <w:tabs>
              <w:tab w:val="clear" w:pos="8504"/>
              <w:tab w:val="left" w:pos="480"/>
              <w:tab w:val="right" w:leader="dot" w:pos="8490"/>
            </w:tabs>
            <w:rPr>
              <w:rStyle w:val="Hyperlink"/>
              <w:kern w:val="2"/>
              <w:lang w:eastAsia="fr-FR"/>
              <w14:ligatures w14:val="standardContextual"/>
            </w:rPr>
          </w:pPr>
          <w:hyperlink w:anchor="_Toc1607741523">
            <w:r w:rsidR="2141E379" w:rsidRPr="006E5B7F">
              <w:rPr>
                <w:rStyle w:val="Hyperlink"/>
              </w:rPr>
              <w:t>2.</w:t>
            </w:r>
            <w:r w:rsidR="00B63701" w:rsidRPr="006E5B7F">
              <w:tab/>
            </w:r>
            <w:r w:rsidR="2141E379" w:rsidRPr="006E5B7F">
              <w:rPr>
                <w:rStyle w:val="Hyperlink"/>
              </w:rPr>
              <w:t>Political participation of persons with disabilities in practice</w:t>
            </w:r>
            <w:r w:rsidR="00B63701" w:rsidRPr="006E5B7F">
              <w:tab/>
            </w:r>
            <w:r w:rsidR="00B63701" w:rsidRPr="006E5B7F">
              <w:fldChar w:fldCharType="begin"/>
            </w:r>
            <w:r w:rsidR="00B63701" w:rsidRPr="006E5B7F">
              <w:instrText>PAGEREF _Toc1607741523 \h</w:instrText>
            </w:r>
            <w:r w:rsidR="00B63701" w:rsidRPr="006E5B7F">
              <w:fldChar w:fldCharType="separate"/>
            </w:r>
            <w:r w:rsidR="00E83FC0" w:rsidRPr="006E5B7F">
              <w:t>9</w:t>
            </w:r>
            <w:r w:rsidR="00B63701" w:rsidRPr="006E5B7F">
              <w:fldChar w:fldCharType="end"/>
            </w:r>
          </w:hyperlink>
        </w:p>
        <w:p w14:paraId="4DF7DA10" w14:textId="2A891E91" w:rsidR="00B63701" w:rsidRPr="006E5B7F" w:rsidRDefault="00DE604A" w:rsidP="2141E379">
          <w:pPr>
            <w:pStyle w:val="TOC2"/>
            <w:tabs>
              <w:tab w:val="clear" w:pos="8504"/>
              <w:tab w:val="left" w:pos="720"/>
              <w:tab w:val="right" w:leader="dot" w:pos="8490"/>
            </w:tabs>
            <w:rPr>
              <w:rStyle w:val="Hyperlink"/>
              <w:kern w:val="2"/>
              <w:lang w:eastAsia="fr-FR"/>
              <w14:ligatures w14:val="standardContextual"/>
            </w:rPr>
          </w:pPr>
          <w:hyperlink w:anchor="_Toc1363565999">
            <w:r w:rsidR="2141E379" w:rsidRPr="006E5B7F">
              <w:rPr>
                <w:rStyle w:val="Hyperlink"/>
              </w:rPr>
              <w:t>2.1.</w:t>
            </w:r>
            <w:r w:rsidR="00B63701" w:rsidRPr="006E5B7F">
              <w:tab/>
            </w:r>
            <w:r w:rsidR="2141E379" w:rsidRPr="006E5B7F">
              <w:rPr>
                <w:rStyle w:val="Hyperlink"/>
              </w:rPr>
              <w:t>Positive and negative key development as regards political participation of persons with disabilities</w:t>
            </w:r>
            <w:r w:rsidR="00B63701" w:rsidRPr="006E5B7F">
              <w:tab/>
            </w:r>
            <w:r w:rsidR="00B63701" w:rsidRPr="006E5B7F">
              <w:fldChar w:fldCharType="begin"/>
            </w:r>
            <w:r w:rsidR="00B63701" w:rsidRPr="006E5B7F">
              <w:instrText>PAGEREF _Toc1363565999 \h</w:instrText>
            </w:r>
            <w:r w:rsidR="00B63701" w:rsidRPr="006E5B7F">
              <w:fldChar w:fldCharType="separate"/>
            </w:r>
            <w:r w:rsidR="00E83FC0" w:rsidRPr="006E5B7F">
              <w:t>9</w:t>
            </w:r>
            <w:r w:rsidR="00B63701" w:rsidRPr="006E5B7F">
              <w:fldChar w:fldCharType="end"/>
            </w:r>
          </w:hyperlink>
        </w:p>
        <w:p w14:paraId="38758788" w14:textId="640955F2" w:rsidR="00B63701" w:rsidRPr="006E5B7F" w:rsidRDefault="00DE604A" w:rsidP="2141E379">
          <w:pPr>
            <w:pStyle w:val="TOC2"/>
            <w:tabs>
              <w:tab w:val="clear" w:pos="8504"/>
              <w:tab w:val="left" w:pos="720"/>
              <w:tab w:val="right" w:leader="dot" w:pos="8490"/>
            </w:tabs>
            <w:rPr>
              <w:rStyle w:val="Hyperlink"/>
              <w:kern w:val="2"/>
              <w:lang w:eastAsia="fr-FR"/>
              <w14:ligatures w14:val="standardContextual"/>
            </w:rPr>
          </w:pPr>
          <w:hyperlink w:anchor="_Toc299275285">
            <w:r w:rsidR="2141E379" w:rsidRPr="006E5B7F">
              <w:rPr>
                <w:rStyle w:val="Hyperlink"/>
              </w:rPr>
              <w:t>2.2.</w:t>
            </w:r>
            <w:r w:rsidR="00B63701" w:rsidRPr="006E5B7F">
              <w:tab/>
            </w:r>
            <w:r w:rsidR="2141E379" w:rsidRPr="006E5B7F">
              <w:rPr>
                <w:rStyle w:val="Hyperlink"/>
              </w:rPr>
              <w:t>Political participation: Promising practices</w:t>
            </w:r>
            <w:r w:rsidR="00B63701" w:rsidRPr="006E5B7F">
              <w:tab/>
            </w:r>
            <w:r w:rsidR="00B63701" w:rsidRPr="006E5B7F">
              <w:fldChar w:fldCharType="begin"/>
            </w:r>
            <w:r w:rsidR="00B63701" w:rsidRPr="006E5B7F">
              <w:instrText>PAGEREF _Toc299275285 \h</w:instrText>
            </w:r>
            <w:r w:rsidR="00B63701" w:rsidRPr="006E5B7F">
              <w:fldChar w:fldCharType="separate"/>
            </w:r>
            <w:r w:rsidR="00E83FC0" w:rsidRPr="006E5B7F">
              <w:t>9</w:t>
            </w:r>
            <w:r w:rsidR="00B63701" w:rsidRPr="006E5B7F">
              <w:fldChar w:fldCharType="end"/>
            </w:r>
          </w:hyperlink>
          <w:r w:rsidR="00B63701" w:rsidRPr="006E5B7F">
            <w:fldChar w:fldCharType="end"/>
          </w:r>
        </w:p>
      </w:sdtContent>
    </w:sdt>
    <w:p w14:paraId="52F6D9A5" w14:textId="0FDD3F94" w:rsidR="0CD4123A" w:rsidRPr="006E5B7F" w:rsidRDefault="0CD4123A" w:rsidP="00236602">
      <w:pPr>
        <w:pStyle w:val="TOC1"/>
        <w:tabs>
          <w:tab w:val="clear" w:pos="8504"/>
          <w:tab w:val="right" w:leader="dot" w:pos="8490"/>
        </w:tabs>
        <w:rPr>
          <w:rStyle w:val="Hyperlink"/>
          <w:b w:val="0"/>
        </w:rPr>
      </w:pPr>
    </w:p>
    <w:p w14:paraId="53AF2F08" w14:textId="53EDD068" w:rsidR="00B47E72" w:rsidRPr="006E5B7F" w:rsidRDefault="00B47E72"/>
    <w:p w14:paraId="0F11C898" w14:textId="77777777" w:rsidR="004231F5" w:rsidRPr="006E5B7F" w:rsidRDefault="004231F5" w:rsidP="004231F5"/>
    <w:p w14:paraId="7DD60D47" w14:textId="522EB76D" w:rsidR="002432A7" w:rsidRPr="006E5B7F" w:rsidRDefault="002432A7" w:rsidP="439E96B0">
      <w:pPr>
        <w:pStyle w:val="HeadingNumbered1"/>
        <w:numPr>
          <w:ilvl w:val="0"/>
          <w:numId w:val="0"/>
        </w:numPr>
        <w:sectPr w:rsidR="002432A7" w:rsidRPr="006E5B7F" w:rsidSect="00F64505">
          <w:headerReference w:type="even" r:id="rId12"/>
          <w:headerReference w:type="default" r:id="rId13"/>
          <w:footerReference w:type="even" r:id="rId14"/>
          <w:footerReference w:type="default" r:id="rId15"/>
          <w:headerReference w:type="first" r:id="rId16"/>
          <w:footerReference w:type="first" r:id="rId17"/>
          <w:pgSz w:w="11906" w:h="16838" w:code="9"/>
          <w:pgMar w:top="1701" w:right="1701" w:bottom="1134" w:left="1701" w:header="850" w:footer="567" w:gutter="0"/>
          <w:cols w:space="708"/>
          <w:titlePg/>
          <w:docGrid w:linePitch="360"/>
        </w:sectPr>
      </w:pPr>
    </w:p>
    <w:p w14:paraId="2C36ED8A" w14:textId="77777777" w:rsidR="005003F9" w:rsidRPr="006E5B7F" w:rsidRDefault="005003F9" w:rsidP="005003F9">
      <w:pPr>
        <w:pStyle w:val="HeadingNumbered1"/>
      </w:pPr>
      <w:bookmarkStart w:id="1" w:name="_Toc1905438080"/>
      <w:r w:rsidRPr="006E5B7F">
        <w:lastRenderedPageBreak/>
        <w:t>Data on persons with disabilities exercising their right to political participation</w:t>
      </w:r>
      <w:bookmarkEnd w:id="1"/>
    </w:p>
    <w:p w14:paraId="5A92937D" w14:textId="5FB57E6F" w:rsidR="00FD4CB2" w:rsidRPr="006E5B7F" w:rsidRDefault="00FD4CB2">
      <w:pPr>
        <w:pStyle w:val="TableTitle"/>
      </w:pPr>
      <w:r w:rsidRPr="006E5B7F">
        <w:t xml:space="preserve">Table </w:t>
      </w:r>
      <w:r w:rsidR="00770583">
        <w:fldChar w:fldCharType="begin"/>
      </w:r>
      <w:r w:rsidR="00770583">
        <w:instrText xml:space="preserve"> SEQ Table \* ARABIC </w:instrText>
      </w:r>
      <w:r w:rsidR="00770583">
        <w:fldChar w:fldCharType="separate"/>
      </w:r>
      <w:r w:rsidR="00BC08BB" w:rsidRPr="006E5B7F">
        <w:t>1</w:t>
      </w:r>
      <w:r w:rsidR="00770583">
        <w:fldChar w:fldCharType="end"/>
      </w:r>
      <w:r w:rsidRPr="006E5B7F">
        <w:tab/>
        <w:t xml:space="preserve"> </w:t>
      </w:r>
    </w:p>
    <w:tbl>
      <w:tblPr>
        <w:tblStyle w:val="TableGrid"/>
        <w:tblW w:w="14175" w:type="dxa"/>
        <w:tblInd w:w="-5" w:type="dxa"/>
        <w:tblLayout w:type="fixed"/>
        <w:tblLook w:val="04A0" w:firstRow="1" w:lastRow="0" w:firstColumn="1" w:lastColumn="0" w:noHBand="0" w:noVBand="1"/>
      </w:tblPr>
      <w:tblGrid>
        <w:gridCol w:w="3261"/>
        <w:gridCol w:w="4110"/>
        <w:gridCol w:w="6804"/>
      </w:tblGrid>
      <w:tr w:rsidR="00CC2CCC" w:rsidRPr="006E5B7F" w14:paraId="5B6BBB24" w14:textId="77777777" w:rsidTr="00CC2CCC">
        <w:trPr>
          <w:cnfStyle w:val="100000000000" w:firstRow="1" w:lastRow="0" w:firstColumn="0" w:lastColumn="0" w:oddVBand="0" w:evenVBand="0" w:oddHBand="0" w:evenHBand="0" w:firstRowFirstColumn="0" w:firstRowLastColumn="0" w:lastRowFirstColumn="0" w:lastRowLastColumn="0"/>
          <w:trHeight w:val="300"/>
          <w:tblHeader/>
        </w:trPr>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9E2F3" w:themeFill="accent1" w:themeFillTint="33"/>
          </w:tcPr>
          <w:p w14:paraId="2AB02492" w14:textId="4DC69884" w:rsidR="00566A68" w:rsidRPr="006E5B7F" w:rsidRDefault="006E336C" w:rsidP="002B3544">
            <w:pPr>
              <w:pStyle w:val="FRABodyText"/>
              <w:rPr>
                <w:color w:val="auto"/>
              </w:rPr>
            </w:pPr>
            <w:r w:rsidRPr="006E5B7F">
              <w:t xml:space="preserve"> </w:t>
            </w:r>
            <w:r w:rsidR="00566A68" w:rsidRPr="006E5B7F">
              <w:t>Indicator</w:t>
            </w:r>
          </w:p>
          <w:p w14:paraId="4277CA28" w14:textId="77777777" w:rsidR="00566A68" w:rsidRPr="006E5B7F" w:rsidRDefault="00566A68" w:rsidP="002B3544">
            <w:pPr>
              <w:pStyle w:val="FRABodyText"/>
            </w:pP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9E2F3" w:themeFill="accent1" w:themeFillTint="33"/>
          </w:tcPr>
          <w:p w14:paraId="08934790" w14:textId="77777777" w:rsidR="00566A68" w:rsidRPr="006E5B7F" w:rsidRDefault="00566A68" w:rsidP="002B3544">
            <w:pPr>
              <w:pStyle w:val="FRABodyText"/>
              <w:rPr>
                <w:b w:val="0"/>
                <w:color w:val="auto"/>
              </w:rPr>
            </w:pPr>
            <w:r w:rsidRPr="006E5B7F">
              <w:t>Answer</w:t>
            </w:r>
          </w:p>
          <w:p w14:paraId="152D096D" w14:textId="77777777" w:rsidR="00566A68" w:rsidRPr="006E5B7F" w:rsidRDefault="00566A68" w:rsidP="002B3544">
            <w:pPr>
              <w:pStyle w:val="FRABodyText"/>
              <w:rPr>
                <w:color w:val="auto"/>
              </w:rPr>
            </w:pPr>
            <w:r w:rsidRPr="006E5B7F">
              <w:t>(Choose one of the answers provided below)</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9E2F3" w:themeFill="accent1" w:themeFillTint="33"/>
          </w:tcPr>
          <w:p w14:paraId="7BCF5138" w14:textId="4C33BD87" w:rsidR="00566A68" w:rsidRPr="006E5B7F" w:rsidRDefault="00566A68" w:rsidP="002B3544">
            <w:pPr>
              <w:pStyle w:val="FRABodyText"/>
              <w:rPr>
                <w:color w:val="auto"/>
              </w:rPr>
            </w:pPr>
            <w:r w:rsidRPr="006E5B7F">
              <w:t xml:space="preserve">Source and </w:t>
            </w:r>
            <w:r w:rsidR="004512DA" w:rsidRPr="006E5B7F">
              <w:t>brief description/assessment</w:t>
            </w:r>
            <w:r w:rsidRPr="006E5B7F">
              <w:t xml:space="preserve"> </w:t>
            </w:r>
          </w:p>
        </w:tc>
      </w:tr>
      <w:tr w:rsidR="00CC2CCC" w:rsidRPr="006E5B7F" w14:paraId="12E136CC"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74006B5" w14:textId="1906DD19" w:rsidR="00566A68" w:rsidRPr="00650983" w:rsidRDefault="00566A68" w:rsidP="002B3544">
            <w:pPr>
              <w:pStyle w:val="FRABodyText"/>
              <w:rPr>
                <w:i/>
                <w:iCs/>
              </w:rPr>
            </w:pPr>
            <w:r w:rsidRPr="00650983">
              <w:t>Do national disability strategies include political participation?</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7CA7E76" w14:textId="0BBB7C31" w:rsidR="00566A68" w:rsidRPr="00650983" w:rsidRDefault="00566A68" w:rsidP="002B3544">
            <w:pPr>
              <w:pStyle w:val="FRABodyText"/>
              <w:rPr>
                <w:i/>
                <w:iCs/>
              </w:rPr>
            </w:pPr>
            <w:r w:rsidRPr="00017BC0">
              <w:t>National disability strategies address political participation indirectly</w:t>
            </w:r>
            <w:r w:rsidRPr="00650983">
              <w:t xml:space="preserve"> </w:t>
            </w:r>
          </w:p>
          <w:p w14:paraId="4E623AA0" w14:textId="32980E5C" w:rsidR="00566A68" w:rsidRPr="00F14173" w:rsidRDefault="00566A68" w:rsidP="002B3544">
            <w:pPr>
              <w:pStyle w:val="FRABodyText"/>
              <w:rPr>
                <w:i/>
                <w:iCs/>
              </w:rPr>
            </w:pPr>
          </w:p>
          <w:p w14:paraId="296FEA16" w14:textId="77777777" w:rsidR="00566A68" w:rsidRPr="00650983" w:rsidRDefault="00566A68" w:rsidP="002B3544">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307B94E" w14:textId="7673A1C7" w:rsidR="00AC5718" w:rsidRPr="00650983" w:rsidRDefault="00724765" w:rsidP="002B3544">
            <w:pPr>
              <w:pStyle w:val="FRABodyText"/>
            </w:pPr>
            <w:r w:rsidRPr="00650983">
              <w:rPr>
                <w:rStyle w:val="Hyperlink"/>
                <w:color w:val="auto"/>
                <w:u w:val="none"/>
              </w:rPr>
              <w:t xml:space="preserve">In </w:t>
            </w:r>
            <w:r w:rsidRPr="00650983">
              <w:rPr>
                <w:rStyle w:val="Hyperlink"/>
                <w:b/>
                <w:bCs/>
                <w:color w:val="auto"/>
                <w:u w:val="none"/>
              </w:rPr>
              <w:t>Finland</w:t>
            </w:r>
            <w:r w:rsidRPr="00650983">
              <w:rPr>
                <w:rStyle w:val="Hyperlink"/>
                <w:color w:val="auto"/>
                <w:u w:val="none"/>
              </w:rPr>
              <w:t xml:space="preserve">, the </w:t>
            </w:r>
            <w:r w:rsidRPr="00650983">
              <w:t xml:space="preserve">National Action Plan on the UN Convention on the Rights of Persons with Disabilities </w:t>
            </w:r>
            <w:r w:rsidR="00651166">
              <w:t xml:space="preserve">(CRPD) </w:t>
            </w:r>
            <w:r w:rsidR="00123D1B">
              <w:t>(</w:t>
            </w:r>
            <w:proofErr w:type="spellStart"/>
            <w:r w:rsidR="00123D1B" w:rsidRPr="00017BC0">
              <w:rPr>
                <w:i/>
                <w:iCs/>
              </w:rPr>
              <w:t>Oikeus</w:t>
            </w:r>
            <w:proofErr w:type="spellEnd"/>
            <w:r w:rsidR="00123D1B" w:rsidRPr="00017BC0">
              <w:rPr>
                <w:i/>
                <w:iCs/>
              </w:rPr>
              <w:t xml:space="preserve"> </w:t>
            </w:r>
            <w:proofErr w:type="spellStart"/>
            <w:r w:rsidR="00123D1B" w:rsidRPr="00017BC0">
              <w:rPr>
                <w:i/>
                <w:iCs/>
              </w:rPr>
              <w:t>osallisuuteen</w:t>
            </w:r>
            <w:proofErr w:type="spellEnd"/>
            <w:r w:rsidR="00123D1B" w:rsidRPr="00017BC0">
              <w:rPr>
                <w:i/>
                <w:iCs/>
              </w:rPr>
              <w:t xml:space="preserve"> </w:t>
            </w:r>
            <w:proofErr w:type="spellStart"/>
            <w:r w:rsidR="00123D1B" w:rsidRPr="00017BC0">
              <w:rPr>
                <w:i/>
                <w:iCs/>
              </w:rPr>
              <w:t>ja</w:t>
            </w:r>
            <w:proofErr w:type="spellEnd"/>
            <w:r w:rsidR="00123D1B" w:rsidRPr="00017BC0">
              <w:rPr>
                <w:i/>
                <w:iCs/>
              </w:rPr>
              <w:t xml:space="preserve"> </w:t>
            </w:r>
            <w:proofErr w:type="spellStart"/>
            <w:r w:rsidR="00123D1B" w:rsidRPr="00017BC0">
              <w:rPr>
                <w:i/>
                <w:iCs/>
              </w:rPr>
              <w:t>yhdenvertaisuuteen</w:t>
            </w:r>
            <w:proofErr w:type="spellEnd"/>
            <w:r w:rsidR="00123D1B" w:rsidRPr="00017BC0">
              <w:rPr>
                <w:i/>
                <w:iCs/>
              </w:rPr>
              <w:t xml:space="preserve">: </w:t>
            </w:r>
            <w:proofErr w:type="spellStart"/>
            <w:r w:rsidR="00123D1B" w:rsidRPr="00017BC0">
              <w:rPr>
                <w:i/>
                <w:iCs/>
              </w:rPr>
              <w:t>YK:n</w:t>
            </w:r>
            <w:proofErr w:type="spellEnd"/>
            <w:r w:rsidR="00123D1B" w:rsidRPr="00017BC0">
              <w:rPr>
                <w:i/>
                <w:iCs/>
              </w:rPr>
              <w:t xml:space="preserve"> </w:t>
            </w:r>
            <w:proofErr w:type="spellStart"/>
            <w:r w:rsidR="00123D1B" w:rsidRPr="00017BC0">
              <w:rPr>
                <w:i/>
                <w:iCs/>
              </w:rPr>
              <w:t>vammaisten</w:t>
            </w:r>
            <w:proofErr w:type="spellEnd"/>
            <w:r w:rsidR="00123D1B" w:rsidRPr="00017BC0">
              <w:rPr>
                <w:i/>
                <w:iCs/>
              </w:rPr>
              <w:t xml:space="preserve"> </w:t>
            </w:r>
            <w:proofErr w:type="spellStart"/>
            <w:r w:rsidR="00123D1B" w:rsidRPr="00017BC0">
              <w:rPr>
                <w:i/>
                <w:iCs/>
              </w:rPr>
              <w:t>henkilöiden</w:t>
            </w:r>
            <w:proofErr w:type="spellEnd"/>
            <w:r w:rsidR="00123D1B" w:rsidRPr="00017BC0">
              <w:rPr>
                <w:i/>
                <w:iCs/>
              </w:rPr>
              <w:t xml:space="preserve"> </w:t>
            </w:r>
            <w:proofErr w:type="spellStart"/>
            <w:r w:rsidR="00123D1B" w:rsidRPr="00017BC0">
              <w:rPr>
                <w:i/>
                <w:iCs/>
              </w:rPr>
              <w:t>oikeuksien</w:t>
            </w:r>
            <w:proofErr w:type="spellEnd"/>
            <w:r w:rsidR="00123D1B" w:rsidRPr="00017BC0">
              <w:rPr>
                <w:i/>
                <w:iCs/>
              </w:rPr>
              <w:t xml:space="preserve"> </w:t>
            </w:r>
            <w:proofErr w:type="spellStart"/>
            <w:r w:rsidR="00123D1B" w:rsidRPr="00017BC0">
              <w:rPr>
                <w:i/>
                <w:iCs/>
              </w:rPr>
              <w:t>yleissopimuksen</w:t>
            </w:r>
            <w:proofErr w:type="spellEnd"/>
            <w:r w:rsidR="00123D1B" w:rsidRPr="00017BC0">
              <w:rPr>
                <w:i/>
                <w:iCs/>
              </w:rPr>
              <w:t xml:space="preserve"> </w:t>
            </w:r>
            <w:proofErr w:type="spellStart"/>
            <w:r w:rsidR="00123D1B" w:rsidRPr="00017BC0">
              <w:rPr>
                <w:i/>
                <w:iCs/>
              </w:rPr>
              <w:t>kansallinen</w:t>
            </w:r>
            <w:proofErr w:type="spellEnd"/>
            <w:r w:rsidR="00123D1B" w:rsidRPr="00017BC0">
              <w:rPr>
                <w:i/>
                <w:iCs/>
              </w:rPr>
              <w:t xml:space="preserve"> </w:t>
            </w:r>
            <w:proofErr w:type="spellStart"/>
            <w:r w:rsidR="00123D1B" w:rsidRPr="00017BC0">
              <w:rPr>
                <w:i/>
                <w:iCs/>
              </w:rPr>
              <w:t>toimintaohjelma</w:t>
            </w:r>
            <w:proofErr w:type="spellEnd"/>
            <w:r w:rsidR="00123D1B" w:rsidRPr="00017BC0">
              <w:rPr>
                <w:i/>
                <w:iCs/>
              </w:rPr>
              <w:t xml:space="preserve"> 2020−2023</w:t>
            </w:r>
            <w:r w:rsidR="00123D1B">
              <w:t xml:space="preserve">) </w:t>
            </w:r>
            <w:r w:rsidRPr="00650983">
              <w:t xml:space="preserve">does not include </w:t>
            </w:r>
            <w:r w:rsidR="00FE2FB1" w:rsidRPr="00650983">
              <w:t>objectives</w:t>
            </w:r>
            <w:r w:rsidR="004077E4" w:rsidRPr="00650983">
              <w:t xml:space="preserve"> </w:t>
            </w:r>
            <w:r w:rsidR="007D2BA3" w:rsidRPr="00650983">
              <w:t xml:space="preserve">or measures </w:t>
            </w:r>
            <w:r w:rsidR="001A6E83" w:rsidRPr="00650983">
              <w:t xml:space="preserve">directly </w:t>
            </w:r>
            <w:r w:rsidR="00B85CE2" w:rsidRPr="00650983">
              <w:t>pertaining to</w:t>
            </w:r>
            <w:r w:rsidR="00FE2FB1" w:rsidRPr="00650983">
              <w:t xml:space="preserve"> </w:t>
            </w:r>
            <w:r w:rsidR="001A6E83" w:rsidRPr="00650983">
              <w:t xml:space="preserve">the </w:t>
            </w:r>
            <w:r w:rsidR="00FE2FB1" w:rsidRPr="00650983">
              <w:t>right to political participation.</w:t>
            </w:r>
            <w:r w:rsidR="008467B1" w:rsidRPr="00650983">
              <w:rPr>
                <w:rStyle w:val="FootnoteReference"/>
                <w:color w:val="auto"/>
              </w:rPr>
              <w:footnoteReference w:id="2"/>
            </w:r>
            <w:r w:rsidR="00FE2FB1" w:rsidRPr="00650983">
              <w:t xml:space="preserve"> In this regard, the </w:t>
            </w:r>
            <w:r w:rsidR="00A93CEC" w:rsidRPr="00650983">
              <w:t>A</w:t>
            </w:r>
            <w:r w:rsidR="001A6E83" w:rsidRPr="00650983">
              <w:t xml:space="preserve">ction </w:t>
            </w:r>
            <w:r w:rsidR="00A93CEC" w:rsidRPr="00650983">
              <w:t>P</w:t>
            </w:r>
            <w:r w:rsidR="001A6E83" w:rsidRPr="00650983">
              <w:t>lan</w:t>
            </w:r>
            <w:r w:rsidR="00FE2FB1" w:rsidRPr="00650983">
              <w:t xml:space="preserve"> refers to the objective </w:t>
            </w:r>
            <w:r w:rsidR="004077E4" w:rsidRPr="00650983">
              <w:t xml:space="preserve">of increasing and targeting election information to the groups that voted the least, included in </w:t>
            </w:r>
            <w:r w:rsidR="00FE2FB1" w:rsidRPr="00650983">
              <w:t xml:space="preserve">the </w:t>
            </w:r>
            <w:r w:rsidR="004077E4" w:rsidRPr="00650983">
              <w:t xml:space="preserve">National Democracy Program </w:t>
            </w:r>
            <w:r w:rsidR="00F829D5">
              <w:t xml:space="preserve">2025 </w:t>
            </w:r>
            <w:r w:rsidR="004077E4" w:rsidRPr="00650983">
              <w:t>of the Ministry of Justice</w:t>
            </w:r>
            <w:r w:rsidR="00F14173">
              <w:t xml:space="preserve"> (</w:t>
            </w:r>
            <w:proofErr w:type="spellStart"/>
            <w:r w:rsidR="00F14173" w:rsidRPr="00017BC0">
              <w:rPr>
                <w:i/>
                <w:iCs/>
              </w:rPr>
              <w:t>oikeusministeriö</w:t>
            </w:r>
            <w:proofErr w:type="spellEnd"/>
            <w:r w:rsidR="00F14173" w:rsidRPr="00C93151">
              <w:t>/</w:t>
            </w:r>
            <w:proofErr w:type="spellStart"/>
            <w:r w:rsidR="00F14173" w:rsidRPr="00BC0A5C">
              <w:t>j</w:t>
            </w:r>
            <w:r w:rsidR="00F14173" w:rsidRPr="00017BC0">
              <w:rPr>
                <w:i/>
                <w:iCs/>
              </w:rPr>
              <w:t>ustitieministeriet</w:t>
            </w:r>
            <w:proofErr w:type="spellEnd"/>
            <w:r w:rsidR="00F14173">
              <w:t>)</w:t>
            </w:r>
            <w:r w:rsidR="00341AF8" w:rsidRPr="00650983">
              <w:t>.</w:t>
            </w:r>
            <w:r w:rsidR="003004F3" w:rsidRPr="00650983">
              <w:rPr>
                <w:rStyle w:val="FootnoteReference"/>
                <w:color w:val="auto"/>
              </w:rPr>
              <w:footnoteReference w:id="3"/>
            </w:r>
            <w:r w:rsidR="008467B1" w:rsidRPr="00650983">
              <w:t xml:space="preserve"> The </w:t>
            </w:r>
            <w:r w:rsidR="004077E4" w:rsidRPr="00650983">
              <w:t xml:space="preserve">National Action Plan on </w:t>
            </w:r>
            <w:r w:rsidR="004077E4" w:rsidRPr="00650983">
              <w:lastRenderedPageBreak/>
              <w:t>the CRPD</w:t>
            </w:r>
            <w:r w:rsidR="008467B1" w:rsidRPr="00650983">
              <w:t xml:space="preserve">, however, </w:t>
            </w:r>
            <w:r w:rsidR="00441904" w:rsidRPr="00650983">
              <w:t>does have</w:t>
            </w:r>
            <w:r w:rsidR="008467B1" w:rsidRPr="00650983">
              <w:t xml:space="preserve"> a strong focus on </w:t>
            </w:r>
            <w:r w:rsidR="00B85CE2" w:rsidRPr="00650983">
              <w:t xml:space="preserve">social </w:t>
            </w:r>
            <w:r w:rsidR="008467B1" w:rsidRPr="00650983">
              <w:t xml:space="preserve">inclusion </w:t>
            </w:r>
            <w:r w:rsidR="00B85CE2" w:rsidRPr="00650983">
              <w:t>of persons with disabilities (art. 4[3] CRPD).</w:t>
            </w:r>
            <w:r w:rsidR="00A93CEC" w:rsidRPr="00650983">
              <w:t xml:space="preserve"> </w:t>
            </w:r>
            <w:r w:rsidR="00D76BA6" w:rsidRPr="00650983">
              <w:t>I</w:t>
            </w:r>
            <w:r w:rsidR="00A93CEC" w:rsidRPr="00650983">
              <w:t>n th</w:t>
            </w:r>
            <w:r w:rsidR="003B5C58" w:rsidRPr="00650983">
              <w:t>is</w:t>
            </w:r>
            <w:r w:rsidR="00A93CEC" w:rsidRPr="00650983">
              <w:t xml:space="preserve"> context </w:t>
            </w:r>
            <w:r w:rsidR="00E3766F" w:rsidRPr="00650983">
              <w:t>the</w:t>
            </w:r>
            <w:r w:rsidR="00A37156" w:rsidRPr="00650983">
              <w:t xml:space="preserve"> </w:t>
            </w:r>
            <w:r w:rsidR="0005228A" w:rsidRPr="00650983">
              <w:t xml:space="preserve">Action Plan </w:t>
            </w:r>
            <w:r w:rsidR="00650983">
              <w:t>notes</w:t>
            </w:r>
            <w:r w:rsidR="0005228A" w:rsidRPr="00650983">
              <w:t xml:space="preserve"> that </w:t>
            </w:r>
            <w:r w:rsidR="00E3766F" w:rsidRPr="00650983">
              <w:t xml:space="preserve">even though </w:t>
            </w:r>
            <w:r w:rsidR="0005228A" w:rsidRPr="00650983">
              <w:t xml:space="preserve">individual disability </w:t>
            </w:r>
            <w:r w:rsidR="00E3766F" w:rsidRPr="00650983">
              <w:t>organizations</w:t>
            </w:r>
            <w:r w:rsidR="0005228A" w:rsidRPr="00650983">
              <w:t xml:space="preserve"> and umbrella </w:t>
            </w:r>
            <w:r w:rsidR="00E3766F" w:rsidRPr="00650983">
              <w:t>organizations</w:t>
            </w:r>
            <w:r w:rsidR="0005228A" w:rsidRPr="00650983">
              <w:t xml:space="preserve"> are regularly consulted on most major legislative and non-legislative reform projects, their </w:t>
            </w:r>
            <w:r w:rsidR="008A4867" w:rsidRPr="00650983">
              <w:t>inclusion</w:t>
            </w:r>
            <w:r w:rsidR="0005228A" w:rsidRPr="00650983">
              <w:t xml:space="preserve"> is still somewhat </w:t>
            </w:r>
            <w:r w:rsidR="00E3766F" w:rsidRPr="00650983">
              <w:t>arbitrary</w:t>
            </w:r>
            <w:r w:rsidR="0005228A" w:rsidRPr="00650983">
              <w:t xml:space="preserve"> and varies across administrative sectors</w:t>
            </w:r>
            <w:r w:rsidR="002458D4" w:rsidRPr="00650983">
              <w:t>, and therefore,</w:t>
            </w:r>
            <w:r w:rsidR="001643C3" w:rsidRPr="00650983">
              <w:t xml:space="preserve"> </w:t>
            </w:r>
            <w:r w:rsidR="00E3766F" w:rsidRPr="00650983">
              <w:t xml:space="preserve">should be developed from individual hearings towards systematic and structural inclusion and </w:t>
            </w:r>
            <w:r w:rsidR="00650983">
              <w:t>co-operation</w:t>
            </w:r>
            <w:r w:rsidR="00E3766F" w:rsidRPr="00650983">
              <w:t>.</w:t>
            </w:r>
            <w:r w:rsidR="00E3766F" w:rsidRPr="0022612E">
              <w:rPr>
                <w:rStyle w:val="FootnoteReference"/>
                <w:color w:val="4472C4" w:themeColor="accent1"/>
              </w:rPr>
              <w:footnoteReference w:id="4"/>
            </w:r>
          </w:p>
          <w:p w14:paraId="45741F4A" w14:textId="386DC09C" w:rsidR="0005228A" w:rsidRPr="00650983" w:rsidRDefault="0005228A" w:rsidP="002B3544">
            <w:pPr>
              <w:pStyle w:val="FRABodyText"/>
            </w:pPr>
          </w:p>
        </w:tc>
      </w:tr>
      <w:tr w:rsidR="00CC2CCC" w:rsidRPr="006E5B7F" w14:paraId="68623494"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923B3A5" w14:textId="662E8771" w:rsidR="00566A68" w:rsidRPr="00650983" w:rsidRDefault="002402C9" w:rsidP="002B3544">
            <w:pPr>
              <w:pStyle w:val="FRABodyText"/>
              <w:rPr>
                <w:i/>
                <w:iCs/>
              </w:rPr>
            </w:pPr>
            <w:r w:rsidRPr="00650983">
              <w:lastRenderedPageBreak/>
              <w:t xml:space="preserve">Can persons deprived of legal capacity </w:t>
            </w:r>
            <w:r w:rsidR="158FA834" w:rsidRPr="00650983">
              <w:t xml:space="preserve">vote? </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9AF9E86" w14:textId="0E6BBFDC" w:rsidR="00566A68" w:rsidRPr="00650983" w:rsidRDefault="00566A68" w:rsidP="002B3544">
            <w:pPr>
              <w:pStyle w:val="FRABodyText"/>
              <w:rPr>
                <w:i/>
                <w:iCs/>
              </w:rPr>
            </w:pPr>
            <w:r w:rsidRPr="00017BC0">
              <w:t>Full Participation</w:t>
            </w:r>
            <w:r w:rsidRPr="00650983">
              <w:t xml:space="preserve"> </w:t>
            </w:r>
          </w:p>
          <w:p w14:paraId="72F36A6F" w14:textId="16FA8BDF" w:rsidR="00566A68" w:rsidRPr="00650983" w:rsidRDefault="00033D86" w:rsidP="002B3544">
            <w:pPr>
              <w:pStyle w:val="FRABodyText"/>
              <w:rPr>
                <w:i/>
                <w:iCs/>
              </w:rPr>
            </w:pPr>
            <w:r w:rsidRPr="00650983">
              <w:t xml:space="preserve">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9406BED" w14:textId="0C39686C" w:rsidR="00AD3149" w:rsidRPr="00650983" w:rsidRDefault="003B5C58" w:rsidP="002B3544">
            <w:pPr>
              <w:pStyle w:val="FRABodyText"/>
              <w:rPr>
                <w:i/>
                <w:iCs/>
              </w:rPr>
            </w:pPr>
            <w:r w:rsidRPr="00650983">
              <w:t xml:space="preserve">In </w:t>
            </w:r>
            <w:r w:rsidRPr="00650983">
              <w:rPr>
                <w:b/>
                <w:bCs/>
              </w:rPr>
              <w:t>Finland</w:t>
            </w:r>
            <w:r w:rsidRPr="00650983">
              <w:t xml:space="preserve">, </w:t>
            </w:r>
            <w:r w:rsidR="000873D4" w:rsidRPr="00650983">
              <w:t xml:space="preserve">lack of legal capacity does not </w:t>
            </w:r>
            <w:r w:rsidR="004F171C" w:rsidRPr="00650983">
              <w:t>limit</w:t>
            </w:r>
            <w:r w:rsidR="000873D4" w:rsidRPr="00650983">
              <w:t xml:space="preserve"> the right to vote. According to section </w:t>
            </w:r>
            <w:r w:rsidR="001A2BB5" w:rsidRPr="00650983">
              <w:t xml:space="preserve">14 </w:t>
            </w:r>
            <w:r w:rsidR="00524508" w:rsidRPr="00650983">
              <w:t xml:space="preserve">of the </w:t>
            </w:r>
            <w:r w:rsidR="001A2BB5" w:rsidRPr="00650983">
              <w:t xml:space="preserve">Constitution </w:t>
            </w:r>
            <w:r w:rsidR="003D7638">
              <w:t>(</w:t>
            </w:r>
            <w:proofErr w:type="spellStart"/>
            <w:r w:rsidR="003D7638" w:rsidRPr="00F14173">
              <w:rPr>
                <w:i/>
                <w:iCs/>
              </w:rPr>
              <w:t>Suomen</w:t>
            </w:r>
            <w:proofErr w:type="spellEnd"/>
            <w:r w:rsidR="003D7638" w:rsidRPr="00F14173">
              <w:rPr>
                <w:i/>
                <w:iCs/>
              </w:rPr>
              <w:t xml:space="preserve"> </w:t>
            </w:r>
            <w:proofErr w:type="spellStart"/>
            <w:r w:rsidR="003D7638" w:rsidRPr="00F14173">
              <w:rPr>
                <w:i/>
                <w:iCs/>
              </w:rPr>
              <w:t>perustuslaki</w:t>
            </w:r>
            <w:proofErr w:type="spellEnd"/>
            <w:r w:rsidR="003D7638">
              <w:t>/</w:t>
            </w:r>
            <w:proofErr w:type="spellStart"/>
            <w:r w:rsidR="003D7638" w:rsidRPr="00F14173">
              <w:rPr>
                <w:i/>
                <w:iCs/>
              </w:rPr>
              <w:t>Finlands</w:t>
            </w:r>
            <w:proofErr w:type="spellEnd"/>
            <w:r w:rsidR="003D7638" w:rsidRPr="00F14173">
              <w:rPr>
                <w:i/>
                <w:iCs/>
              </w:rPr>
              <w:t xml:space="preserve"> </w:t>
            </w:r>
            <w:proofErr w:type="spellStart"/>
            <w:r w:rsidR="003D7638" w:rsidRPr="00F14173">
              <w:rPr>
                <w:i/>
                <w:iCs/>
              </w:rPr>
              <w:t>grundlag</w:t>
            </w:r>
            <w:proofErr w:type="spellEnd"/>
            <w:r w:rsidR="003D7638">
              <w:t>) (Act No. 731/1999)</w:t>
            </w:r>
            <w:r w:rsidR="00423AD4">
              <w:rPr>
                <w:rStyle w:val="FootnoteReference"/>
              </w:rPr>
              <w:footnoteReference w:id="5"/>
            </w:r>
            <w:r w:rsidR="003D7638">
              <w:t xml:space="preserve"> </w:t>
            </w:r>
            <w:r w:rsidR="00524508" w:rsidRPr="00650983">
              <w:t>and section 2 of the</w:t>
            </w:r>
            <w:r w:rsidR="000873D4" w:rsidRPr="00650983">
              <w:t xml:space="preserve"> Election Act </w:t>
            </w:r>
            <w:r w:rsidR="003D7638" w:rsidRPr="003D7638">
              <w:t>(</w:t>
            </w:r>
            <w:proofErr w:type="spellStart"/>
            <w:r w:rsidR="003D7638" w:rsidRPr="00F14173">
              <w:rPr>
                <w:i/>
                <w:iCs/>
              </w:rPr>
              <w:t>vaalilaki</w:t>
            </w:r>
            <w:proofErr w:type="spellEnd"/>
            <w:r w:rsidR="003D7638" w:rsidRPr="003D7638">
              <w:t>/</w:t>
            </w:r>
            <w:proofErr w:type="spellStart"/>
            <w:r w:rsidR="003D7638" w:rsidRPr="00F14173">
              <w:rPr>
                <w:i/>
                <w:iCs/>
              </w:rPr>
              <w:t>vallag</w:t>
            </w:r>
            <w:proofErr w:type="spellEnd"/>
            <w:r w:rsidR="003D7638" w:rsidRPr="003D7638">
              <w:t>) (Act No. 714/1998)</w:t>
            </w:r>
            <w:r w:rsidR="00423AD4">
              <w:rPr>
                <w:rStyle w:val="FootnoteReference"/>
              </w:rPr>
              <w:footnoteReference w:id="6"/>
            </w:r>
            <w:r w:rsidR="003D7638">
              <w:t xml:space="preserve"> </w:t>
            </w:r>
            <w:r w:rsidR="001A2BB5" w:rsidRPr="00650983">
              <w:t>every Finnish citizen who has reached the age of 18 is equally entitled to vote</w:t>
            </w:r>
            <w:r w:rsidR="00524508" w:rsidRPr="00650983">
              <w:t xml:space="preserve"> in parliamentary elections, </w:t>
            </w:r>
            <w:r w:rsidR="00033D86" w:rsidRPr="00650983">
              <w:t xml:space="preserve">in </w:t>
            </w:r>
            <w:r w:rsidR="00524508" w:rsidRPr="00650983">
              <w:t xml:space="preserve">presidential </w:t>
            </w:r>
            <w:r w:rsidR="00524508" w:rsidRPr="00650983">
              <w:lastRenderedPageBreak/>
              <w:t xml:space="preserve">elections and </w:t>
            </w:r>
            <w:r w:rsidR="00033D86" w:rsidRPr="00650983">
              <w:t xml:space="preserve">in </w:t>
            </w:r>
            <w:r w:rsidR="00D70A50" w:rsidRPr="00650983">
              <w:t xml:space="preserve">the </w:t>
            </w:r>
            <w:r w:rsidR="00524508" w:rsidRPr="00650983">
              <w:t>elections to the European Parliament.</w:t>
            </w:r>
            <w:r w:rsidR="000873D4" w:rsidRPr="00650983">
              <w:t xml:space="preserve"> </w:t>
            </w:r>
            <w:r w:rsidR="005B2E57" w:rsidRPr="00650983">
              <w:t xml:space="preserve">According to section 15 of the </w:t>
            </w:r>
            <w:bookmarkStart w:id="5" w:name="_Hlk153451454"/>
            <w:r w:rsidR="005B2E57" w:rsidRPr="00650983">
              <w:t xml:space="preserve">Local Government Act </w:t>
            </w:r>
            <w:r w:rsidR="003D7638">
              <w:t>(</w:t>
            </w:r>
            <w:proofErr w:type="spellStart"/>
            <w:r w:rsidR="003D7638" w:rsidRPr="00F14173">
              <w:rPr>
                <w:i/>
                <w:iCs/>
              </w:rPr>
              <w:t>kuntalaki</w:t>
            </w:r>
            <w:proofErr w:type="spellEnd"/>
            <w:r w:rsidR="003D7638">
              <w:t>/</w:t>
            </w:r>
            <w:proofErr w:type="spellStart"/>
            <w:r w:rsidR="003D7638" w:rsidRPr="00F14173">
              <w:rPr>
                <w:i/>
                <w:iCs/>
              </w:rPr>
              <w:t>kommunallag</w:t>
            </w:r>
            <w:proofErr w:type="spellEnd"/>
            <w:r w:rsidR="003D7638">
              <w:t xml:space="preserve">) (Act No. </w:t>
            </w:r>
            <w:r w:rsidR="004855B0">
              <w:t>410/2015)</w:t>
            </w:r>
            <w:bookmarkEnd w:id="5"/>
            <w:r w:rsidR="00423AD4">
              <w:rPr>
                <w:rStyle w:val="FootnoteReference"/>
              </w:rPr>
              <w:footnoteReference w:id="7"/>
            </w:r>
            <w:r w:rsidR="004855B0">
              <w:t xml:space="preserve"> </w:t>
            </w:r>
            <w:r w:rsidR="00033D86" w:rsidRPr="00650983">
              <w:t xml:space="preserve">and section 28 of the </w:t>
            </w:r>
            <w:bookmarkStart w:id="7" w:name="_Hlk153452838"/>
            <w:r w:rsidR="00033D86" w:rsidRPr="00650983">
              <w:t xml:space="preserve">Act on Wellbeing Services Counties </w:t>
            </w:r>
            <w:r w:rsidR="004855B0">
              <w:t>(</w:t>
            </w:r>
            <w:proofErr w:type="spellStart"/>
            <w:r w:rsidR="004855B0" w:rsidRPr="00F14173">
              <w:rPr>
                <w:i/>
                <w:iCs/>
              </w:rPr>
              <w:t>laki</w:t>
            </w:r>
            <w:proofErr w:type="spellEnd"/>
            <w:r w:rsidR="004855B0" w:rsidRPr="00F14173">
              <w:rPr>
                <w:i/>
                <w:iCs/>
              </w:rPr>
              <w:t xml:space="preserve"> </w:t>
            </w:r>
            <w:proofErr w:type="spellStart"/>
            <w:r w:rsidR="004855B0" w:rsidRPr="00F14173">
              <w:rPr>
                <w:i/>
                <w:iCs/>
              </w:rPr>
              <w:t>hyvinvointialueesta</w:t>
            </w:r>
            <w:proofErr w:type="spellEnd"/>
            <w:r w:rsidR="004855B0">
              <w:t>/</w:t>
            </w:r>
            <w:r w:rsidR="004855B0" w:rsidRPr="00F14173">
              <w:rPr>
                <w:i/>
                <w:iCs/>
              </w:rPr>
              <w:t xml:space="preserve">lag om </w:t>
            </w:r>
            <w:proofErr w:type="spellStart"/>
            <w:r w:rsidR="004855B0" w:rsidRPr="00F14173">
              <w:rPr>
                <w:i/>
                <w:iCs/>
              </w:rPr>
              <w:t>välfärdsområden</w:t>
            </w:r>
            <w:proofErr w:type="spellEnd"/>
            <w:r w:rsidR="004855B0">
              <w:t>) (Act No. 611/2021</w:t>
            </w:r>
            <w:bookmarkEnd w:id="7"/>
            <w:r w:rsidR="004855B0">
              <w:t>)</w:t>
            </w:r>
            <w:r w:rsidR="00D834C0">
              <w:rPr>
                <w:rStyle w:val="FootnoteReference"/>
              </w:rPr>
              <w:footnoteReference w:id="8"/>
            </w:r>
            <w:r w:rsidR="00651166">
              <w:t xml:space="preserve"> </w:t>
            </w:r>
            <w:r w:rsidR="00D70A50" w:rsidRPr="00650983">
              <w:t xml:space="preserve">every Finnish </w:t>
            </w:r>
            <w:r w:rsidR="002917C0" w:rsidRPr="00650983">
              <w:t>citizen</w:t>
            </w:r>
            <w:r w:rsidR="00D70A50" w:rsidRPr="00650983">
              <w:t xml:space="preserve"> and </w:t>
            </w:r>
            <w:r w:rsidR="00684999" w:rsidRPr="00650983">
              <w:t xml:space="preserve">every foreigner permanently residing in </w:t>
            </w:r>
            <w:r w:rsidR="002917C0" w:rsidRPr="00650983">
              <w:t>Finland</w:t>
            </w:r>
            <w:r w:rsidR="00684999" w:rsidRPr="00650983">
              <w:t xml:space="preserve"> has the right to vote in municipal elections</w:t>
            </w:r>
            <w:r w:rsidR="00033D86" w:rsidRPr="00650983">
              <w:t xml:space="preserve"> and in </w:t>
            </w:r>
            <w:r w:rsidR="009D65F3">
              <w:t xml:space="preserve">well-being </w:t>
            </w:r>
            <w:r w:rsidR="00033D86" w:rsidRPr="00650983">
              <w:t>county elections, respectively</w:t>
            </w:r>
            <w:r w:rsidR="00684999" w:rsidRPr="00650983">
              <w:t>.</w:t>
            </w:r>
            <w:r w:rsidR="00831C14" w:rsidRPr="00650983">
              <w:t xml:space="preserve"> </w:t>
            </w:r>
            <w:r w:rsidR="00AD3149" w:rsidRPr="00650983">
              <w:t xml:space="preserve">Section 23 of the </w:t>
            </w:r>
            <w:r w:rsidR="004F171C" w:rsidRPr="00650983">
              <w:t>Act on Wellbeing Services Counties further confirms that</w:t>
            </w:r>
            <w:r w:rsidR="00AD3149" w:rsidRPr="00650983">
              <w:t xml:space="preserve"> </w:t>
            </w:r>
            <w:r w:rsidR="004F171C" w:rsidRPr="00650983">
              <w:t xml:space="preserve">all </w:t>
            </w:r>
            <w:r w:rsidR="00AD3149" w:rsidRPr="00650983">
              <w:t>persons entitled to vote have an equal right to vote.</w:t>
            </w:r>
          </w:p>
          <w:p w14:paraId="7F472BA4" w14:textId="69E83C2B" w:rsidR="00566A68" w:rsidRPr="00650983" w:rsidRDefault="00566A68" w:rsidP="002B3544">
            <w:pPr>
              <w:pStyle w:val="FRABodyText"/>
            </w:pPr>
          </w:p>
        </w:tc>
      </w:tr>
      <w:tr w:rsidR="00CC2CCC" w:rsidRPr="006E5B7F" w14:paraId="2B835653"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A87F14D" w14:textId="77777777" w:rsidR="00566A68" w:rsidRPr="00650983" w:rsidRDefault="00566A68" w:rsidP="002B3544">
            <w:pPr>
              <w:pStyle w:val="FRABodyText"/>
              <w:rPr>
                <w:i/>
                <w:iCs/>
              </w:rPr>
            </w:pPr>
            <w:r w:rsidRPr="00650983">
              <w:lastRenderedPageBreak/>
              <w:t>Is there a requirement under law to register to vote?</w:t>
            </w:r>
          </w:p>
          <w:p w14:paraId="6C40E126" w14:textId="77777777" w:rsidR="00566A68" w:rsidRPr="00650983" w:rsidRDefault="00566A68" w:rsidP="002B3544">
            <w:pPr>
              <w:pStyle w:val="FRABodyText"/>
            </w:pP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A4EBD1C" w14:textId="4954CDC5" w:rsidR="00566A68" w:rsidRPr="00650983" w:rsidRDefault="00566A68" w:rsidP="002B3544">
            <w:pPr>
              <w:pStyle w:val="FRABodyText"/>
              <w:rPr>
                <w:i/>
                <w:iCs/>
              </w:rPr>
            </w:pPr>
            <w:r w:rsidRPr="00017BC0">
              <w:t>Yes, for non-nationals</w:t>
            </w:r>
            <w:r w:rsidRPr="00650983">
              <w:t xml:space="preserve"> </w:t>
            </w:r>
          </w:p>
          <w:p w14:paraId="39B9D528" w14:textId="5566DC4D" w:rsidR="00566A68" w:rsidRPr="00F14173" w:rsidRDefault="00566A68" w:rsidP="002B3544">
            <w:pPr>
              <w:pStyle w:val="FRABodyText"/>
              <w:rPr>
                <w:i/>
                <w:iCs/>
              </w:rPr>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91A3475" w14:textId="25C2D357" w:rsidR="00566A68" w:rsidRPr="00650983" w:rsidRDefault="009C2123" w:rsidP="002B3544">
            <w:pPr>
              <w:pStyle w:val="FRABodyText"/>
              <w:rPr>
                <w:i/>
                <w:iCs/>
              </w:rPr>
            </w:pPr>
            <w:r w:rsidRPr="00650983">
              <w:t xml:space="preserve">In </w:t>
            </w:r>
            <w:r w:rsidRPr="00650983">
              <w:rPr>
                <w:b/>
                <w:bCs/>
              </w:rPr>
              <w:t>Finland</w:t>
            </w:r>
            <w:r w:rsidRPr="00650983">
              <w:t xml:space="preserve">, there is no requirement under law to register to vote, except for non-nationals in </w:t>
            </w:r>
            <w:r w:rsidR="00A35684" w:rsidRPr="00650983">
              <w:t>European Parliament elections</w:t>
            </w:r>
            <w:r w:rsidRPr="00650983">
              <w:t xml:space="preserve">. </w:t>
            </w:r>
            <w:bookmarkStart w:id="9" w:name="_Hlk147828933"/>
            <w:r w:rsidR="00D02406" w:rsidRPr="00650983">
              <w:t>T</w:t>
            </w:r>
            <w:r w:rsidR="00E06666" w:rsidRPr="00650983">
              <w:t>he Digital and Population Data Services Agency (</w:t>
            </w:r>
            <w:r w:rsidR="00E06666" w:rsidRPr="006B0D65">
              <w:t xml:space="preserve">The Finnish Digital Agency, </w:t>
            </w:r>
            <w:r w:rsidR="00E06666" w:rsidRPr="00F14173">
              <w:rPr>
                <w:i/>
                <w:iCs/>
              </w:rPr>
              <w:t xml:space="preserve">Digi- </w:t>
            </w:r>
            <w:proofErr w:type="spellStart"/>
            <w:r w:rsidR="00E06666" w:rsidRPr="00F14173">
              <w:rPr>
                <w:i/>
                <w:iCs/>
              </w:rPr>
              <w:t>ja</w:t>
            </w:r>
            <w:proofErr w:type="spellEnd"/>
            <w:r w:rsidR="00E06666" w:rsidRPr="00F14173">
              <w:rPr>
                <w:i/>
                <w:iCs/>
              </w:rPr>
              <w:t xml:space="preserve"> </w:t>
            </w:r>
            <w:proofErr w:type="spellStart"/>
            <w:r w:rsidR="00E06666" w:rsidRPr="00F14173">
              <w:rPr>
                <w:i/>
                <w:iCs/>
              </w:rPr>
              <w:t>väestötieto</w:t>
            </w:r>
            <w:r w:rsidR="00E06666" w:rsidRPr="00F14173">
              <w:rPr>
                <w:i/>
                <w:iCs/>
              </w:rPr>
              <w:softHyphen/>
              <w:t>virasto</w:t>
            </w:r>
            <w:proofErr w:type="spellEnd"/>
            <w:r w:rsidR="00E06666" w:rsidRPr="00650983">
              <w:t>/</w:t>
            </w:r>
            <w:proofErr w:type="spellStart"/>
            <w:r w:rsidR="00E06666" w:rsidRPr="00F14173">
              <w:rPr>
                <w:i/>
                <w:iCs/>
              </w:rPr>
              <w:t>Myndig</w:t>
            </w:r>
            <w:r w:rsidR="00E06666" w:rsidRPr="00F14173">
              <w:rPr>
                <w:i/>
                <w:iCs/>
              </w:rPr>
              <w:softHyphen/>
              <w:t>heten</w:t>
            </w:r>
            <w:proofErr w:type="spellEnd"/>
            <w:r w:rsidR="00E06666" w:rsidRPr="00F14173">
              <w:rPr>
                <w:i/>
                <w:iCs/>
              </w:rPr>
              <w:t xml:space="preserve"> för </w:t>
            </w:r>
            <w:proofErr w:type="spellStart"/>
            <w:r w:rsidR="00E06666" w:rsidRPr="00F14173">
              <w:rPr>
                <w:i/>
                <w:iCs/>
              </w:rPr>
              <w:t>digitalisering</w:t>
            </w:r>
            <w:proofErr w:type="spellEnd"/>
            <w:r w:rsidR="00E06666" w:rsidRPr="00F14173">
              <w:rPr>
                <w:i/>
                <w:iCs/>
              </w:rPr>
              <w:t xml:space="preserve"> </w:t>
            </w:r>
            <w:proofErr w:type="spellStart"/>
            <w:r w:rsidR="00E06666" w:rsidRPr="00F14173">
              <w:rPr>
                <w:i/>
                <w:iCs/>
              </w:rPr>
              <w:t>och</w:t>
            </w:r>
            <w:proofErr w:type="spellEnd"/>
            <w:r w:rsidR="00E06666" w:rsidRPr="00F14173">
              <w:rPr>
                <w:i/>
                <w:iCs/>
              </w:rPr>
              <w:t xml:space="preserve"> </w:t>
            </w:r>
            <w:proofErr w:type="spellStart"/>
            <w:r w:rsidR="00E06666" w:rsidRPr="00F14173">
              <w:rPr>
                <w:i/>
                <w:iCs/>
              </w:rPr>
              <w:t>befolkningsdata</w:t>
            </w:r>
            <w:bookmarkEnd w:id="9"/>
            <w:proofErr w:type="spellEnd"/>
            <w:r w:rsidR="00E06666" w:rsidRPr="00650983">
              <w:t>)</w:t>
            </w:r>
            <w:r w:rsidR="00D02406" w:rsidRPr="00650983">
              <w:t xml:space="preserve"> extracts v</w:t>
            </w:r>
            <w:r w:rsidRPr="00650983">
              <w:t>oter lists from the Population Information System (</w:t>
            </w:r>
            <w:proofErr w:type="spellStart"/>
            <w:r w:rsidRPr="00F14173">
              <w:rPr>
                <w:i/>
                <w:iCs/>
              </w:rPr>
              <w:t>Väestötieto</w:t>
            </w:r>
            <w:r w:rsidR="00163CE2" w:rsidRPr="00F14173">
              <w:rPr>
                <w:i/>
                <w:iCs/>
              </w:rPr>
              <w:softHyphen/>
            </w:r>
            <w:r w:rsidRPr="00F14173">
              <w:rPr>
                <w:i/>
                <w:iCs/>
              </w:rPr>
              <w:t>järjestelmä</w:t>
            </w:r>
            <w:proofErr w:type="spellEnd"/>
            <w:r w:rsidRPr="00650983">
              <w:t>/</w:t>
            </w:r>
            <w:proofErr w:type="spellStart"/>
            <w:r w:rsidRPr="00F14173">
              <w:rPr>
                <w:i/>
                <w:iCs/>
              </w:rPr>
              <w:t>Befolk</w:t>
            </w:r>
            <w:r w:rsidR="00163CE2" w:rsidRPr="00F14173">
              <w:rPr>
                <w:i/>
                <w:iCs/>
              </w:rPr>
              <w:softHyphen/>
            </w:r>
            <w:r w:rsidRPr="00F14173">
              <w:rPr>
                <w:i/>
                <w:iCs/>
              </w:rPr>
              <w:t>nings</w:t>
            </w:r>
            <w:r w:rsidR="00163CE2" w:rsidRPr="00F14173">
              <w:rPr>
                <w:i/>
                <w:iCs/>
              </w:rPr>
              <w:softHyphen/>
            </w:r>
            <w:r w:rsidRPr="00F14173">
              <w:rPr>
                <w:i/>
                <w:iCs/>
              </w:rPr>
              <w:t>data</w:t>
            </w:r>
            <w:r w:rsidR="00163CE2" w:rsidRPr="00F14173">
              <w:rPr>
                <w:i/>
                <w:iCs/>
              </w:rPr>
              <w:softHyphen/>
            </w:r>
            <w:r w:rsidRPr="00F14173">
              <w:rPr>
                <w:i/>
                <w:iCs/>
              </w:rPr>
              <w:t>systemet</w:t>
            </w:r>
            <w:proofErr w:type="spellEnd"/>
            <w:r w:rsidRPr="00650983">
              <w:t>)</w:t>
            </w:r>
            <w:r w:rsidR="00EC0ECF" w:rsidRPr="00650983">
              <w:t xml:space="preserve"> and </w:t>
            </w:r>
            <w:r w:rsidR="00D02406" w:rsidRPr="00650983">
              <w:t xml:space="preserve">posts </w:t>
            </w:r>
            <w:r w:rsidR="00E06666" w:rsidRPr="00650983">
              <w:t>notification of eligibility (notification</w:t>
            </w:r>
            <w:r w:rsidRPr="00650983">
              <w:t xml:space="preserve"> cards</w:t>
            </w:r>
            <w:r w:rsidR="00E06666" w:rsidRPr="00650983">
              <w:t>)</w:t>
            </w:r>
            <w:r w:rsidRPr="00650983">
              <w:t xml:space="preserve"> </w:t>
            </w:r>
            <w:r w:rsidR="00D02406" w:rsidRPr="00650983">
              <w:t>directly to each voter no later than 24 days before the day of the election.</w:t>
            </w:r>
            <w:r w:rsidR="00D834C0" w:rsidRPr="00CC2731">
              <w:rPr>
                <w:color w:val="2E74B5" w:themeColor="accent5" w:themeShade="BF"/>
                <w:vertAlign w:val="superscript"/>
              </w:rPr>
              <w:footnoteReference w:id="9"/>
            </w:r>
            <w:r w:rsidR="00D834C0" w:rsidRPr="00CC2731">
              <w:rPr>
                <w:color w:val="2E74B5" w:themeColor="accent5" w:themeShade="BF"/>
              </w:rPr>
              <w:t xml:space="preserve"> </w:t>
            </w:r>
            <w:r w:rsidR="00D02406" w:rsidRPr="00650983">
              <w:t>The notification card specifies the advance polling stations and the person’s election day polling station and tells which municipality</w:t>
            </w:r>
            <w:r w:rsidR="006B0D65">
              <w:t>’s</w:t>
            </w:r>
            <w:r w:rsidR="00D02406" w:rsidRPr="00650983">
              <w:t xml:space="preserve"> or election district’s candidates the person is entitled to </w:t>
            </w:r>
            <w:r w:rsidR="00D02406" w:rsidRPr="00650983">
              <w:lastRenderedPageBreak/>
              <w:t>vote.</w:t>
            </w:r>
            <w:r w:rsidR="006B0D65">
              <w:t xml:space="preserve"> </w:t>
            </w:r>
            <w:r w:rsidRPr="00650983">
              <w:t xml:space="preserve">Homeless citizens can collect </w:t>
            </w:r>
            <w:r w:rsidR="00E06666" w:rsidRPr="00650983">
              <w:t>notification</w:t>
            </w:r>
            <w:r w:rsidRPr="00650983">
              <w:t xml:space="preserve"> cards in district offices and vote at specified polling stations.</w:t>
            </w:r>
            <w:r w:rsidRPr="00CC2731">
              <w:rPr>
                <w:color w:val="2E74B5" w:themeColor="accent5" w:themeShade="BF"/>
                <w:vertAlign w:val="superscript"/>
              </w:rPr>
              <w:footnoteReference w:id="10"/>
            </w:r>
            <w:r w:rsidR="00643ECA" w:rsidRPr="00CC2731">
              <w:rPr>
                <w:color w:val="2E74B5" w:themeColor="accent5" w:themeShade="BF"/>
              </w:rPr>
              <w:t xml:space="preserve"> </w:t>
            </w:r>
          </w:p>
          <w:p w14:paraId="440F17E0" w14:textId="77777777" w:rsidR="00E06666" w:rsidRPr="00650983" w:rsidRDefault="00E06666" w:rsidP="002B3544">
            <w:pPr>
              <w:pStyle w:val="FRABodyText"/>
            </w:pPr>
          </w:p>
          <w:p w14:paraId="0D9089F4" w14:textId="69D20D91" w:rsidR="00EC0ECF" w:rsidRPr="00650983" w:rsidRDefault="00B36674" w:rsidP="006B0D65">
            <w:pPr>
              <w:jc w:val="both"/>
              <w:rPr>
                <w:rFonts w:asciiTheme="minorHAnsi" w:hAnsiTheme="minorHAnsi" w:cstheme="minorHAnsi"/>
                <w:sz w:val="22"/>
                <w:szCs w:val="22"/>
                <w:lang w:eastAsia="en-IE" w:bidi="en-US"/>
              </w:rPr>
            </w:pPr>
            <w:r w:rsidRPr="00650983">
              <w:rPr>
                <w:rFonts w:asciiTheme="minorHAnsi" w:hAnsiTheme="minorHAnsi" w:cstheme="minorHAnsi"/>
                <w:sz w:val="22"/>
                <w:szCs w:val="22"/>
                <w:lang w:eastAsia="en-IE" w:bidi="en-US"/>
              </w:rPr>
              <w:t xml:space="preserve">Section 18 of the Finnish Election Act </w:t>
            </w:r>
            <w:r w:rsidR="00CC2731">
              <w:rPr>
                <w:rFonts w:asciiTheme="minorHAnsi" w:hAnsiTheme="minorHAnsi" w:cstheme="minorHAnsi"/>
                <w:sz w:val="22"/>
                <w:szCs w:val="22"/>
                <w:lang w:eastAsia="en-IE" w:bidi="en-US"/>
              </w:rPr>
              <w:t>(</w:t>
            </w:r>
            <w:proofErr w:type="spellStart"/>
            <w:r w:rsidR="00CC2731" w:rsidRPr="00CC2731">
              <w:rPr>
                <w:rFonts w:asciiTheme="minorHAnsi" w:hAnsiTheme="minorHAnsi" w:cstheme="minorHAnsi"/>
                <w:i/>
                <w:iCs/>
                <w:sz w:val="22"/>
                <w:szCs w:val="22"/>
                <w:lang w:eastAsia="en-IE" w:bidi="en-US"/>
              </w:rPr>
              <w:t>vaalilaki</w:t>
            </w:r>
            <w:proofErr w:type="spellEnd"/>
            <w:r w:rsidR="00CC2731">
              <w:rPr>
                <w:rFonts w:asciiTheme="minorHAnsi" w:hAnsiTheme="minorHAnsi" w:cstheme="minorHAnsi"/>
                <w:sz w:val="22"/>
                <w:szCs w:val="22"/>
                <w:lang w:eastAsia="en-IE" w:bidi="en-US"/>
              </w:rPr>
              <w:t>/</w:t>
            </w:r>
            <w:proofErr w:type="spellStart"/>
            <w:r w:rsidR="00CC2731" w:rsidRPr="00CC2731">
              <w:rPr>
                <w:rFonts w:asciiTheme="minorHAnsi" w:hAnsiTheme="minorHAnsi" w:cstheme="minorHAnsi"/>
                <w:i/>
                <w:iCs/>
                <w:sz w:val="22"/>
                <w:szCs w:val="22"/>
                <w:lang w:eastAsia="en-IE" w:bidi="en-US"/>
              </w:rPr>
              <w:t>vallag</w:t>
            </w:r>
            <w:proofErr w:type="spellEnd"/>
            <w:r w:rsidR="00CC2731">
              <w:rPr>
                <w:rFonts w:asciiTheme="minorHAnsi" w:hAnsiTheme="minorHAnsi" w:cstheme="minorHAnsi"/>
                <w:sz w:val="22"/>
                <w:szCs w:val="22"/>
                <w:lang w:eastAsia="en-IE" w:bidi="en-US"/>
              </w:rPr>
              <w:t xml:space="preserve">) (Act No. 714/1998) </w:t>
            </w:r>
            <w:r w:rsidRPr="00650983">
              <w:rPr>
                <w:rFonts w:asciiTheme="minorHAnsi" w:hAnsiTheme="minorHAnsi" w:cstheme="minorHAnsi"/>
                <w:sz w:val="22"/>
                <w:szCs w:val="22"/>
                <w:lang w:eastAsia="en-IE" w:bidi="en-US"/>
              </w:rPr>
              <w:t>provides that c</w:t>
            </w:r>
            <w:r w:rsidR="00EC0ECF" w:rsidRPr="00650983">
              <w:rPr>
                <w:rFonts w:asciiTheme="minorHAnsi" w:hAnsiTheme="minorHAnsi" w:cstheme="minorHAnsi"/>
                <w:sz w:val="22"/>
                <w:szCs w:val="22"/>
                <w:lang w:eastAsia="en-IE" w:bidi="en-US"/>
              </w:rPr>
              <w:t>itizens of other Member States of the European Union who are entitled to vote in European Parliament elections in Finland are entered in the voting register for European Parliament elections</w:t>
            </w:r>
            <w:r w:rsidR="006B0D65">
              <w:rPr>
                <w:rFonts w:asciiTheme="minorHAnsi" w:hAnsiTheme="minorHAnsi" w:cstheme="minorHAnsi"/>
                <w:sz w:val="22"/>
                <w:szCs w:val="22"/>
                <w:lang w:eastAsia="en-IE" w:bidi="en-US"/>
              </w:rPr>
              <w:t>,</w:t>
            </w:r>
            <w:r w:rsidR="00EC0ECF" w:rsidRPr="00650983">
              <w:rPr>
                <w:rFonts w:asciiTheme="minorHAnsi" w:hAnsiTheme="minorHAnsi" w:cstheme="minorHAnsi"/>
                <w:sz w:val="22"/>
                <w:szCs w:val="22"/>
                <w:lang w:eastAsia="en-IE" w:bidi="en-US"/>
              </w:rPr>
              <w:t xml:space="preserve"> if they have notified in writing that they wish to exercise their right to vote in European Parliament elections in Finland.</w:t>
            </w:r>
            <w:r w:rsidR="00D947AB" w:rsidRPr="00CC2731">
              <w:rPr>
                <w:rStyle w:val="FootnoteReference"/>
                <w:rFonts w:asciiTheme="minorHAnsi" w:hAnsiTheme="minorHAnsi" w:cstheme="minorHAnsi"/>
                <w:color w:val="2E74B5" w:themeColor="accent5" w:themeShade="BF"/>
                <w:sz w:val="22"/>
                <w:szCs w:val="22"/>
                <w:lang w:eastAsia="en-IE" w:bidi="en-US"/>
              </w:rPr>
              <w:footnoteReference w:id="11"/>
            </w:r>
            <w:r w:rsidR="00EC0ECF" w:rsidRPr="00650983">
              <w:rPr>
                <w:rFonts w:asciiTheme="minorHAnsi" w:hAnsiTheme="minorHAnsi" w:cstheme="minorHAnsi"/>
                <w:sz w:val="22"/>
                <w:szCs w:val="22"/>
                <w:lang w:eastAsia="en-IE" w:bidi="en-US"/>
              </w:rPr>
              <w:t xml:space="preserve"> The notification and its cancellation must be submitted to the Digital and Population Data Services Agency </w:t>
            </w:r>
            <w:r w:rsidR="00411032">
              <w:rPr>
                <w:rFonts w:asciiTheme="minorHAnsi" w:hAnsiTheme="minorHAnsi" w:cstheme="minorHAnsi"/>
                <w:sz w:val="22"/>
                <w:szCs w:val="22"/>
                <w:lang w:eastAsia="en-IE" w:bidi="en-US"/>
              </w:rPr>
              <w:t>(</w:t>
            </w:r>
            <w:r w:rsidR="00411032" w:rsidRPr="00411032">
              <w:rPr>
                <w:rFonts w:asciiTheme="minorHAnsi" w:hAnsiTheme="minorHAnsi" w:cstheme="minorHAnsi"/>
                <w:i/>
                <w:iCs/>
                <w:sz w:val="22"/>
                <w:szCs w:val="22"/>
                <w:lang w:eastAsia="en-IE" w:bidi="en-US"/>
              </w:rPr>
              <w:t xml:space="preserve">Digi- </w:t>
            </w:r>
            <w:proofErr w:type="spellStart"/>
            <w:r w:rsidR="00411032" w:rsidRPr="00411032">
              <w:rPr>
                <w:rFonts w:asciiTheme="minorHAnsi" w:hAnsiTheme="minorHAnsi" w:cstheme="minorHAnsi"/>
                <w:i/>
                <w:iCs/>
                <w:sz w:val="22"/>
                <w:szCs w:val="22"/>
                <w:lang w:eastAsia="en-IE" w:bidi="en-US"/>
              </w:rPr>
              <w:t>ja</w:t>
            </w:r>
            <w:proofErr w:type="spellEnd"/>
            <w:r w:rsidR="00411032" w:rsidRPr="00411032">
              <w:rPr>
                <w:rFonts w:asciiTheme="minorHAnsi" w:hAnsiTheme="minorHAnsi" w:cstheme="minorHAnsi"/>
                <w:i/>
                <w:iCs/>
                <w:sz w:val="22"/>
                <w:szCs w:val="22"/>
                <w:lang w:eastAsia="en-IE" w:bidi="en-US"/>
              </w:rPr>
              <w:t xml:space="preserve"> </w:t>
            </w:r>
            <w:proofErr w:type="spellStart"/>
            <w:r w:rsidR="00411032" w:rsidRPr="00411032">
              <w:rPr>
                <w:rFonts w:asciiTheme="minorHAnsi" w:hAnsiTheme="minorHAnsi" w:cstheme="minorHAnsi"/>
                <w:i/>
                <w:iCs/>
                <w:sz w:val="22"/>
                <w:szCs w:val="22"/>
                <w:lang w:eastAsia="en-IE" w:bidi="en-US"/>
              </w:rPr>
              <w:t>väestötieto</w:t>
            </w:r>
            <w:r w:rsidR="00411032" w:rsidRPr="00411032">
              <w:rPr>
                <w:rFonts w:asciiTheme="minorHAnsi" w:hAnsiTheme="minorHAnsi" w:cstheme="minorHAnsi"/>
                <w:i/>
                <w:iCs/>
                <w:sz w:val="22"/>
                <w:szCs w:val="22"/>
                <w:lang w:eastAsia="en-IE" w:bidi="en-US"/>
              </w:rPr>
              <w:softHyphen/>
              <w:t>virasto</w:t>
            </w:r>
            <w:proofErr w:type="spellEnd"/>
            <w:r w:rsidR="00411032" w:rsidRPr="00411032">
              <w:rPr>
                <w:rFonts w:asciiTheme="minorHAnsi" w:hAnsiTheme="minorHAnsi" w:cstheme="minorHAnsi"/>
                <w:sz w:val="22"/>
                <w:szCs w:val="22"/>
                <w:lang w:eastAsia="en-IE" w:bidi="en-US"/>
              </w:rPr>
              <w:t>/</w:t>
            </w:r>
            <w:proofErr w:type="spellStart"/>
            <w:r w:rsidR="00411032" w:rsidRPr="00411032">
              <w:rPr>
                <w:rFonts w:asciiTheme="minorHAnsi" w:hAnsiTheme="minorHAnsi" w:cstheme="minorHAnsi"/>
                <w:i/>
                <w:iCs/>
                <w:sz w:val="22"/>
                <w:szCs w:val="22"/>
                <w:lang w:eastAsia="en-IE" w:bidi="en-US"/>
              </w:rPr>
              <w:t>Myndig</w:t>
            </w:r>
            <w:r w:rsidR="00411032" w:rsidRPr="00411032">
              <w:rPr>
                <w:rFonts w:asciiTheme="minorHAnsi" w:hAnsiTheme="minorHAnsi" w:cstheme="minorHAnsi"/>
                <w:i/>
                <w:iCs/>
                <w:sz w:val="22"/>
                <w:szCs w:val="22"/>
                <w:lang w:eastAsia="en-IE" w:bidi="en-US"/>
              </w:rPr>
              <w:softHyphen/>
              <w:t>heten</w:t>
            </w:r>
            <w:proofErr w:type="spellEnd"/>
            <w:r w:rsidR="00411032" w:rsidRPr="00411032">
              <w:rPr>
                <w:rFonts w:asciiTheme="minorHAnsi" w:hAnsiTheme="minorHAnsi" w:cstheme="minorHAnsi"/>
                <w:i/>
                <w:iCs/>
                <w:sz w:val="22"/>
                <w:szCs w:val="22"/>
                <w:lang w:eastAsia="en-IE" w:bidi="en-US"/>
              </w:rPr>
              <w:t xml:space="preserve"> för </w:t>
            </w:r>
            <w:proofErr w:type="spellStart"/>
            <w:r w:rsidR="00411032" w:rsidRPr="00411032">
              <w:rPr>
                <w:rFonts w:asciiTheme="minorHAnsi" w:hAnsiTheme="minorHAnsi" w:cstheme="minorHAnsi"/>
                <w:i/>
                <w:iCs/>
                <w:sz w:val="22"/>
                <w:szCs w:val="22"/>
                <w:lang w:eastAsia="en-IE" w:bidi="en-US"/>
              </w:rPr>
              <w:t>digitalisering</w:t>
            </w:r>
            <w:proofErr w:type="spellEnd"/>
            <w:r w:rsidR="00411032" w:rsidRPr="00411032">
              <w:rPr>
                <w:rFonts w:asciiTheme="minorHAnsi" w:hAnsiTheme="minorHAnsi" w:cstheme="minorHAnsi"/>
                <w:i/>
                <w:iCs/>
                <w:sz w:val="22"/>
                <w:szCs w:val="22"/>
                <w:lang w:eastAsia="en-IE" w:bidi="en-US"/>
              </w:rPr>
              <w:t xml:space="preserve"> </w:t>
            </w:r>
            <w:proofErr w:type="spellStart"/>
            <w:r w:rsidR="00411032" w:rsidRPr="00411032">
              <w:rPr>
                <w:rFonts w:asciiTheme="minorHAnsi" w:hAnsiTheme="minorHAnsi" w:cstheme="minorHAnsi"/>
                <w:i/>
                <w:iCs/>
                <w:sz w:val="22"/>
                <w:szCs w:val="22"/>
                <w:lang w:eastAsia="en-IE" w:bidi="en-US"/>
              </w:rPr>
              <w:t>och</w:t>
            </w:r>
            <w:proofErr w:type="spellEnd"/>
            <w:r w:rsidR="00411032" w:rsidRPr="00411032">
              <w:rPr>
                <w:rFonts w:asciiTheme="minorHAnsi" w:hAnsiTheme="minorHAnsi" w:cstheme="minorHAnsi"/>
                <w:i/>
                <w:iCs/>
                <w:sz w:val="22"/>
                <w:szCs w:val="22"/>
                <w:lang w:eastAsia="en-IE" w:bidi="en-US"/>
              </w:rPr>
              <w:t xml:space="preserve"> </w:t>
            </w:r>
            <w:proofErr w:type="spellStart"/>
            <w:r w:rsidR="00411032" w:rsidRPr="00411032">
              <w:rPr>
                <w:rFonts w:asciiTheme="minorHAnsi" w:hAnsiTheme="minorHAnsi" w:cstheme="minorHAnsi"/>
                <w:i/>
                <w:iCs/>
                <w:sz w:val="22"/>
                <w:szCs w:val="22"/>
                <w:lang w:eastAsia="en-IE" w:bidi="en-US"/>
              </w:rPr>
              <w:t>befolkningsdata</w:t>
            </w:r>
            <w:proofErr w:type="spellEnd"/>
            <w:r w:rsidR="00411032" w:rsidRPr="00411032">
              <w:rPr>
                <w:rFonts w:asciiTheme="minorHAnsi" w:hAnsiTheme="minorHAnsi" w:cstheme="minorHAnsi"/>
                <w:sz w:val="22"/>
                <w:szCs w:val="22"/>
                <w:lang w:eastAsia="en-IE" w:bidi="en-US"/>
              </w:rPr>
              <w:t xml:space="preserve">) </w:t>
            </w:r>
            <w:r w:rsidR="00EC0ECF" w:rsidRPr="00650983">
              <w:rPr>
                <w:rFonts w:asciiTheme="minorHAnsi" w:hAnsiTheme="minorHAnsi" w:cstheme="minorHAnsi"/>
                <w:sz w:val="22"/>
                <w:szCs w:val="22"/>
                <w:lang w:eastAsia="en-IE" w:bidi="en-US"/>
              </w:rPr>
              <w:t>no later than on the 80th day before the election day.</w:t>
            </w:r>
          </w:p>
          <w:p w14:paraId="29332E48" w14:textId="77777777" w:rsidR="00566A68" w:rsidRPr="00650983" w:rsidRDefault="00566A68" w:rsidP="006B0D65">
            <w:pPr>
              <w:jc w:val="both"/>
              <w:rPr>
                <w:rFonts w:asciiTheme="minorHAnsi" w:hAnsiTheme="minorHAnsi" w:cstheme="minorHAnsi"/>
                <w:sz w:val="22"/>
                <w:szCs w:val="22"/>
                <w:lang w:eastAsia="en-IE" w:bidi="en-US"/>
              </w:rPr>
            </w:pPr>
          </w:p>
        </w:tc>
      </w:tr>
      <w:tr w:rsidR="00CC2CCC" w:rsidRPr="006E5B7F" w14:paraId="7048774B"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89383A5" w14:textId="77777777" w:rsidR="00566A68" w:rsidRPr="00650983" w:rsidRDefault="00566A68" w:rsidP="002B3544">
            <w:pPr>
              <w:pStyle w:val="FRABodyText"/>
              <w:rPr>
                <w:i/>
                <w:iCs/>
              </w:rPr>
            </w:pPr>
            <w:r w:rsidRPr="00650983">
              <w:lastRenderedPageBreak/>
              <w:t>Are alternative ways of voting available to persons with disabilities?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ACF9B89" w14:textId="7CF1482D" w:rsidR="00566A68" w:rsidRPr="00650983" w:rsidRDefault="00566A68" w:rsidP="002B3544">
            <w:pPr>
              <w:pStyle w:val="FRABodyText"/>
              <w:rPr>
                <w:i/>
                <w:iCs/>
              </w:rPr>
            </w:pPr>
            <w:r w:rsidRPr="00017BC0">
              <w:t>Yes, available to all voters</w:t>
            </w:r>
            <w:r w:rsidRPr="00650983">
              <w:t xml:space="preserve">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89753C6" w14:textId="1F61F952" w:rsidR="00E470CE" w:rsidRPr="00650983" w:rsidRDefault="004F171C" w:rsidP="002B3544">
            <w:pPr>
              <w:pStyle w:val="FRABodyText"/>
              <w:rPr>
                <w:i/>
                <w:iCs/>
              </w:rPr>
            </w:pPr>
            <w:r w:rsidRPr="00650983">
              <w:t xml:space="preserve">In </w:t>
            </w:r>
            <w:r w:rsidRPr="00650983">
              <w:rPr>
                <w:b/>
                <w:bCs/>
              </w:rPr>
              <w:t>Finland</w:t>
            </w:r>
            <w:r w:rsidRPr="00650983">
              <w:t xml:space="preserve">, </w:t>
            </w:r>
            <w:r w:rsidR="00EE0469" w:rsidRPr="00650983">
              <w:t>p</w:t>
            </w:r>
            <w:r w:rsidR="00E470CE" w:rsidRPr="00650983">
              <w:t xml:space="preserve">ersons entitled to vote whose ability to </w:t>
            </w:r>
            <w:r w:rsidR="002C33BE" w:rsidRPr="00650983">
              <w:t>move,</w:t>
            </w:r>
            <w:r w:rsidR="00E470CE" w:rsidRPr="00650983">
              <w:t xml:space="preserve"> and function is so limited that they cannot access the advance voting and election day polling stations without unreasonable difficulties</w:t>
            </w:r>
            <w:r w:rsidR="002C33BE" w:rsidRPr="00650983">
              <w:t>,</w:t>
            </w:r>
            <w:r w:rsidR="00E470CE" w:rsidRPr="00650983">
              <w:t xml:space="preserve"> may vote at home</w:t>
            </w:r>
            <w:r w:rsidR="00EE0469" w:rsidRPr="00650983">
              <w:t xml:space="preserve">, in accordance with </w:t>
            </w:r>
            <w:r w:rsidR="00D37CC2" w:rsidRPr="00650983">
              <w:t>sections 46 and 55</w:t>
            </w:r>
            <w:r w:rsidR="00E470CE" w:rsidRPr="00650983">
              <w:t xml:space="preserve"> </w:t>
            </w:r>
            <w:r w:rsidR="00D37CC2" w:rsidRPr="00650983">
              <w:t xml:space="preserve">of </w:t>
            </w:r>
            <w:r w:rsidR="003D7638" w:rsidRPr="003D7638">
              <w:t>the Election Act (</w:t>
            </w:r>
            <w:proofErr w:type="spellStart"/>
            <w:r w:rsidR="003D7638" w:rsidRPr="00C93151">
              <w:rPr>
                <w:i/>
                <w:iCs/>
              </w:rPr>
              <w:t>vaalilaki</w:t>
            </w:r>
            <w:proofErr w:type="spellEnd"/>
            <w:r w:rsidR="003D7638" w:rsidRPr="00C93151">
              <w:rPr>
                <w:i/>
                <w:iCs/>
              </w:rPr>
              <w:t>/</w:t>
            </w:r>
            <w:proofErr w:type="spellStart"/>
            <w:r w:rsidR="003D7638" w:rsidRPr="00C93151">
              <w:rPr>
                <w:i/>
                <w:iCs/>
              </w:rPr>
              <w:t>vallag</w:t>
            </w:r>
            <w:proofErr w:type="spellEnd"/>
            <w:r w:rsidR="003D7638" w:rsidRPr="003D7638">
              <w:t>) (Act No. 714/1998)</w:t>
            </w:r>
            <w:r w:rsidR="00D37CC2" w:rsidRPr="00650983">
              <w:t>.</w:t>
            </w:r>
            <w:r w:rsidR="00D947AB">
              <w:rPr>
                <w:rStyle w:val="FootnoteReference"/>
              </w:rPr>
              <w:footnoteReference w:id="12"/>
            </w:r>
            <w:r w:rsidR="00D37CC2" w:rsidRPr="00650983">
              <w:t xml:space="preserve"> In this case, an election official appointed by the </w:t>
            </w:r>
            <w:r w:rsidR="0001652B" w:rsidRPr="00650983">
              <w:t xml:space="preserve">municipal </w:t>
            </w:r>
            <w:r w:rsidR="00D37CC2" w:rsidRPr="00650983">
              <w:t xml:space="preserve">central election committee receives the vote. A family carer </w:t>
            </w:r>
            <w:r w:rsidR="00D37CC2" w:rsidRPr="00650983">
              <w:lastRenderedPageBreak/>
              <w:t>living in the same household is also entitled to vote during the home voting.</w:t>
            </w:r>
            <w:r w:rsidR="00127769" w:rsidRPr="0022612E">
              <w:rPr>
                <w:rStyle w:val="FootnoteReference"/>
                <w:color w:val="4472C4" w:themeColor="accent1"/>
              </w:rPr>
              <w:footnoteReference w:id="13"/>
            </w:r>
          </w:p>
          <w:p w14:paraId="798EA478" w14:textId="3C1BD88E" w:rsidR="00045DC6" w:rsidRPr="00650983" w:rsidRDefault="00045DC6" w:rsidP="002B3544">
            <w:pPr>
              <w:pStyle w:val="FRABodyText"/>
            </w:pPr>
          </w:p>
        </w:tc>
      </w:tr>
      <w:tr w:rsidR="00CC2CCC" w:rsidRPr="006E5B7F" w14:paraId="3D270E81"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7156113" w14:textId="375CD0FD" w:rsidR="00566A68" w:rsidRPr="00650983" w:rsidRDefault="00566A68" w:rsidP="002B3544">
            <w:pPr>
              <w:pStyle w:val="FRABodyText"/>
              <w:rPr>
                <w:i/>
                <w:iCs/>
              </w:rPr>
            </w:pPr>
            <w:r w:rsidRPr="00650983">
              <w:lastRenderedPageBreak/>
              <w:t>Is there legislation regulating how people living in long-term institutions may vote?</w:t>
            </w:r>
          </w:p>
          <w:p w14:paraId="7A39CDDF" w14:textId="77777777" w:rsidR="00566A68" w:rsidRPr="00650983" w:rsidRDefault="00566A68" w:rsidP="002B3544">
            <w:pPr>
              <w:pStyle w:val="FRABodyText"/>
            </w:pP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8670BF7" w14:textId="6D6D9C5F" w:rsidR="00566A68" w:rsidRPr="00650983" w:rsidRDefault="00566A68" w:rsidP="002B3544">
            <w:pPr>
              <w:pStyle w:val="FRABodyText"/>
              <w:rPr>
                <w:i/>
                <w:iCs/>
              </w:rPr>
            </w:pPr>
            <w:r w:rsidRPr="00017BC0">
              <w:t>Yes, specific legislative provisions</w:t>
            </w:r>
            <w:r w:rsidRPr="00650983">
              <w:t xml:space="preserve">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EF2B818" w14:textId="4C07421A" w:rsidR="0076474C" w:rsidRPr="00650983" w:rsidRDefault="00806164" w:rsidP="002B3544">
            <w:pPr>
              <w:pStyle w:val="FRABodyText"/>
            </w:pPr>
            <w:r w:rsidRPr="00650983">
              <w:t xml:space="preserve">In </w:t>
            </w:r>
            <w:r w:rsidRPr="00650983">
              <w:rPr>
                <w:b/>
                <w:bCs/>
              </w:rPr>
              <w:t>Finland</w:t>
            </w:r>
            <w:r w:rsidRPr="00650983">
              <w:t xml:space="preserve">, </w:t>
            </w:r>
            <w:r w:rsidR="0076474C" w:rsidRPr="00650983">
              <w:t>Section 9 of the Election Act (</w:t>
            </w:r>
            <w:proofErr w:type="spellStart"/>
            <w:r w:rsidR="00DE604A">
              <w:fldChar w:fldCharType="begin"/>
            </w:r>
            <w:r w:rsidR="00DE604A">
              <w:instrText>HYPERLINK "https://www.finlex.fi/fi/laki/ajantasa/1998/19980714"</w:instrText>
            </w:r>
            <w:r w:rsidR="00DE604A">
              <w:fldChar w:fldCharType="separate"/>
            </w:r>
            <w:r w:rsidR="003D7638" w:rsidRPr="00432F98">
              <w:rPr>
                <w:rStyle w:val="Hyperlink"/>
                <w:i/>
                <w:iCs/>
                <w:color w:val="auto"/>
              </w:rPr>
              <w:t>v</w:t>
            </w:r>
            <w:r w:rsidR="0076474C" w:rsidRPr="00432F98">
              <w:rPr>
                <w:rStyle w:val="Hyperlink"/>
                <w:i/>
                <w:iCs/>
                <w:color w:val="auto"/>
              </w:rPr>
              <w:t>aalilaki</w:t>
            </w:r>
            <w:proofErr w:type="spellEnd"/>
            <w:r w:rsidR="00DE604A">
              <w:rPr>
                <w:rStyle w:val="Hyperlink"/>
                <w:i/>
                <w:iCs/>
                <w:color w:val="auto"/>
              </w:rPr>
              <w:fldChar w:fldCharType="end"/>
            </w:r>
            <w:r w:rsidR="0076474C" w:rsidRPr="00650983">
              <w:t>/</w:t>
            </w:r>
            <w:proofErr w:type="spellStart"/>
            <w:r w:rsidR="00DE604A">
              <w:fldChar w:fldCharType="begin"/>
            </w:r>
            <w:r w:rsidR="00DE604A">
              <w:instrText>HYPERLINK "https://www.finlex.fi/sv/laki/ajantasa/1998/19980714"</w:instrText>
            </w:r>
            <w:r w:rsidR="00DE604A">
              <w:fldChar w:fldCharType="separate"/>
            </w:r>
            <w:r w:rsidR="003D7638" w:rsidRPr="00432F98">
              <w:rPr>
                <w:rStyle w:val="Hyperlink"/>
                <w:i/>
                <w:iCs/>
                <w:color w:val="auto"/>
              </w:rPr>
              <w:t>v</w:t>
            </w:r>
            <w:r w:rsidR="00D7434C" w:rsidRPr="00432F98">
              <w:rPr>
                <w:rStyle w:val="Hyperlink"/>
                <w:i/>
                <w:iCs/>
                <w:color w:val="auto"/>
              </w:rPr>
              <w:t>allag</w:t>
            </w:r>
            <w:proofErr w:type="spellEnd"/>
            <w:r w:rsidR="00DE604A">
              <w:rPr>
                <w:rStyle w:val="Hyperlink"/>
                <w:i/>
                <w:iCs/>
                <w:color w:val="auto"/>
              </w:rPr>
              <w:fldChar w:fldCharType="end"/>
            </w:r>
            <w:r w:rsidR="0076474C" w:rsidRPr="00650983">
              <w:t>) (</w:t>
            </w:r>
            <w:r w:rsidR="00D7434C" w:rsidRPr="00650983">
              <w:t xml:space="preserve">Act No. </w:t>
            </w:r>
            <w:r w:rsidR="0076474C" w:rsidRPr="00650983">
              <w:t xml:space="preserve">714/1998) stipulates that </w:t>
            </w:r>
            <w:r w:rsidR="00C66CB9" w:rsidRPr="00650983">
              <w:t>hospitals, social welfare units providing round-the-clock care and other social welfare units determined by decision of the municipal board are among special advance polling stations</w:t>
            </w:r>
            <w:r w:rsidR="0076474C" w:rsidRPr="00650983">
              <w:t>.</w:t>
            </w:r>
            <w:r w:rsidR="0022612E">
              <w:rPr>
                <w:rStyle w:val="FootnoteReference"/>
              </w:rPr>
              <w:footnoteReference w:id="14"/>
            </w:r>
            <w:r w:rsidR="0076474C" w:rsidRPr="00650983">
              <w:t xml:space="preserve"> </w:t>
            </w:r>
            <w:r w:rsidRPr="00650983">
              <w:t xml:space="preserve">Following section 46 of the same Election Act </w:t>
            </w:r>
            <w:r w:rsidR="008911E2" w:rsidRPr="00650983">
              <w:t xml:space="preserve">persons entitled to vote </w:t>
            </w:r>
            <w:r w:rsidRPr="00650983">
              <w:t xml:space="preserve">who </w:t>
            </w:r>
            <w:r w:rsidR="008911E2" w:rsidRPr="00650983">
              <w:t xml:space="preserve">are </w:t>
            </w:r>
            <w:r w:rsidR="00D7434C" w:rsidRPr="00650983">
              <w:t>being treated</w:t>
            </w:r>
            <w:r w:rsidR="008911E2" w:rsidRPr="00650983">
              <w:t xml:space="preserve"> in such institutions</w:t>
            </w:r>
            <w:r w:rsidRPr="00650983">
              <w:t xml:space="preserve"> may vote </w:t>
            </w:r>
            <w:r w:rsidR="008911E2" w:rsidRPr="00650983">
              <w:t>there</w:t>
            </w:r>
            <w:r w:rsidR="00024D8B" w:rsidRPr="00650983">
              <w:t xml:space="preserve"> in advance</w:t>
            </w:r>
            <w:r w:rsidRPr="00650983">
              <w:t>.</w:t>
            </w:r>
            <w:r w:rsidR="00F4669E" w:rsidRPr="00650983">
              <w:t xml:space="preserve"> </w:t>
            </w:r>
            <w:r w:rsidR="00020F24" w:rsidRPr="00650983">
              <w:t>According to the Ministry of Justice (</w:t>
            </w:r>
            <w:proofErr w:type="spellStart"/>
            <w:r w:rsidR="00020F24" w:rsidRPr="00C93151">
              <w:rPr>
                <w:i/>
                <w:iCs/>
              </w:rPr>
              <w:t>oikeusministeriö</w:t>
            </w:r>
            <w:proofErr w:type="spellEnd"/>
            <w:r w:rsidR="00020F24" w:rsidRPr="00C93151">
              <w:rPr>
                <w:i/>
                <w:iCs/>
              </w:rPr>
              <w:t>/</w:t>
            </w:r>
            <w:proofErr w:type="spellStart"/>
            <w:r w:rsidR="00020F24" w:rsidRPr="00C93151">
              <w:rPr>
                <w:i/>
                <w:iCs/>
              </w:rPr>
              <w:t>justitieministeriet</w:t>
            </w:r>
            <w:proofErr w:type="spellEnd"/>
            <w:r w:rsidR="00020F24" w:rsidRPr="00650983">
              <w:t>), a</w:t>
            </w:r>
            <w:r w:rsidR="00F4669E" w:rsidRPr="00650983">
              <w:t>n election committee appointed by the municipal board arrives at each institution in the municipality to conduct voting on at least one and at most two days falling within the advance voting period</w:t>
            </w:r>
            <w:r w:rsidRPr="00650983">
              <w:t>.</w:t>
            </w:r>
            <w:r w:rsidRPr="0022612E">
              <w:rPr>
                <w:rStyle w:val="FootnoteReference"/>
                <w:color w:val="4472C4" w:themeColor="accent1"/>
              </w:rPr>
              <w:footnoteReference w:id="15"/>
            </w:r>
            <w:r w:rsidR="008A0157" w:rsidRPr="0022612E">
              <w:rPr>
                <w:color w:val="4472C4" w:themeColor="accent1"/>
              </w:rPr>
              <w:t xml:space="preserve"> </w:t>
            </w:r>
          </w:p>
          <w:p w14:paraId="7442AE56" w14:textId="4AE9715D" w:rsidR="001C63CA" w:rsidRPr="00650983" w:rsidRDefault="001C63CA" w:rsidP="002B3544">
            <w:pPr>
              <w:pStyle w:val="FRABodyText"/>
            </w:pPr>
          </w:p>
        </w:tc>
      </w:tr>
      <w:tr w:rsidR="00CC2CCC" w:rsidRPr="006E5B7F" w14:paraId="72B066EB"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E644F0B" w14:textId="77777777" w:rsidR="00566A68" w:rsidRPr="00650983" w:rsidRDefault="00566A68" w:rsidP="002B3544">
            <w:pPr>
              <w:pStyle w:val="FRABodyText"/>
              <w:rPr>
                <w:i/>
                <w:iCs/>
              </w:rPr>
            </w:pPr>
            <w:r w:rsidRPr="00650983">
              <w:t>Is there a legal duty to provide assistance in voting to persons with disabilities?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9392D38" w14:textId="2114CCFE" w:rsidR="00566A68" w:rsidRPr="00432F98" w:rsidRDefault="00566A68" w:rsidP="002B3544">
            <w:pPr>
              <w:pStyle w:val="FRABodyText"/>
              <w:rPr>
                <w:i/>
                <w:iCs/>
              </w:rPr>
            </w:pPr>
            <w:r w:rsidRPr="00017BC0">
              <w:t>Yes, for all persons with disabilities</w:t>
            </w:r>
            <w:r w:rsidRPr="00432F98">
              <w:t xml:space="preserve"> </w:t>
            </w:r>
          </w:p>
          <w:p w14:paraId="2B08EAB9" w14:textId="153CF6C7" w:rsidR="00566A68" w:rsidRPr="00650983" w:rsidRDefault="00566A68" w:rsidP="002B3544">
            <w:pPr>
              <w:pStyle w:val="FRABodyText"/>
              <w:rPr>
                <w:i/>
                <w:iCs/>
              </w:rPr>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4E2FA5C" w14:textId="7BEEB8F2" w:rsidR="00B84DF8" w:rsidRPr="00650983" w:rsidRDefault="0061376C" w:rsidP="002B3544">
            <w:pPr>
              <w:pStyle w:val="FRABodyText"/>
            </w:pPr>
            <w:r w:rsidRPr="00650983">
              <w:t xml:space="preserve">In </w:t>
            </w:r>
            <w:r w:rsidRPr="00650983">
              <w:rPr>
                <w:b/>
                <w:bCs/>
              </w:rPr>
              <w:t>Finland</w:t>
            </w:r>
            <w:r w:rsidRPr="00650983">
              <w:t>, s</w:t>
            </w:r>
            <w:r w:rsidR="00BC2079" w:rsidRPr="00650983">
              <w:t xml:space="preserve">ections 58 </w:t>
            </w:r>
            <w:r w:rsidR="00107796" w:rsidRPr="00650983">
              <w:t xml:space="preserve">(advance voting) </w:t>
            </w:r>
            <w:r w:rsidR="00BC2079" w:rsidRPr="00650983">
              <w:t xml:space="preserve">and 73 </w:t>
            </w:r>
            <w:r w:rsidR="00107796" w:rsidRPr="00650983">
              <w:t xml:space="preserve">(election day) </w:t>
            </w:r>
            <w:r w:rsidR="00BC2079" w:rsidRPr="00650983">
              <w:t xml:space="preserve">of the Election Act </w:t>
            </w:r>
            <w:r w:rsidR="00020F24" w:rsidRPr="00650983">
              <w:t>(</w:t>
            </w:r>
            <w:proofErr w:type="spellStart"/>
            <w:r w:rsidR="00DE604A">
              <w:fldChar w:fldCharType="begin"/>
            </w:r>
            <w:r w:rsidR="00DE604A">
              <w:instrText>HYPERLINK "https://www.finlex.fi/fi/laki/ajantasa/1998/19980714"</w:instrText>
            </w:r>
            <w:r w:rsidR="00DE604A">
              <w:fldChar w:fldCharType="separate"/>
            </w:r>
            <w:r w:rsidR="003D7638" w:rsidRPr="00432F98">
              <w:rPr>
                <w:rStyle w:val="Hyperlink"/>
                <w:i/>
                <w:iCs/>
                <w:color w:val="auto"/>
              </w:rPr>
              <w:t>v</w:t>
            </w:r>
            <w:r w:rsidR="00020F24" w:rsidRPr="00432F98">
              <w:rPr>
                <w:rStyle w:val="Hyperlink"/>
                <w:i/>
                <w:iCs/>
                <w:color w:val="auto"/>
              </w:rPr>
              <w:t>aalilaki</w:t>
            </w:r>
            <w:proofErr w:type="spellEnd"/>
            <w:r w:rsidR="00DE604A">
              <w:rPr>
                <w:rStyle w:val="Hyperlink"/>
                <w:i/>
                <w:iCs/>
                <w:color w:val="auto"/>
              </w:rPr>
              <w:fldChar w:fldCharType="end"/>
            </w:r>
            <w:r w:rsidR="00020F24" w:rsidRPr="00650983">
              <w:t>/</w:t>
            </w:r>
            <w:proofErr w:type="spellStart"/>
            <w:r w:rsidR="00DE604A">
              <w:fldChar w:fldCharType="begin"/>
            </w:r>
            <w:r w:rsidR="00DE604A">
              <w:instrText>HYPERLINK "https://www.finlex.fi/sv/laki/ajantasa/1998/19980714"</w:instrText>
            </w:r>
            <w:r w:rsidR="00DE604A">
              <w:fldChar w:fldCharType="separate"/>
            </w:r>
            <w:r w:rsidR="003D7638" w:rsidRPr="00432F98">
              <w:rPr>
                <w:rStyle w:val="Hyperlink"/>
                <w:i/>
                <w:iCs/>
                <w:color w:val="auto"/>
              </w:rPr>
              <w:t>v</w:t>
            </w:r>
            <w:r w:rsidR="00020F24" w:rsidRPr="00432F98">
              <w:rPr>
                <w:rStyle w:val="Hyperlink"/>
                <w:i/>
                <w:iCs/>
                <w:color w:val="auto"/>
              </w:rPr>
              <w:t>allag</w:t>
            </w:r>
            <w:proofErr w:type="spellEnd"/>
            <w:r w:rsidR="00DE604A">
              <w:rPr>
                <w:rStyle w:val="Hyperlink"/>
                <w:i/>
                <w:iCs/>
                <w:color w:val="auto"/>
              </w:rPr>
              <w:fldChar w:fldCharType="end"/>
            </w:r>
            <w:r w:rsidR="00020F24" w:rsidRPr="00650983">
              <w:t xml:space="preserve">) (Act No. 714/1998) </w:t>
            </w:r>
            <w:r w:rsidR="004B354B" w:rsidRPr="00650983">
              <w:t>provide</w:t>
            </w:r>
            <w:r w:rsidR="00BC2079" w:rsidRPr="00650983">
              <w:t xml:space="preserve"> that a person whose ability to</w:t>
            </w:r>
            <w:r w:rsidR="008A0157" w:rsidRPr="00650983">
              <w:t xml:space="preserve"> </w:t>
            </w:r>
            <w:r w:rsidR="00BC2079" w:rsidRPr="00650983">
              <w:t xml:space="preserve">mark </w:t>
            </w:r>
            <w:r w:rsidR="008A0157" w:rsidRPr="00650983">
              <w:t>a</w:t>
            </w:r>
            <w:r w:rsidR="00BC2079" w:rsidRPr="00650983">
              <w:t xml:space="preserve"> ballot is essentially </w:t>
            </w:r>
            <w:r w:rsidR="008A0157" w:rsidRPr="00650983">
              <w:t>impaired</w:t>
            </w:r>
            <w:r w:rsidR="00BC2079" w:rsidRPr="00650983">
              <w:t xml:space="preserve"> may use the help of </w:t>
            </w:r>
            <w:r w:rsidR="00BC2079" w:rsidRPr="00650983">
              <w:lastRenderedPageBreak/>
              <w:t>an assistant</w:t>
            </w:r>
            <w:r w:rsidR="00107796" w:rsidRPr="00650983">
              <w:t xml:space="preserve"> of his/her choice</w:t>
            </w:r>
            <w:r w:rsidR="00BC2079" w:rsidRPr="00650983">
              <w:t>.</w:t>
            </w:r>
            <w:r w:rsidR="0022612E">
              <w:rPr>
                <w:rStyle w:val="FootnoteReference"/>
              </w:rPr>
              <w:footnoteReference w:id="16"/>
            </w:r>
            <w:r w:rsidR="00BC2079" w:rsidRPr="00650983">
              <w:t xml:space="preserve"> </w:t>
            </w:r>
            <w:r w:rsidR="00107796" w:rsidRPr="00650983">
              <w:t xml:space="preserve">A candidate or a candidate’s spouse, children, siblings or parents may not act as </w:t>
            </w:r>
            <w:r w:rsidR="00020F24" w:rsidRPr="00650983">
              <w:t xml:space="preserve">an </w:t>
            </w:r>
            <w:r w:rsidR="00107796" w:rsidRPr="00650983">
              <w:t>election assistant or as an assistant chosen by the voter. The assistant is obliged to conscientiously fulfil</w:t>
            </w:r>
            <w:r w:rsidR="0022177D" w:rsidRPr="00650983">
              <w:t xml:space="preserve"> the voter</w:t>
            </w:r>
            <w:r w:rsidR="007557ED" w:rsidRPr="00650983">
              <w:t>’</w:t>
            </w:r>
            <w:r w:rsidR="0022177D" w:rsidRPr="00650983">
              <w:t>s instructions</w:t>
            </w:r>
            <w:r w:rsidR="00107796" w:rsidRPr="00650983">
              <w:t xml:space="preserve"> and to keep secret the information received during the voting process.</w:t>
            </w:r>
            <w:r w:rsidR="0022177D" w:rsidRPr="00650983">
              <w:t xml:space="preserve"> </w:t>
            </w:r>
          </w:p>
          <w:p w14:paraId="27AFD226" w14:textId="77777777" w:rsidR="00B84DF8" w:rsidRPr="00650983" w:rsidRDefault="00B84DF8" w:rsidP="002B3544">
            <w:pPr>
              <w:pStyle w:val="FRABodyText"/>
            </w:pPr>
          </w:p>
          <w:p w14:paraId="584CAC2C" w14:textId="22A0B142" w:rsidR="00B84DF8" w:rsidRPr="00650983" w:rsidRDefault="00395A3D" w:rsidP="002B3544">
            <w:pPr>
              <w:pStyle w:val="FRABodyText"/>
              <w:rPr>
                <w:i/>
                <w:iCs/>
              </w:rPr>
            </w:pPr>
            <w:r w:rsidRPr="00650983">
              <w:t xml:space="preserve">The assistant can </w:t>
            </w:r>
            <w:r w:rsidR="0022177D" w:rsidRPr="00650983">
              <w:t>also be</w:t>
            </w:r>
            <w:r w:rsidRPr="00650983">
              <w:t xml:space="preserve"> an election official</w:t>
            </w:r>
            <w:r w:rsidR="0022177D" w:rsidRPr="00650983">
              <w:t>.</w:t>
            </w:r>
            <w:r w:rsidR="00B84DF8" w:rsidRPr="00650983">
              <w:t xml:space="preserve"> </w:t>
            </w:r>
            <w:r w:rsidRPr="00650983">
              <w:t>For election day voting, polling stations are required to have special election assistants</w:t>
            </w:r>
            <w:r w:rsidR="00CA5AA6">
              <w:t xml:space="preserve"> (Election Act, section 73)</w:t>
            </w:r>
            <w:r w:rsidRPr="00650983">
              <w:t xml:space="preserve">. In addition, voters may also be assisted by a member of the </w:t>
            </w:r>
            <w:r w:rsidR="00B84DF8" w:rsidRPr="00650983">
              <w:t>election committee</w:t>
            </w:r>
            <w:r w:rsidRPr="00650983">
              <w:t xml:space="preserve">, </w:t>
            </w:r>
            <w:r w:rsidR="00183688" w:rsidRPr="00650983">
              <w:t>provided</w:t>
            </w:r>
            <w:r w:rsidR="00B84DF8" w:rsidRPr="00650983">
              <w:t xml:space="preserve"> </w:t>
            </w:r>
            <w:r w:rsidRPr="00650983">
              <w:t xml:space="preserve">this does not </w:t>
            </w:r>
            <w:r w:rsidR="00726C2E" w:rsidRPr="00650983">
              <w:t xml:space="preserve">cause </w:t>
            </w:r>
            <w:r w:rsidRPr="00650983">
              <w:t>delay</w:t>
            </w:r>
            <w:r w:rsidR="00726C2E" w:rsidRPr="00650983">
              <w:t>s</w:t>
            </w:r>
            <w:r w:rsidRPr="00650983">
              <w:t xml:space="preserve"> </w:t>
            </w:r>
            <w:r w:rsidR="00726C2E" w:rsidRPr="00650983">
              <w:t xml:space="preserve">in </w:t>
            </w:r>
            <w:r w:rsidRPr="00650983">
              <w:t>the election process.</w:t>
            </w:r>
            <w:r w:rsidR="00496DE7" w:rsidRPr="00650983">
              <w:t xml:space="preserve"> </w:t>
            </w:r>
            <w:r w:rsidRPr="00650983">
              <w:t>In advance voting, voters are assisted by election officials and in institutional voting by members of the election committee.</w:t>
            </w:r>
            <w:r w:rsidR="00020F24" w:rsidRPr="00CA5AA6">
              <w:rPr>
                <w:rStyle w:val="FootnoteReference"/>
                <w:color w:val="4472C4" w:themeColor="accent1"/>
              </w:rPr>
              <w:footnoteReference w:id="17"/>
            </w:r>
            <w:r w:rsidR="00020F24" w:rsidRPr="00CA5AA6">
              <w:rPr>
                <w:color w:val="4472C4" w:themeColor="accent1"/>
              </w:rPr>
              <w:t xml:space="preserve"> </w:t>
            </w:r>
            <w:r w:rsidR="00496DE7" w:rsidRPr="00650983">
              <w:t xml:space="preserve"> </w:t>
            </w:r>
          </w:p>
          <w:p w14:paraId="18D53672" w14:textId="77777777" w:rsidR="00B84DF8" w:rsidRPr="00650983" w:rsidRDefault="00B84DF8" w:rsidP="002B3544">
            <w:pPr>
              <w:pStyle w:val="FRABodyText"/>
            </w:pPr>
          </w:p>
          <w:p w14:paraId="56BEEC60" w14:textId="61588E00" w:rsidR="00BC2079" w:rsidRPr="00650983" w:rsidRDefault="00BC2079" w:rsidP="002B3544">
            <w:pPr>
              <w:pStyle w:val="FRABodyText"/>
              <w:rPr>
                <w:i/>
                <w:iCs/>
              </w:rPr>
            </w:pPr>
            <w:r w:rsidRPr="00650983">
              <w:t xml:space="preserve">Furthermore, </w:t>
            </w:r>
            <w:r w:rsidR="00C100AE" w:rsidRPr="00650983">
              <w:t xml:space="preserve">section 190 of the Election Act </w:t>
            </w:r>
            <w:r w:rsidR="00B862A0">
              <w:t>(</w:t>
            </w:r>
            <w:proofErr w:type="spellStart"/>
            <w:r w:rsidR="00B862A0" w:rsidRPr="00AB78A2">
              <w:rPr>
                <w:i/>
                <w:iCs/>
              </w:rPr>
              <w:t>vaalilaki</w:t>
            </w:r>
            <w:proofErr w:type="spellEnd"/>
            <w:r w:rsidR="00B862A0">
              <w:t>/</w:t>
            </w:r>
            <w:proofErr w:type="spellStart"/>
            <w:r w:rsidR="00B862A0" w:rsidRPr="00AB78A2">
              <w:rPr>
                <w:i/>
                <w:iCs/>
              </w:rPr>
              <w:t>vallag</w:t>
            </w:r>
            <w:proofErr w:type="spellEnd"/>
            <w:r w:rsidR="00B862A0">
              <w:t xml:space="preserve">) </w:t>
            </w:r>
            <w:r w:rsidR="00B862A0" w:rsidRPr="00650983">
              <w:t>(Act No. 714/1998)</w:t>
            </w:r>
            <w:r w:rsidR="00B862A0">
              <w:t xml:space="preserve"> </w:t>
            </w:r>
            <w:r w:rsidR="00C100AE" w:rsidRPr="00650983">
              <w:t xml:space="preserve">provides that </w:t>
            </w:r>
            <w:r w:rsidRPr="00650983">
              <w:t>transportation costs of disabled voters to and from polling stations can be covered by the state</w:t>
            </w:r>
            <w:r w:rsidR="0061376C" w:rsidRPr="00650983">
              <w:t xml:space="preserve"> </w:t>
            </w:r>
            <w:r w:rsidR="00C100AE" w:rsidRPr="00650983">
              <w:t xml:space="preserve">in accordance with the </w:t>
            </w:r>
            <w:bookmarkStart w:id="16" w:name="_Hlk153458990"/>
            <w:r w:rsidR="00C100AE" w:rsidRPr="00650983">
              <w:t>Disability Services Act (</w:t>
            </w:r>
            <w:r w:rsidR="00C100AE" w:rsidRPr="00AB78A2">
              <w:rPr>
                <w:i/>
                <w:iCs/>
              </w:rPr>
              <w:t xml:space="preserve">Laki </w:t>
            </w:r>
            <w:proofErr w:type="spellStart"/>
            <w:r w:rsidR="00C100AE" w:rsidRPr="00AB78A2">
              <w:rPr>
                <w:i/>
                <w:iCs/>
              </w:rPr>
              <w:t>vammaisuuden</w:t>
            </w:r>
            <w:proofErr w:type="spellEnd"/>
            <w:r w:rsidR="00C100AE" w:rsidRPr="00AB78A2">
              <w:rPr>
                <w:i/>
                <w:iCs/>
              </w:rPr>
              <w:t xml:space="preserve"> </w:t>
            </w:r>
            <w:proofErr w:type="spellStart"/>
            <w:r w:rsidR="00C100AE" w:rsidRPr="00AB78A2">
              <w:rPr>
                <w:i/>
                <w:iCs/>
              </w:rPr>
              <w:t>perusteella</w:t>
            </w:r>
            <w:proofErr w:type="spellEnd"/>
            <w:r w:rsidR="00C100AE" w:rsidRPr="00AB78A2">
              <w:rPr>
                <w:i/>
                <w:iCs/>
              </w:rPr>
              <w:t xml:space="preserve"> </w:t>
            </w:r>
            <w:proofErr w:type="spellStart"/>
            <w:r w:rsidR="00C100AE" w:rsidRPr="00AB78A2">
              <w:rPr>
                <w:i/>
                <w:iCs/>
              </w:rPr>
              <w:t>järjestettävistä</w:t>
            </w:r>
            <w:proofErr w:type="spellEnd"/>
            <w:r w:rsidR="00C100AE" w:rsidRPr="00AB78A2">
              <w:rPr>
                <w:i/>
                <w:iCs/>
              </w:rPr>
              <w:t xml:space="preserve"> </w:t>
            </w:r>
            <w:proofErr w:type="spellStart"/>
            <w:r w:rsidR="00C100AE" w:rsidRPr="00AB78A2">
              <w:rPr>
                <w:i/>
                <w:iCs/>
              </w:rPr>
              <w:t>palveluista</w:t>
            </w:r>
            <w:proofErr w:type="spellEnd"/>
            <w:r w:rsidR="00C100AE" w:rsidRPr="00AB78A2">
              <w:rPr>
                <w:i/>
                <w:iCs/>
              </w:rPr>
              <w:t xml:space="preserve"> </w:t>
            </w:r>
            <w:proofErr w:type="spellStart"/>
            <w:r w:rsidR="00C100AE" w:rsidRPr="00AB78A2">
              <w:rPr>
                <w:i/>
                <w:iCs/>
              </w:rPr>
              <w:t>ja</w:t>
            </w:r>
            <w:proofErr w:type="spellEnd"/>
            <w:r w:rsidR="00C100AE" w:rsidRPr="00AB78A2">
              <w:rPr>
                <w:i/>
                <w:iCs/>
              </w:rPr>
              <w:t xml:space="preserve"> </w:t>
            </w:r>
            <w:proofErr w:type="spellStart"/>
            <w:r w:rsidR="00C100AE" w:rsidRPr="00AB78A2">
              <w:rPr>
                <w:i/>
                <w:iCs/>
              </w:rPr>
              <w:t>tukitoimista</w:t>
            </w:r>
            <w:proofErr w:type="spellEnd"/>
            <w:r w:rsidR="00C100AE" w:rsidRPr="00650983">
              <w:t>/</w:t>
            </w:r>
            <w:r w:rsidR="00C100AE" w:rsidRPr="00AB78A2">
              <w:rPr>
                <w:i/>
                <w:iCs/>
              </w:rPr>
              <w:t xml:space="preserve">Lag om service </w:t>
            </w:r>
            <w:proofErr w:type="spellStart"/>
            <w:r w:rsidR="00C100AE" w:rsidRPr="00AB78A2">
              <w:rPr>
                <w:i/>
                <w:iCs/>
              </w:rPr>
              <w:t>och</w:t>
            </w:r>
            <w:proofErr w:type="spellEnd"/>
            <w:r w:rsidR="00C100AE" w:rsidRPr="00AB78A2">
              <w:rPr>
                <w:i/>
                <w:iCs/>
              </w:rPr>
              <w:t xml:space="preserve"> </w:t>
            </w:r>
            <w:proofErr w:type="spellStart"/>
            <w:r w:rsidR="00C100AE" w:rsidRPr="00AB78A2">
              <w:rPr>
                <w:i/>
                <w:iCs/>
              </w:rPr>
              <w:t>stöd</w:t>
            </w:r>
            <w:proofErr w:type="spellEnd"/>
            <w:r w:rsidR="00C100AE" w:rsidRPr="00AB78A2">
              <w:rPr>
                <w:i/>
                <w:iCs/>
              </w:rPr>
              <w:t xml:space="preserve"> </w:t>
            </w:r>
            <w:proofErr w:type="spellStart"/>
            <w:r w:rsidR="00C100AE" w:rsidRPr="00AB78A2">
              <w:rPr>
                <w:i/>
                <w:iCs/>
              </w:rPr>
              <w:t>på</w:t>
            </w:r>
            <w:proofErr w:type="spellEnd"/>
            <w:r w:rsidR="00C100AE" w:rsidRPr="00AB78A2">
              <w:rPr>
                <w:i/>
                <w:iCs/>
              </w:rPr>
              <w:t xml:space="preserve"> </w:t>
            </w:r>
            <w:proofErr w:type="spellStart"/>
            <w:r w:rsidR="00C100AE" w:rsidRPr="00AB78A2">
              <w:rPr>
                <w:i/>
                <w:iCs/>
              </w:rPr>
              <w:t>grund</w:t>
            </w:r>
            <w:proofErr w:type="spellEnd"/>
            <w:r w:rsidR="00C100AE" w:rsidRPr="00AB78A2">
              <w:rPr>
                <w:i/>
                <w:iCs/>
              </w:rPr>
              <w:t xml:space="preserve"> </w:t>
            </w:r>
            <w:proofErr w:type="spellStart"/>
            <w:r w:rsidR="00C100AE" w:rsidRPr="00AB78A2">
              <w:rPr>
                <w:i/>
                <w:iCs/>
              </w:rPr>
              <w:t>av</w:t>
            </w:r>
            <w:proofErr w:type="spellEnd"/>
            <w:r w:rsidR="00C100AE" w:rsidRPr="00AB78A2">
              <w:rPr>
                <w:i/>
                <w:iCs/>
              </w:rPr>
              <w:t xml:space="preserve"> </w:t>
            </w:r>
            <w:proofErr w:type="spellStart"/>
            <w:r w:rsidR="00C100AE" w:rsidRPr="00AB78A2">
              <w:rPr>
                <w:i/>
                <w:iCs/>
              </w:rPr>
              <w:t>handikapp</w:t>
            </w:r>
            <w:proofErr w:type="spellEnd"/>
            <w:r w:rsidR="00020F24" w:rsidRPr="00650983">
              <w:t>) (</w:t>
            </w:r>
            <w:r w:rsidR="00C100AE" w:rsidRPr="00650983">
              <w:t xml:space="preserve">Act No. </w:t>
            </w:r>
            <w:r w:rsidR="0061376C" w:rsidRPr="00650983">
              <w:t>380/1987)</w:t>
            </w:r>
            <w:bookmarkEnd w:id="16"/>
            <w:r w:rsidR="00CA5AA6">
              <w:t>.</w:t>
            </w:r>
            <w:r w:rsidR="00B862A0">
              <w:rPr>
                <w:rStyle w:val="FootnoteReference"/>
              </w:rPr>
              <w:footnoteReference w:id="18"/>
            </w:r>
          </w:p>
          <w:p w14:paraId="1021907B" w14:textId="6BA286D2" w:rsidR="004B354B" w:rsidRPr="00650983" w:rsidRDefault="004B354B" w:rsidP="002B3544">
            <w:pPr>
              <w:pStyle w:val="FRABodyText"/>
            </w:pPr>
          </w:p>
        </w:tc>
      </w:tr>
      <w:tr w:rsidR="00CC2CCC" w:rsidRPr="006E5B7F" w14:paraId="21C50DE3"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46933F6" w14:textId="77777777" w:rsidR="00566A68" w:rsidRPr="00650983" w:rsidRDefault="00566A68" w:rsidP="002B3544">
            <w:pPr>
              <w:pStyle w:val="FRABodyText"/>
              <w:rPr>
                <w:i/>
                <w:iCs/>
              </w:rPr>
            </w:pPr>
            <w:r w:rsidRPr="00650983">
              <w:lastRenderedPageBreak/>
              <w:t>Are all persons with disabilities legally able to access complaints mechanisms if they have not been able to exercise the right to political participation?</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2FB6878" w14:textId="5ED3EE68" w:rsidR="00566A68" w:rsidRPr="00650983" w:rsidRDefault="00566A68" w:rsidP="002B3544">
            <w:pPr>
              <w:pStyle w:val="FRABodyText"/>
              <w:rPr>
                <w:i/>
                <w:iCs/>
              </w:rPr>
            </w:pPr>
            <w:r w:rsidRPr="00017BC0">
              <w:t>Yes, all persons with disabilities</w:t>
            </w:r>
            <w:r w:rsidRPr="00650983">
              <w:t xml:space="preserve"> </w:t>
            </w:r>
          </w:p>
          <w:p w14:paraId="01E38011" w14:textId="036DFBE1" w:rsidR="00566A68" w:rsidRPr="00AB78A2" w:rsidRDefault="00566A68" w:rsidP="002B3544">
            <w:pPr>
              <w:pStyle w:val="FRABodyText"/>
              <w:rPr>
                <w:i/>
                <w:iCs/>
              </w:rPr>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8DA92F6" w14:textId="77777777" w:rsidR="00EC4D4E" w:rsidRPr="00650983" w:rsidRDefault="005340E5" w:rsidP="002B3544">
            <w:pPr>
              <w:pStyle w:val="FRABodyText"/>
              <w:rPr>
                <w:i/>
                <w:iCs/>
              </w:rPr>
            </w:pPr>
            <w:r w:rsidRPr="00650983">
              <w:t xml:space="preserve">In </w:t>
            </w:r>
            <w:r w:rsidRPr="00650983">
              <w:rPr>
                <w:b/>
                <w:bCs/>
              </w:rPr>
              <w:t>Finland</w:t>
            </w:r>
            <w:r w:rsidRPr="00650983">
              <w:t>, all persons with disabilities</w:t>
            </w:r>
            <w:r w:rsidR="00774B4F" w:rsidRPr="00650983">
              <w:t>, including those who have been deprived of their legal capacity,</w:t>
            </w:r>
            <w:r w:rsidRPr="00650983">
              <w:t xml:space="preserve"> are legally able to access complaint mechanisms</w:t>
            </w:r>
            <w:r w:rsidR="00775B70" w:rsidRPr="00650983">
              <w:t>, although the right to speak before the courts is subject to certain limitations</w:t>
            </w:r>
            <w:r w:rsidRPr="00650983">
              <w:t xml:space="preserve">. </w:t>
            </w:r>
          </w:p>
          <w:p w14:paraId="0764FD95" w14:textId="77777777" w:rsidR="00657843" w:rsidRDefault="00657843" w:rsidP="002B3544">
            <w:pPr>
              <w:pStyle w:val="FRABodyText"/>
            </w:pPr>
          </w:p>
          <w:p w14:paraId="31986B2C" w14:textId="14466FBA" w:rsidR="00880A22" w:rsidRPr="00650983" w:rsidRDefault="00E40D29" w:rsidP="002B3544">
            <w:pPr>
              <w:pStyle w:val="FRABodyText"/>
            </w:pPr>
            <w:r w:rsidRPr="00650983">
              <w:t xml:space="preserve">The Election </w:t>
            </w:r>
            <w:r w:rsidR="005B2AC8" w:rsidRPr="00650983">
              <w:t>Act</w:t>
            </w:r>
            <w:r w:rsidRPr="00650983">
              <w:t xml:space="preserve"> </w:t>
            </w:r>
            <w:r w:rsidR="005B2AC8" w:rsidRPr="00650983">
              <w:t>(</w:t>
            </w:r>
            <w:proofErr w:type="spellStart"/>
            <w:r w:rsidR="00DE604A">
              <w:fldChar w:fldCharType="begin"/>
            </w:r>
            <w:r w:rsidR="00DE604A">
              <w:instrText>HYPERLINK "https://www.finlex.fi/fi/laki/ajantasa/1998/19980714"</w:instrText>
            </w:r>
            <w:r w:rsidR="00DE604A">
              <w:fldChar w:fldCharType="separate"/>
            </w:r>
            <w:r w:rsidR="004855B0" w:rsidRPr="00AB78A2">
              <w:rPr>
                <w:rStyle w:val="Hyperlink"/>
                <w:i/>
                <w:iCs/>
                <w:color w:val="auto"/>
                <w:u w:val="none"/>
              </w:rPr>
              <w:t>v</w:t>
            </w:r>
            <w:r w:rsidR="005B2AC8" w:rsidRPr="00AB78A2">
              <w:rPr>
                <w:rStyle w:val="Hyperlink"/>
                <w:i/>
                <w:iCs/>
                <w:color w:val="auto"/>
                <w:u w:val="none"/>
              </w:rPr>
              <w:t>aalilaki</w:t>
            </w:r>
            <w:proofErr w:type="spellEnd"/>
            <w:r w:rsidR="00DE604A">
              <w:rPr>
                <w:rStyle w:val="Hyperlink"/>
                <w:i/>
                <w:iCs/>
                <w:color w:val="auto"/>
                <w:u w:val="none"/>
              </w:rPr>
              <w:fldChar w:fldCharType="end"/>
            </w:r>
            <w:r w:rsidR="005B2AC8" w:rsidRPr="00650983">
              <w:t>/</w:t>
            </w:r>
            <w:proofErr w:type="spellStart"/>
            <w:r w:rsidR="00DE604A">
              <w:fldChar w:fldCharType="begin"/>
            </w:r>
            <w:r w:rsidR="00DE604A">
              <w:instrText>HYPERLINK "https://www.finlex.fi/sv/laki/ajantasa/1998/19980714"</w:instrText>
            </w:r>
            <w:r w:rsidR="00DE604A">
              <w:fldChar w:fldCharType="separate"/>
            </w:r>
            <w:r w:rsidR="004855B0" w:rsidRPr="00AB78A2">
              <w:rPr>
                <w:rStyle w:val="Hyperlink"/>
                <w:i/>
                <w:iCs/>
                <w:color w:val="auto"/>
                <w:u w:val="none"/>
              </w:rPr>
              <w:t>v</w:t>
            </w:r>
            <w:r w:rsidR="005B2AC8" w:rsidRPr="00AB78A2">
              <w:rPr>
                <w:rStyle w:val="Hyperlink"/>
                <w:i/>
                <w:iCs/>
                <w:color w:val="auto"/>
                <w:u w:val="none"/>
              </w:rPr>
              <w:t>allag</w:t>
            </w:r>
            <w:proofErr w:type="spellEnd"/>
            <w:r w:rsidR="00DE604A">
              <w:rPr>
                <w:rStyle w:val="Hyperlink"/>
                <w:i/>
                <w:iCs/>
                <w:color w:val="auto"/>
                <w:u w:val="none"/>
              </w:rPr>
              <w:fldChar w:fldCharType="end"/>
            </w:r>
            <w:r w:rsidR="005B2AC8" w:rsidRPr="00650983">
              <w:t xml:space="preserve">) (Act No. 714/1998) </w:t>
            </w:r>
            <w:r w:rsidRPr="00650983">
              <w:t xml:space="preserve">provides recourse mechanisms pertaining to voter registration </w:t>
            </w:r>
            <w:r w:rsidR="0014473A" w:rsidRPr="00650983">
              <w:t>(</w:t>
            </w:r>
            <w:r w:rsidRPr="00650983">
              <w:t xml:space="preserve">as well as </w:t>
            </w:r>
            <w:r w:rsidR="00880A22" w:rsidRPr="00650983">
              <w:t xml:space="preserve">to </w:t>
            </w:r>
            <w:r w:rsidRPr="00650983">
              <w:t xml:space="preserve">election results and </w:t>
            </w:r>
            <w:r w:rsidR="00880A22" w:rsidRPr="00650983">
              <w:t>decisions regarding delimitation of voting districts</w:t>
            </w:r>
            <w:r w:rsidR="0014473A" w:rsidRPr="00650983">
              <w:t>)</w:t>
            </w:r>
            <w:r w:rsidR="00880A22" w:rsidRPr="00650983">
              <w:t>.</w:t>
            </w:r>
            <w:r w:rsidR="00AB78A2">
              <w:rPr>
                <w:rStyle w:val="FootnoteReference"/>
              </w:rPr>
              <w:footnoteReference w:id="19"/>
            </w:r>
            <w:r w:rsidR="00880A22" w:rsidRPr="00650983">
              <w:t xml:space="preserve"> </w:t>
            </w:r>
            <w:r w:rsidR="00EC4D4E" w:rsidRPr="00650983">
              <w:t>According to section 24 of the Election Act</w:t>
            </w:r>
            <w:r w:rsidR="00EC4D4E" w:rsidRPr="00650983">
              <w:rPr>
                <w:rFonts w:eastAsia="Times New Roman"/>
                <w:shd w:val="clear" w:color="auto" w:fill="FFFFFF"/>
                <w:lang w:eastAsia="en-GB" w:bidi="ar-SA"/>
              </w:rPr>
              <w:t xml:space="preserve"> </w:t>
            </w:r>
            <w:r w:rsidR="00EC4D4E" w:rsidRPr="00650983">
              <w:t>anyone who considers that they have been wrongfully excluded from the voting register or that the entry concerning them in it is incorrect</w:t>
            </w:r>
            <w:r w:rsidR="00657843">
              <w:t xml:space="preserve">, </w:t>
            </w:r>
            <w:r w:rsidR="00EC4D4E" w:rsidRPr="00650983">
              <w:t>may submit a written request for rectification to the Digital and Population Data Services Agency</w:t>
            </w:r>
            <w:r w:rsidR="0014473A" w:rsidRPr="00650983">
              <w:t xml:space="preserve"> (</w:t>
            </w:r>
            <w:r w:rsidR="0014473A" w:rsidRPr="00D042F2">
              <w:rPr>
                <w:i/>
                <w:iCs/>
              </w:rPr>
              <w:t xml:space="preserve">The Finnish Digital Agency, Digi- </w:t>
            </w:r>
            <w:proofErr w:type="spellStart"/>
            <w:r w:rsidR="0014473A" w:rsidRPr="00D042F2">
              <w:rPr>
                <w:i/>
                <w:iCs/>
              </w:rPr>
              <w:t>ja</w:t>
            </w:r>
            <w:proofErr w:type="spellEnd"/>
            <w:r w:rsidR="0014473A" w:rsidRPr="00D042F2">
              <w:rPr>
                <w:i/>
                <w:iCs/>
              </w:rPr>
              <w:t xml:space="preserve"> </w:t>
            </w:r>
            <w:proofErr w:type="spellStart"/>
            <w:r w:rsidR="0014473A" w:rsidRPr="00D042F2">
              <w:rPr>
                <w:i/>
                <w:iCs/>
              </w:rPr>
              <w:t>väestötieto</w:t>
            </w:r>
            <w:r w:rsidR="0014473A" w:rsidRPr="00D042F2">
              <w:rPr>
                <w:i/>
                <w:iCs/>
              </w:rPr>
              <w:softHyphen/>
              <w:t>virasto</w:t>
            </w:r>
            <w:proofErr w:type="spellEnd"/>
            <w:r w:rsidR="0014473A" w:rsidRPr="00D042F2">
              <w:rPr>
                <w:i/>
                <w:iCs/>
              </w:rPr>
              <w:t>/</w:t>
            </w:r>
            <w:proofErr w:type="spellStart"/>
            <w:r w:rsidR="0014473A" w:rsidRPr="00D042F2">
              <w:rPr>
                <w:i/>
                <w:iCs/>
              </w:rPr>
              <w:t>Myndig</w:t>
            </w:r>
            <w:r w:rsidR="0014473A" w:rsidRPr="00D042F2">
              <w:rPr>
                <w:i/>
                <w:iCs/>
              </w:rPr>
              <w:softHyphen/>
              <w:t>heten</w:t>
            </w:r>
            <w:proofErr w:type="spellEnd"/>
            <w:r w:rsidR="0014473A" w:rsidRPr="00D042F2">
              <w:rPr>
                <w:i/>
                <w:iCs/>
              </w:rPr>
              <w:t xml:space="preserve"> för </w:t>
            </w:r>
            <w:proofErr w:type="spellStart"/>
            <w:r w:rsidR="0014473A" w:rsidRPr="00D042F2">
              <w:rPr>
                <w:i/>
                <w:iCs/>
              </w:rPr>
              <w:t>digitalisering</w:t>
            </w:r>
            <w:proofErr w:type="spellEnd"/>
            <w:r w:rsidR="0014473A" w:rsidRPr="00D042F2">
              <w:rPr>
                <w:i/>
                <w:iCs/>
              </w:rPr>
              <w:t xml:space="preserve"> </w:t>
            </w:r>
            <w:proofErr w:type="spellStart"/>
            <w:r w:rsidR="0014473A" w:rsidRPr="00D042F2">
              <w:rPr>
                <w:i/>
                <w:iCs/>
              </w:rPr>
              <w:t>och</w:t>
            </w:r>
            <w:proofErr w:type="spellEnd"/>
            <w:r w:rsidR="0014473A" w:rsidRPr="00D042F2">
              <w:rPr>
                <w:i/>
                <w:iCs/>
              </w:rPr>
              <w:t xml:space="preserve"> </w:t>
            </w:r>
            <w:proofErr w:type="spellStart"/>
            <w:r w:rsidR="0014473A" w:rsidRPr="00D042F2">
              <w:rPr>
                <w:i/>
                <w:iCs/>
              </w:rPr>
              <w:t>befolkningsdata</w:t>
            </w:r>
            <w:proofErr w:type="spellEnd"/>
            <w:r w:rsidR="0014473A" w:rsidRPr="00650983">
              <w:t>)</w:t>
            </w:r>
            <w:r w:rsidR="00EC4D4E" w:rsidRPr="00650983">
              <w:t xml:space="preserve">. </w:t>
            </w:r>
            <w:r w:rsidR="00880A22" w:rsidRPr="00650983">
              <w:t>A decision not to enter in the voting register may be appealed to the Administrative Court</w:t>
            </w:r>
            <w:r w:rsidR="00E13A2C">
              <w:t xml:space="preserve"> (</w:t>
            </w:r>
            <w:proofErr w:type="spellStart"/>
            <w:r w:rsidR="00E13A2C" w:rsidRPr="00D042F2">
              <w:rPr>
                <w:i/>
                <w:iCs/>
              </w:rPr>
              <w:t>hallinto-oikeus</w:t>
            </w:r>
            <w:proofErr w:type="spellEnd"/>
            <w:r w:rsidR="00E13A2C" w:rsidRPr="00D042F2">
              <w:rPr>
                <w:i/>
                <w:iCs/>
              </w:rPr>
              <w:t>/</w:t>
            </w:r>
            <w:proofErr w:type="spellStart"/>
            <w:r w:rsidR="00E13A2C" w:rsidRPr="00D042F2">
              <w:rPr>
                <w:i/>
                <w:iCs/>
              </w:rPr>
              <w:t>förvalt</w:t>
            </w:r>
            <w:r w:rsidR="00E2278D" w:rsidRPr="00D042F2">
              <w:rPr>
                <w:i/>
                <w:iCs/>
              </w:rPr>
              <w:t>nings</w:t>
            </w:r>
            <w:r w:rsidR="00E2278D" w:rsidRPr="00D042F2">
              <w:rPr>
                <w:i/>
                <w:iCs/>
              </w:rPr>
              <w:softHyphen/>
              <w:t>domstol</w:t>
            </w:r>
            <w:proofErr w:type="spellEnd"/>
            <w:r w:rsidR="00E2278D" w:rsidRPr="00D042F2">
              <w:rPr>
                <w:i/>
                <w:iCs/>
              </w:rPr>
              <w:t>)</w:t>
            </w:r>
            <w:r w:rsidR="00880A22" w:rsidRPr="00650983">
              <w:t>, and further to the Supreme Administrative Court</w:t>
            </w:r>
            <w:r w:rsidR="00E2278D">
              <w:t xml:space="preserve"> (</w:t>
            </w:r>
            <w:proofErr w:type="spellStart"/>
            <w:r w:rsidR="00E2278D" w:rsidRPr="00AB78A2">
              <w:t>korkein</w:t>
            </w:r>
            <w:proofErr w:type="spellEnd"/>
            <w:r w:rsidR="00E2278D" w:rsidRPr="00AB78A2">
              <w:t xml:space="preserve"> </w:t>
            </w:r>
            <w:proofErr w:type="spellStart"/>
            <w:r w:rsidR="00E2278D" w:rsidRPr="00AB78A2">
              <w:t>hallinto-oikeus</w:t>
            </w:r>
            <w:proofErr w:type="spellEnd"/>
            <w:r w:rsidR="00E2278D">
              <w:t>/</w:t>
            </w:r>
            <w:proofErr w:type="spellStart"/>
            <w:r w:rsidR="00E2278D" w:rsidRPr="00AB78A2">
              <w:t>högsta</w:t>
            </w:r>
            <w:proofErr w:type="spellEnd"/>
            <w:r w:rsidR="00E2278D" w:rsidRPr="00AB78A2">
              <w:t xml:space="preserve"> </w:t>
            </w:r>
            <w:proofErr w:type="spellStart"/>
            <w:r w:rsidR="00E2278D" w:rsidRPr="00AB78A2">
              <w:t>förvaltningsdomstolen</w:t>
            </w:r>
            <w:proofErr w:type="spellEnd"/>
            <w:r w:rsidR="00E2278D">
              <w:t>)</w:t>
            </w:r>
            <w:r w:rsidR="00880A22" w:rsidRPr="00650983">
              <w:t xml:space="preserve">. According to </w:t>
            </w:r>
            <w:r w:rsidR="00F16EAE" w:rsidRPr="00650983">
              <w:t xml:space="preserve">section 27 of </w:t>
            </w:r>
            <w:r w:rsidR="00880A22" w:rsidRPr="00650983">
              <w:t xml:space="preserve">the </w:t>
            </w:r>
            <w:bookmarkStart w:id="17" w:name="_Hlk153460740"/>
            <w:r w:rsidR="00880A22" w:rsidRPr="00650983">
              <w:t xml:space="preserve">Administrative Judicial Procedure Act </w:t>
            </w:r>
            <w:r w:rsidR="00775B70" w:rsidRPr="00650983">
              <w:t>(</w:t>
            </w:r>
            <w:proofErr w:type="spellStart"/>
            <w:r w:rsidR="00775B70" w:rsidRPr="00D042F2">
              <w:rPr>
                <w:i/>
                <w:iCs/>
              </w:rPr>
              <w:t>laki</w:t>
            </w:r>
            <w:proofErr w:type="spellEnd"/>
            <w:r w:rsidR="00775B70" w:rsidRPr="00D042F2">
              <w:rPr>
                <w:i/>
                <w:iCs/>
              </w:rPr>
              <w:t xml:space="preserve"> </w:t>
            </w:r>
            <w:proofErr w:type="spellStart"/>
            <w:r w:rsidR="00775B70" w:rsidRPr="00D042F2">
              <w:rPr>
                <w:i/>
                <w:iCs/>
              </w:rPr>
              <w:t>oikeudenkäynnistä</w:t>
            </w:r>
            <w:proofErr w:type="spellEnd"/>
            <w:r w:rsidR="00775B70" w:rsidRPr="00D042F2">
              <w:rPr>
                <w:i/>
                <w:iCs/>
              </w:rPr>
              <w:t xml:space="preserve"> </w:t>
            </w:r>
            <w:proofErr w:type="spellStart"/>
            <w:r w:rsidR="00775B70" w:rsidRPr="00D042F2">
              <w:rPr>
                <w:i/>
                <w:iCs/>
              </w:rPr>
              <w:t>hallintoasioissa</w:t>
            </w:r>
            <w:proofErr w:type="spellEnd"/>
            <w:r w:rsidR="00775B70" w:rsidRPr="00D042F2">
              <w:rPr>
                <w:i/>
                <w:iCs/>
              </w:rPr>
              <w:t xml:space="preserve">/lag om </w:t>
            </w:r>
            <w:proofErr w:type="spellStart"/>
            <w:r w:rsidR="00775B70" w:rsidRPr="00D042F2">
              <w:rPr>
                <w:i/>
                <w:iCs/>
              </w:rPr>
              <w:t>rättegång</w:t>
            </w:r>
            <w:proofErr w:type="spellEnd"/>
            <w:r w:rsidR="00775B70" w:rsidRPr="00D042F2">
              <w:rPr>
                <w:i/>
                <w:iCs/>
              </w:rPr>
              <w:t xml:space="preserve"> </w:t>
            </w:r>
            <w:proofErr w:type="spellStart"/>
            <w:r w:rsidR="00775B70" w:rsidRPr="00D042F2">
              <w:rPr>
                <w:i/>
                <w:iCs/>
              </w:rPr>
              <w:t>i</w:t>
            </w:r>
            <w:proofErr w:type="spellEnd"/>
            <w:r w:rsidR="00775B70" w:rsidRPr="00D042F2">
              <w:rPr>
                <w:i/>
                <w:iCs/>
              </w:rPr>
              <w:t xml:space="preserve"> </w:t>
            </w:r>
            <w:proofErr w:type="spellStart"/>
            <w:r w:rsidR="00775B70" w:rsidRPr="00D042F2">
              <w:rPr>
                <w:i/>
                <w:iCs/>
              </w:rPr>
              <w:t>förvaltningsären</w:t>
            </w:r>
            <w:r w:rsidR="00775B70" w:rsidRPr="00D042F2">
              <w:rPr>
                <w:i/>
                <w:iCs/>
              </w:rPr>
              <w:softHyphen/>
              <w:t>den</w:t>
            </w:r>
            <w:proofErr w:type="spellEnd"/>
            <w:r w:rsidR="00775B70" w:rsidRPr="00650983">
              <w:t>) (Act No. 808/2019)</w:t>
            </w:r>
            <w:bookmarkEnd w:id="17"/>
            <w:r w:rsidR="00775B70" w:rsidRPr="00650983">
              <w:t xml:space="preserve"> </w:t>
            </w:r>
            <w:r w:rsidR="00880A22" w:rsidRPr="00650983">
              <w:t xml:space="preserve">the right of an incompetent person to speak in an administrative court in a matter concerning him or her depends on his or </w:t>
            </w:r>
            <w:r w:rsidR="00880A22" w:rsidRPr="00650983">
              <w:lastRenderedPageBreak/>
              <w:t>her ability to understand the significance of the matter.</w:t>
            </w:r>
            <w:r w:rsidR="00E13A2C">
              <w:rPr>
                <w:rStyle w:val="FootnoteReference"/>
              </w:rPr>
              <w:footnoteReference w:id="20"/>
            </w:r>
            <w:r w:rsidR="00880A22" w:rsidRPr="00650983">
              <w:t xml:space="preserve"> If a representative has the right to speak, the incompetent person must be heard if this is necessary for the incompetent person</w:t>
            </w:r>
            <w:r w:rsidR="00725C22">
              <w:t>’</w:t>
            </w:r>
            <w:r w:rsidR="00880A22" w:rsidRPr="00650983">
              <w:t xml:space="preserve">s interest or </w:t>
            </w:r>
            <w:r w:rsidR="00775B70" w:rsidRPr="00650983">
              <w:t>to</w:t>
            </w:r>
            <w:r w:rsidR="00880A22" w:rsidRPr="00650983">
              <w:t xml:space="preserve"> clarify the matter.</w:t>
            </w:r>
            <w:r w:rsidR="0014473A" w:rsidRPr="00650983">
              <w:t xml:space="preserve"> </w:t>
            </w:r>
          </w:p>
          <w:p w14:paraId="52A0D4D7" w14:textId="3F5454F2" w:rsidR="00880A22" w:rsidRPr="00650983" w:rsidRDefault="00880A22" w:rsidP="002B3544">
            <w:pPr>
              <w:pStyle w:val="FRABodyText"/>
            </w:pPr>
          </w:p>
          <w:p w14:paraId="288B3BD7" w14:textId="6CA8488C" w:rsidR="005340E5" w:rsidRPr="00650983" w:rsidRDefault="0014473A" w:rsidP="002B3544">
            <w:pPr>
              <w:pStyle w:val="FRABodyText"/>
              <w:rPr>
                <w:i/>
                <w:iCs/>
              </w:rPr>
            </w:pPr>
            <w:r w:rsidRPr="00650983">
              <w:t>T</w:t>
            </w:r>
            <w:r w:rsidR="00EC4D4E" w:rsidRPr="00650983">
              <w:t>he</w:t>
            </w:r>
            <w:r w:rsidR="005340E5" w:rsidRPr="00650983">
              <w:t xml:space="preserve"> </w:t>
            </w:r>
            <w:r w:rsidR="00880A22" w:rsidRPr="00650983">
              <w:t>principal</w:t>
            </w:r>
            <w:r w:rsidR="00C737E6" w:rsidRPr="00650983">
              <w:t xml:space="preserve"> mech</w:t>
            </w:r>
            <w:r w:rsidR="005340E5" w:rsidRPr="00650983">
              <w:t>anism</w:t>
            </w:r>
            <w:r w:rsidR="00657843">
              <w:t xml:space="preserve"> </w:t>
            </w:r>
            <w:r w:rsidR="00272EB9" w:rsidRPr="00650983">
              <w:t>for a voter with disability</w:t>
            </w:r>
            <w:r w:rsidR="00C737E6" w:rsidRPr="00650983">
              <w:t xml:space="preserve"> to complain</w:t>
            </w:r>
            <w:r w:rsidR="005340E5" w:rsidRPr="00650983">
              <w:t xml:space="preserve"> </w:t>
            </w:r>
            <w:r w:rsidR="00C737E6" w:rsidRPr="00650983">
              <w:t xml:space="preserve">about the conduct of election authorities or election officials </w:t>
            </w:r>
            <w:r w:rsidR="005340E5" w:rsidRPr="00650983">
              <w:t xml:space="preserve">is </w:t>
            </w:r>
            <w:r w:rsidR="00AD2AB6" w:rsidRPr="00650983">
              <w:t>lodging</w:t>
            </w:r>
            <w:r w:rsidR="00C737E6" w:rsidRPr="00650983">
              <w:t xml:space="preserve"> a complaint with the Parliamentary Ombudsman</w:t>
            </w:r>
            <w:r w:rsidR="00725C22">
              <w:t xml:space="preserve"> (</w:t>
            </w:r>
            <w:proofErr w:type="spellStart"/>
            <w:r w:rsidR="00725C22" w:rsidRPr="00EB5754">
              <w:rPr>
                <w:i/>
                <w:iCs/>
              </w:rPr>
              <w:t>oikeusasiamies</w:t>
            </w:r>
            <w:proofErr w:type="spellEnd"/>
            <w:r w:rsidR="00725C22" w:rsidRPr="00EB5754">
              <w:rPr>
                <w:i/>
                <w:iCs/>
              </w:rPr>
              <w:t>/</w:t>
            </w:r>
            <w:proofErr w:type="spellStart"/>
            <w:r w:rsidR="00725C22" w:rsidRPr="00EB5754">
              <w:rPr>
                <w:i/>
                <w:iCs/>
              </w:rPr>
              <w:t>justitieombudsman</w:t>
            </w:r>
            <w:r w:rsidR="003F6529" w:rsidRPr="00EB5754">
              <w:rPr>
                <w:i/>
                <w:iCs/>
              </w:rPr>
              <w:softHyphen/>
            </w:r>
            <w:r w:rsidR="00725C22" w:rsidRPr="00EB5754">
              <w:rPr>
                <w:i/>
                <w:iCs/>
              </w:rPr>
              <w:t>nen</w:t>
            </w:r>
            <w:proofErr w:type="spellEnd"/>
            <w:r w:rsidR="00725C22">
              <w:t>)</w:t>
            </w:r>
            <w:r w:rsidR="00C737E6" w:rsidRPr="00650983">
              <w:t xml:space="preserve">, in accordance with </w:t>
            </w:r>
            <w:r w:rsidR="00343539" w:rsidRPr="00650983">
              <w:t xml:space="preserve">section 2 of the </w:t>
            </w:r>
            <w:proofErr w:type="spellStart"/>
            <w:r w:rsidR="00AD2AB6" w:rsidRPr="00650983">
              <w:t>the</w:t>
            </w:r>
            <w:proofErr w:type="spellEnd"/>
            <w:r w:rsidR="00AD2AB6" w:rsidRPr="00650983">
              <w:t xml:space="preserve"> </w:t>
            </w:r>
            <w:r w:rsidR="00AD2AB6" w:rsidRPr="00E2278D">
              <w:t>Parliament</w:t>
            </w:r>
            <w:r w:rsidR="00343539" w:rsidRPr="00E2278D">
              <w:softHyphen/>
            </w:r>
            <w:r w:rsidR="00AD2AB6" w:rsidRPr="00E2278D">
              <w:t xml:space="preserve">ary Ombudsman Act </w:t>
            </w:r>
            <w:r w:rsidR="00AD2AB6" w:rsidRPr="00650983">
              <w:t>(</w:t>
            </w:r>
            <w:proofErr w:type="spellStart"/>
            <w:r w:rsidR="00343539" w:rsidRPr="00EB5754">
              <w:rPr>
                <w:i/>
                <w:iCs/>
              </w:rPr>
              <w:t>l</w:t>
            </w:r>
            <w:r w:rsidR="00AD2AB6" w:rsidRPr="00EB5754">
              <w:rPr>
                <w:i/>
                <w:iCs/>
              </w:rPr>
              <w:t>aki</w:t>
            </w:r>
            <w:proofErr w:type="spellEnd"/>
            <w:r w:rsidR="00AD2AB6" w:rsidRPr="00EB5754">
              <w:rPr>
                <w:i/>
                <w:iCs/>
              </w:rPr>
              <w:t xml:space="preserve"> </w:t>
            </w:r>
            <w:proofErr w:type="spellStart"/>
            <w:r w:rsidR="00AD2AB6" w:rsidRPr="00EB5754">
              <w:rPr>
                <w:i/>
                <w:iCs/>
              </w:rPr>
              <w:t>eduskunnan</w:t>
            </w:r>
            <w:proofErr w:type="spellEnd"/>
            <w:r w:rsidR="00AD2AB6" w:rsidRPr="00EB5754">
              <w:rPr>
                <w:i/>
                <w:iCs/>
              </w:rPr>
              <w:t xml:space="preserve"> </w:t>
            </w:r>
            <w:proofErr w:type="spellStart"/>
            <w:r w:rsidR="00AD2AB6" w:rsidRPr="00EB5754">
              <w:rPr>
                <w:i/>
                <w:iCs/>
              </w:rPr>
              <w:t>oikeusasia</w:t>
            </w:r>
            <w:r w:rsidR="00343539" w:rsidRPr="00EB5754">
              <w:rPr>
                <w:i/>
                <w:iCs/>
              </w:rPr>
              <w:softHyphen/>
            </w:r>
            <w:r w:rsidR="00AD2AB6" w:rsidRPr="00EB5754">
              <w:rPr>
                <w:i/>
                <w:iCs/>
              </w:rPr>
              <w:t>miehestä</w:t>
            </w:r>
            <w:proofErr w:type="spellEnd"/>
            <w:r w:rsidR="00AD2AB6" w:rsidRPr="00EB5754">
              <w:rPr>
                <w:i/>
                <w:iCs/>
              </w:rPr>
              <w:t>/</w:t>
            </w:r>
            <w:r w:rsidR="00343539" w:rsidRPr="00EB5754">
              <w:rPr>
                <w:i/>
                <w:iCs/>
              </w:rPr>
              <w:t>l</w:t>
            </w:r>
            <w:r w:rsidR="00AD2AB6" w:rsidRPr="00EB5754">
              <w:rPr>
                <w:i/>
                <w:iCs/>
              </w:rPr>
              <w:t xml:space="preserve">ag om </w:t>
            </w:r>
            <w:proofErr w:type="spellStart"/>
            <w:r w:rsidR="00AD2AB6" w:rsidRPr="00EB5754">
              <w:rPr>
                <w:i/>
                <w:iCs/>
              </w:rPr>
              <w:t>riks</w:t>
            </w:r>
            <w:r w:rsidR="00343539" w:rsidRPr="00EB5754">
              <w:rPr>
                <w:i/>
                <w:iCs/>
              </w:rPr>
              <w:softHyphen/>
            </w:r>
            <w:r w:rsidR="00AD2AB6" w:rsidRPr="00EB5754">
              <w:rPr>
                <w:i/>
                <w:iCs/>
              </w:rPr>
              <w:t>dagens</w:t>
            </w:r>
            <w:proofErr w:type="spellEnd"/>
            <w:r w:rsidR="00AD2AB6" w:rsidRPr="00EB5754">
              <w:rPr>
                <w:i/>
                <w:iCs/>
              </w:rPr>
              <w:t xml:space="preserve"> </w:t>
            </w:r>
            <w:proofErr w:type="spellStart"/>
            <w:r w:rsidR="00AD2AB6" w:rsidRPr="00EB5754">
              <w:rPr>
                <w:i/>
                <w:iCs/>
              </w:rPr>
              <w:t>justitie</w:t>
            </w:r>
            <w:r w:rsidR="003F6529" w:rsidRPr="00EB5754">
              <w:rPr>
                <w:i/>
                <w:iCs/>
              </w:rPr>
              <w:softHyphen/>
            </w:r>
            <w:r w:rsidR="00AD2AB6" w:rsidRPr="00EB5754">
              <w:rPr>
                <w:i/>
                <w:iCs/>
              </w:rPr>
              <w:t>ombuds</w:t>
            </w:r>
            <w:r w:rsidR="003F6529" w:rsidRPr="00EB5754">
              <w:rPr>
                <w:i/>
                <w:iCs/>
              </w:rPr>
              <w:softHyphen/>
            </w:r>
            <w:r w:rsidR="00AD2AB6" w:rsidRPr="00EB5754">
              <w:rPr>
                <w:i/>
                <w:iCs/>
              </w:rPr>
              <w:t>man</w:t>
            </w:r>
            <w:proofErr w:type="spellEnd"/>
            <w:r w:rsidR="00AD2AB6" w:rsidRPr="00650983">
              <w:t>) (</w:t>
            </w:r>
            <w:r w:rsidR="004C2FA4" w:rsidRPr="00650983">
              <w:t>Act No. 197/</w:t>
            </w:r>
            <w:r w:rsidR="00AD2AB6" w:rsidRPr="00650983">
              <w:t>2002)</w:t>
            </w:r>
            <w:r w:rsidR="00E2278D">
              <w:t>,</w:t>
            </w:r>
            <w:r w:rsidR="00AD2AB6" w:rsidRPr="00B42B97">
              <w:rPr>
                <w:color w:val="5B9BD5" w:themeColor="accent5"/>
                <w:vertAlign w:val="superscript"/>
              </w:rPr>
              <w:footnoteReference w:id="21"/>
            </w:r>
            <w:r w:rsidR="00AD2AB6" w:rsidRPr="00650983">
              <w:t xml:space="preserve"> and </w:t>
            </w:r>
            <w:r w:rsidR="00343539" w:rsidRPr="00650983">
              <w:t xml:space="preserve">section 3 of </w:t>
            </w:r>
            <w:r w:rsidR="00AD2AB6" w:rsidRPr="00650983">
              <w:t>the</w:t>
            </w:r>
            <w:r w:rsidR="00F0130F" w:rsidRPr="00650983">
              <w:t xml:space="preserve"> </w:t>
            </w:r>
            <w:bookmarkStart w:id="20" w:name="_Hlk153462360"/>
            <w:r w:rsidR="00AD2AB6" w:rsidRPr="00650983">
              <w:t>Act on the division of the obligations between the Chancellor of Justice of the Government and the Parliamentary Ombudsman</w:t>
            </w:r>
            <w:bookmarkEnd w:id="20"/>
            <w:r w:rsidR="00AD2AB6" w:rsidRPr="00650983">
              <w:t xml:space="preserve"> (</w:t>
            </w:r>
            <w:bookmarkStart w:id="21" w:name="_Hlk153462300"/>
            <w:proofErr w:type="spellStart"/>
            <w:r w:rsidR="004C2FA4" w:rsidRPr="00EB5754">
              <w:rPr>
                <w:i/>
                <w:iCs/>
              </w:rPr>
              <w:t>l</w:t>
            </w:r>
            <w:r w:rsidR="00AD2AB6" w:rsidRPr="00EB5754">
              <w:rPr>
                <w:i/>
                <w:iCs/>
              </w:rPr>
              <w:t>aki</w:t>
            </w:r>
            <w:proofErr w:type="spellEnd"/>
            <w:r w:rsidR="00AD2AB6" w:rsidRPr="00EB5754">
              <w:rPr>
                <w:i/>
                <w:iCs/>
              </w:rPr>
              <w:t xml:space="preserve"> </w:t>
            </w:r>
            <w:proofErr w:type="spellStart"/>
            <w:r w:rsidR="00AD2AB6" w:rsidRPr="00EB5754">
              <w:rPr>
                <w:i/>
                <w:iCs/>
              </w:rPr>
              <w:t>valtioneuvoston</w:t>
            </w:r>
            <w:proofErr w:type="spellEnd"/>
            <w:r w:rsidR="00AD2AB6" w:rsidRPr="00EB5754">
              <w:rPr>
                <w:i/>
                <w:iCs/>
              </w:rPr>
              <w:t xml:space="preserve"> </w:t>
            </w:r>
            <w:proofErr w:type="spellStart"/>
            <w:r w:rsidR="00AD2AB6" w:rsidRPr="00EB5754">
              <w:rPr>
                <w:i/>
                <w:iCs/>
              </w:rPr>
              <w:t>oikeuskanslerin</w:t>
            </w:r>
            <w:proofErr w:type="spellEnd"/>
            <w:r w:rsidR="00AD2AB6" w:rsidRPr="00EB5754">
              <w:rPr>
                <w:i/>
                <w:iCs/>
              </w:rPr>
              <w:t xml:space="preserve"> </w:t>
            </w:r>
            <w:proofErr w:type="spellStart"/>
            <w:r w:rsidR="00AD2AB6" w:rsidRPr="00EB5754">
              <w:rPr>
                <w:i/>
                <w:iCs/>
              </w:rPr>
              <w:t>ja</w:t>
            </w:r>
            <w:proofErr w:type="spellEnd"/>
            <w:r w:rsidR="00AD2AB6" w:rsidRPr="00EB5754">
              <w:rPr>
                <w:i/>
                <w:iCs/>
              </w:rPr>
              <w:t xml:space="preserve"> </w:t>
            </w:r>
            <w:proofErr w:type="spellStart"/>
            <w:r w:rsidR="00AD2AB6" w:rsidRPr="00EB5754">
              <w:rPr>
                <w:i/>
                <w:iCs/>
              </w:rPr>
              <w:t>eduskunnan</w:t>
            </w:r>
            <w:proofErr w:type="spellEnd"/>
            <w:r w:rsidR="00AD2AB6" w:rsidRPr="00EB5754">
              <w:rPr>
                <w:i/>
                <w:iCs/>
              </w:rPr>
              <w:t xml:space="preserve"> </w:t>
            </w:r>
            <w:proofErr w:type="spellStart"/>
            <w:r w:rsidR="00AD2AB6" w:rsidRPr="00EB5754">
              <w:rPr>
                <w:i/>
                <w:iCs/>
              </w:rPr>
              <w:t>oikeusasiamiehen</w:t>
            </w:r>
            <w:proofErr w:type="spellEnd"/>
            <w:r w:rsidR="00AD2AB6" w:rsidRPr="00EB5754">
              <w:rPr>
                <w:i/>
                <w:iCs/>
              </w:rPr>
              <w:t xml:space="preserve"> </w:t>
            </w:r>
            <w:proofErr w:type="spellStart"/>
            <w:r w:rsidR="00AD2AB6" w:rsidRPr="00EB5754">
              <w:rPr>
                <w:i/>
                <w:iCs/>
              </w:rPr>
              <w:t>tehtävien</w:t>
            </w:r>
            <w:proofErr w:type="spellEnd"/>
            <w:r w:rsidR="00AD2AB6" w:rsidRPr="00EB5754">
              <w:rPr>
                <w:i/>
                <w:iCs/>
              </w:rPr>
              <w:t xml:space="preserve"> </w:t>
            </w:r>
            <w:proofErr w:type="spellStart"/>
            <w:r w:rsidR="00AD2AB6" w:rsidRPr="00EB5754">
              <w:rPr>
                <w:i/>
                <w:iCs/>
              </w:rPr>
              <w:t>jaosta</w:t>
            </w:r>
            <w:proofErr w:type="spellEnd"/>
            <w:r w:rsidR="00AD2AB6" w:rsidRPr="00EB5754">
              <w:rPr>
                <w:i/>
                <w:iCs/>
              </w:rPr>
              <w:t>/</w:t>
            </w:r>
            <w:r w:rsidR="004C2FA4" w:rsidRPr="00EB5754">
              <w:rPr>
                <w:i/>
                <w:iCs/>
              </w:rPr>
              <w:t>l</w:t>
            </w:r>
            <w:r w:rsidR="00AD2AB6" w:rsidRPr="00EB5754">
              <w:rPr>
                <w:i/>
                <w:iCs/>
              </w:rPr>
              <w:t xml:space="preserve">ag om </w:t>
            </w:r>
            <w:proofErr w:type="spellStart"/>
            <w:r w:rsidR="00AD2AB6" w:rsidRPr="00EB5754">
              <w:rPr>
                <w:i/>
                <w:iCs/>
              </w:rPr>
              <w:t>fördelningen</w:t>
            </w:r>
            <w:proofErr w:type="spellEnd"/>
            <w:r w:rsidR="00AD2AB6" w:rsidRPr="00EB5754">
              <w:rPr>
                <w:i/>
                <w:iCs/>
              </w:rPr>
              <w:t xml:space="preserve"> </w:t>
            </w:r>
            <w:proofErr w:type="spellStart"/>
            <w:r w:rsidR="00AD2AB6" w:rsidRPr="00EB5754">
              <w:rPr>
                <w:i/>
                <w:iCs/>
              </w:rPr>
              <w:t>av</w:t>
            </w:r>
            <w:proofErr w:type="spellEnd"/>
            <w:r w:rsidR="00AD2AB6" w:rsidRPr="00EB5754">
              <w:rPr>
                <w:i/>
                <w:iCs/>
              </w:rPr>
              <w:t xml:space="preserve"> </w:t>
            </w:r>
            <w:proofErr w:type="spellStart"/>
            <w:r w:rsidR="00AD2AB6" w:rsidRPr="00EB5754">
              <w:rPr>
                <w:i/>
                <w:iCs/>
              </w:rPr>
              <w:t>åligganden</w:t>
            </w:r>
            <w:proofErr w:type="spellEnd"/>
            <w:r w:rsidR="00AD2AB6" w:rsidRPr="00EB5754">
              <w:rPr>
                <w:i/>
                <w:iCs/>
              </w:rPr>
              <w:t xml:space="preserve"> </w:t>
            </w:r>
            <w:proofErr w:type="spellStart"/>
            <w:r w:rsidR="00AD2AB6" w:rsidRPr="00EB5754">
              <w:rPr>
                <w:i/>
                <w:iCs/>
              </w:rPr>
              <w:t>mellan</w:t>
            </w:r>
            <w:proofErr w:type="spellEnd"/>
            <w:r w:rsidR="00AD2AB6" w:rsidRPr="00EB5754">
              <w:rPr>
                <w:i/>
                <w:iCs/>
              </w:rPr>
              <w:t xml:space="preserve"> </w:t>
            </w:r>
            <w:proofErr w:type="spellStart"/>
            <w:r w:rsidR="00AD2AB6" w:rsidRPr="00EB5754">
              <w:rPr>
                <w:i/>
                <w:iCs/>
              </w:rPr>
              <w:t>justitie</w:t>
            </w:r>
            <w:r w:rsidR="004C2FA4" w:rsidRPr="00EB5754">
              <w:rPr>
                <w:i/>
                <w:iCs/>
              </w:rPr>
              <w:softHyphen/>
            </w:r>
            <w:r w:rsidR="00AD2AB6" w:rsidRPr="00EB5754">
              <w:rPr>
                <w:i/>
                <w:iCs/>
              </w:rPr>
              <w:t>kans</w:t>
            </w:r>
            <w:r w:rsidR="004C2FA4" w:rsidRPr="00EB5754">
              <w:rPr>
                <w:i/>
                <w:iCs/>
              </w:rPr>
              <w:softHyphen/>
            </w:r>
            <w:r w:rsidR="00AD2AB6" w:rsidRPr="00EB5754">
              <w:rPr>
                <w:i/>
                <w:iCs/>
              </w:rPr>
              <w:t>lern</w:t>
            </w:r>
            <w:proofErr w:type="spellEnd"/>
            <w:r w:rsidR="00AD2AB6" w:rsidRPr="00EB5754">
              <w:rPr>
                <w:i/>
                <w:iCs/>
              </w:rPr>
              <w:t xml:space="preserve"> </w:t>
            </w:r>
            <w:proofErr w:type="spellStart"/>
            <w:r w:rsidR="00AD2AB6" w:rsidRPr="00EB5754">
              <w:rPr>
                <w:i/>
                <w:iCs/>
              </w:rPr>
              <w:t>i</w:t>
            </w:r>
            <w:proofErr w:type="spellEnd"/>
            <w:r w:rsidR="00AD2AB6" w:rsidRPr="00EB5754">
              <w:rPr>
                <w:i/>
                <w:iCs/>
              </w:rPr>
              <w:t xml:space="preserve"> </w:t>
            </w:r>
            <w:proofErr w:type="spellStart"/>
            <w:r w:rsidR="00AD2AB6" w:rsidRPr="00EB5754">
              <w:rPr>
                <w:i/>
                <w:iCs/>
              </w:rPr>
              <w:t>statsrådet</w:t>
            </w:r>
            <w:proofErr w:type="spellEnd"/>
            <w:r w:rsidR="00AD2AB6" w:rsidRPr="00EB5754">
              <w:rPr>
                <w:i/>
                <w:iCs/>
              </w:rPr>
              <w:t xml:space="preserve"> </w:t>
            </w:r>
            <w:proofErr w:type="spellStart"/>
            <w:r w:rsidR="00AD2AB6" w:rsidRPr="00EB5754">
              <w:rPr>
                <w:i/>
                <w:iCs/>
              </w:rPr>
              <w:t>och</w:t>
            </w:r>
            <w:proofErr w:type="spellEnd"/>
            <w:r w:rsidR="00AD2AB6" w:rsidRPr="00EB5754">
              <w:rPr>
                <w:i/>
                <w:iCs/>
              </w:rPr>
              <w:t xml:space="preserve"> </w:t>
            </w:r>
            <w:proofErr w:type="spellStart"/>
            <w:r w:rsidR="00AD2AB6" w:rsidRPr="00EB5754">
              <w:rPr>
                <w:i/>
                <w:iCs/>
              </w:rPr>
              <w:t>riksdagens</w:t>
            </w:r>
            <w:proofErr w:type="spellEnd"/>
            <w:r w:rsidR="00AD2AB6" w:rsidRPr="00EB5754">
              <w:rPr>
                <w:i/>
                <w:iCs/>
              </w:rPr>
              <w:t xml:space="preserve"> </w:t>
            </w:r>
            <w:proofErr w:type="spellStart"/>
            <w:r w:rsidR="00AD2AB6" w:rsidRPr="00EB5754">
              <w:rPr>
                <w:i/>
                <w:iCs/>
              </w:rPr>
              <w:t>justitieombudsman</w:t>
            </w:r>
            <w:proofErr w:type="spellEnd"/>
            <w:r w:rsidR="00AD2AB6" w:rsidRPr="00650983">
              <w:t xml:space="preserve">) </w:t>
            </w:r>
            <w:r w:rsidR="00CD5B6E" w:rsidRPr="00650983">
              <w:t>(</w:t>
            </w:r>
            <w:r w:rsidR="00343539" w:rsidRPr="00650983">
              <w:t>Act No. 330/</w:t>
            </w:r>
            <w:r w:rsidR="00CD5B6E" w:rsidRPr="00650983">
              <w:t>202</w:t>
            </w:r>
            <w:r w:rsidR="00343539" w:rsidRPr="00650983">
              <w:t>2</w:t>
            </w:r>
            <w:bookmarkEnd w:id="21"/>
            <w:r w:rsidR="00CD5B6E" w:rsidRPr="00650983">
              <w:t>)</w:t>
            </w:r>
            <w:r w:rsidR="00343539" w:rsidRPr="00650983">
              <w:t>.</w:t>
            </w:r>
            <w:r w:rsidR="00E2278D">
              <w:rPr>
                <w:rStyle w:val="FootnoteReference"/>
              </w:rPr>
              <w:footnoteReference w:id="22"/>
            </w:r>
            <w:r w:rsidR="00CD5B6E" w:rsidRPr="00650983">
              <w:t xml:space="preserve"> </w:t>
            </w:r>
            <w:r w:rsidR="00053D5F" w:rsidRPr="00650983">
              <w:t>There are no restrictions regarding the standing to file a complaint with the Parliamentary Ombudsman.</w:t>
            </w:r>
          </w:p>
          <w:p w14:paraId="1D9A74FE" w14:textId="77777777" w:rsidR="00906D95" w:rsidRPr="00650983" w:rsidRDefault="00906D95" w:rsidP="002B3544">
            <w:pPr>
              <w:pStyle w:val="FRABodyText"/>
            </w:pPr>
          </w:p>
          <w:p w14:paraId="0E5761DB" w14:textId="5A913C6B" w:rsidR="00906D95" w:rsidRPr="00650983" w:rsidRDefault="00774B4F" w:rsidP="002B3544">
            <w:pPr>
              <w:pStyle w:val="FRABodyText"/>
              <w:rPr>
                <w:i/>
                <w:iCs/>
              </w:rPr>
            </w:pPr>
            <w:r w:rsidRPr="00650983">
              <w:lastRenderedPageBreak/>
              <w:t>A voter</w:t>
            </w:r>
            <w:r w:rsidR="008977EA" w:rsidRPr="00650983">
              <w:t xml:space="preserve"> can also submit an application to the </w:t>
            </w:r>
            <w:bookmarkStart w:id="22" w:name="_Hlk149145897"/>
            <w:r w:rsidR="008977EA" w:rsidRPr="00650983">
              <w:t>National Non-Discrimination and Equality Tribunal</w:t>
            </w:r>
            <w:bookmarkEnd w:id="22"/>
            <w:r w:rsidR="008977EA" w:rsidRPr="00650983">
              <w:t xml:space="preserve"> </w:t>
            </w:r>
            <w:r w:rsidR="00B548F5" w:rsidRPr="00650983">
              <w:t>(</w:t>
            </w:r>
            <w:proofErr w:type="spellStart"/>
            <w:r w:rsidR="00B548F5" w:rsidRPr="00EB5754">
              <w:rPr>
                <w:i/>
                <w:iCs/>
              </w:rPr>
              <w:t>yhdenvertaisuus</w:t>
            </w:r>
            <w:proofErr w:type="spellEnd"/>
            <w:r w:rsidR="00B548F5" w:rsidRPr="00EB5754">
              <w:rPr>
                <w:i/>
                <w:iCs/>
              </w:rPr>
              <w:t xml:space="preserve">- </w:t>
            </w:r>
            <w:proofErr w:type="spellStart"/>
            <w:r w:rsidR="00B548F5" w:rsidRPr="00EB5754">
              <w:rPr>
                <w:i/>
                <w:iCs/>
              </w:rPr>
              <w:t>ja</w:t>
            </w:r>
            <w:proofErr w:type="spellEnd"/>
            <w:r w:rsidR="00B548F5" w:rsidRPr="00EB5754">
              <w:rPr>
                <w:i/>
                <w:iCs/>
              </w:rPr>
              <w:t xml:space="preserve"> </w:t>
            </w:r>
            <w:proofErr w:type="spellStart"/>
            <w:r w:rsidR="00B548F5" w:rsidRPr="00EB5754">
              <w:rPr>
                <w:i/>
                <w:iCs/>
              </w:rPr>
              <w:t>tasa-arvolautakunta</w:t>
            </w:r>
            <w:proofErr w:type="spellEnd"/>
            <w:r w:rsidR="00B548F5" w:rsidRPr="00EB5754">
              <w:rPr>
                <w:i/>
                <w:iCs/>
              </w:rPr>
              <w:t>/</w:t>
            </w:r>
            <w:proofErr w:type="spellStart"/>
            <w:r w:rsidR="00B548F5" w:rsidRPr="00EB5754">
              <w:rPr>
                <w:i/>
                <w:iCs/>
              </w:rPr>
              <w:t>diskrimi</w:t>
            </w:r>
            <w:r w:rsidR="00B548F5" w:rsidRPr="00EB5754">
              <w:rPr>
                <w:i/>
                <w:iCs/>
              </w:rPr>
              <w:softHyphen/>
              <w:t>ne</w:t>
            </w:r>
            <w:r w:rsidR="00B548F5" w:rsidRPr="00EB5754">
              <w:rPr>
                <w:i/>
                <w:iCs/>
              </w:rPr>
              <w:softHyphen/>
            </w:r>
            <w:r w:rsidR="00B548F5" w:rsidRPr="00EB5754">
              <w:rPr>
                <w:i/>
                <w:iCs/>
              </w:rPr>
              <w:softHyphen/>
              <w:t>rings</w:t>
            </w:r>
            <w:proofErr w:type="spellEnd"/>
            <w:r w:rsidR="00B548F5" w:rsidRPr="00EB5754">
              <w:rPr>
                <w:i/>
                <w:iCs/>
              </w:rPr>
              <w:t xml:space="preserve">- </w:t>
            </w:r>
            <w:proofErr w:type="spellStart"/>
            <w:r w:rsidR="00B548F5" w:rsidRPr="00EB5754">
              <w:rPr>
                <w:i/>
                <w:iCs/>
              </w:rPr>
              <w:t>och</w:t>
            </w:r>
            <w:proofErr w:type="spellEnd"/>
            <w:r w:rsidR="00B548F5" w:rsidRPr="00EB5754">
              <w:rPr>
                <w:i/>
                <w:iCs/>
              </w:rPr>
              <w:t xml:space="preserve"> </w:t>
            </w:r>
            <w:proofErr w:type="spellStart"/>
            <w:r w:rsidR="00B548F5" w:rsidRPr="00EB5754">
              <w:rPr>
                <w:i/>
                <w:iCs/>
              </w:rPr>
              <w:t>jämställdhetsnämnden</w:t>
            </w:r>
            <w:proofErr w:type="spellEnd"/>
            <w:r w:rsidR="00B548F5" w:rsidRPr="00650983">
              <w:t xml:space="preserve">) </w:t>
            </w:r>
            <w:r w:rsidR="008977EA" w:rsidRPr="00650983">
              <w:t xml:space="preserve">if </w:t>
            </w:r>
            <w:r w:rsidR="00F0130F" w:rsidRPr="00650983">
              <w:t>she/he</w:t>
            </w:r>
            <w:r w:rsidR="008977EA" w:rsidRPr="00650983">
              <w:t xml:space="preserve"> consider</w:t>
            </w:r>
            <w:r w:rsidR="007B2069" w:rsidRPr="00650983">
              <w:t>s</w:t>
            </w:r>
            <w:r w:rsidR="008977EA" w:rsidRPr="00650983">
              <w:t xml:space="preserve"> that the </w:t>
            </w:r>
            <w:r w:rsidR="007E03A3" w:rsidRPr="00650983">
              <w:t>authorities acts have</w:t>
            </w:r>
            <w:r w:rsidR="008977EA" w:rsidRPr="00650983">
              <w:t xml:space="preserve"> been contrary to the </w:t>
            </w:r>
            <w:bookmarkStart w:id="23" w:name="_Hlk153463355"/>
            <w:r w:rsidR="008977EA" w:rsidRPr="00650983">
              <w:t xml:space="preserve">Non-Discrimination Act </w:t>
            </w:r>
            <w:r w:rsidR="00B548F5" w:rsidRPr="00725C22">
              <w:t>(</w:t>
            </w:r>
            <w:proofErr w:type="spellStart"/>
            <w:r w:rsidR="00B548F5" w:rsidRPr="00EB5754">
              <w:rPr>
                <w:i/>
                <w:iCs/>
              </w:rPr>
              <w:t>yhdenvertaisuuslaki</w:t>
            </w:r>
            <w:proofErr w:type="spellEnd"/>
            <w:r w:rsidR="00B548F5" w:rsidRPr="00EB5754">
              <w:rPr>
                <w:i/>
                <w:iCs/>
              </w:rPr>
              <w:t>/</w:t>
            </w:r>
            <w:proofErr w:type="spellStart"/>
            <w:r w:rsidR="00B548F5" w:rsidRPr="00EB5754">
              <w:rPr>
                <w:i/>
                <w:iCs/>
              </w:rPr>
              <w:t>diskrimineringslag</w:t>
            </w:r>
            <w:proofErr w:type="spellEnd"/>
            <w:r w:rsidR="00B548F5" w:rsidRPr="00650983">
              <w:t>)(Act No. 1325/2014</w:t>
            </w:r>
            <w:bookmarkEnd w:id="23"/>
            <w:r w:rsidR="00B548F5" w:rsidRPr="00650983">
              <w:t xml:space="preserve">) </w:t>
            </w:r>
            <w:r w:rsidR="008977EA" w:rsidRPr="00650983">
              <w:t xml:space="preserve">or the </w:t>
            </w:r>
            <w:bookmarkStart w:id="24" w:name="_Hlk153464312"/>
            <w:r w:rsidR="008977EA" w:rsidRPr="00650983">
              <w:t>Equality Act</w:t>
            </w:r>
            <w:r w:rsidR="00B548F5" w:rsidRPr="00650983">
              <w:t xml:space="preserve"> (</w:t>
            </w:r>
            <w:proofErr w:type="spellStart"/>
            <w:r w:rsidR="00E6109D" w:rsidRPr="00725C22">
              <w:t>laki</w:t>
            </w:r>
            <w:proofErr w:type="spellEnd"/>
            <w:r w:rsidR="00E6109D" w:rsidRPr="00725C22">
              <w:t xml:space="preserve"> </w:t>
            </w:r>
            <w:proofErr w:type="spellStart"/>
            <w:r w:rsidR="00E6109D" w:rsidRPr="00725C22">
              <w:t>naisten</w:t>
            </w:r>
            <w:proofErr w:type="spellEnd"/>
            <w:r w:rsidR="00E6109D" w:rsidRPr="00725C22">
              <w:t xml:space="preserve"> </w:t>
            </w:r>
            <w:proofErr w:type="spellStart"/>
            <w:r w:rsidR="00E6109D" w:rsidRPr="00725C22">
              <w:t>ja</w:t>
            </w:r>
            <w:proofErr w:type="spellEnd"/>
            <w:r w:rsidR="00E6109D" w:rsidRPr="00725C22">
              <w:t xml:space="preserve"> </w:t>
            </w:r>
            <w:proofErr w:type="spellStart"/>
            <w:r w:rsidR="00E6109D" w:rsidRPr="00725C22">
              <w:t>miesten</w:t>
            </w:r>
            <w:proofErr w:type="spellEnd"/>
            <w:r w:rsidR="00E6109D" w:rsidRPr="00725C22">
              <w:t xml:space="preserve"> </w:t>
            </w:r>
            <w:proofErr w:type="spellStart"/>
            <w:r w:rsidR="00E6109D" w:rsidRPr="00725C22">
              <w:t>välisestä</w:t>
            </w:r>
            <w:proofErr w:type="spellEnd"/>
            <w:r w:rsidR="00E6109D" w:rsidRPr="00725C22">
              <w:t xml:space="preserve"> </w:t>
            </w:r>
            <w:proofErr w:type="spellStart"/>
            <w:r w:rsidR="00E6109D" w:rsidRPr="00725C22">
              <w:t>tasa-arvosta</w:t>
            </w:r>
            <w:proofErr w:type="spellEnd"/>
            <w:r w:rsidR="00B548F5" w:rsidRPr="00650983">
              <w:t>/</w:t>
            </w:r>
            <w:r w:rsidR="00E6109D" w:rsidRPr="00725C22">
              <w:t xml:space="preserve">lag om </w:t>
            </w:r>
            <w:proofErr w:type="spellStart"/>
            <w:r w:rsidR="00E6109D" w:rsidRPr="00725C22">
              <w:t>jämnställdhet</w:t>
            </w:r>
            <w:proofErr w:type="spellEnd"/>
            <w:r w:rsidR="00E6109D" w:rsidRPr="00725C22">
              <w:t xml:space="preserve"> </w:t>
            </w:r>
            <w:proofErr w:type="spellStart"/>
            <w:r w:rsidR="00E6109D" w:rsidRPr="00725C22">
              <w:t>mellan</w:t>
            </w:r>
            <w:proofErr w:type="spellEnd"/>
            <w:r w:rsidR="00E6109D" w:rsidRPr="00725C22">
              <w:t xml:space="preserve"> </w:t>
            </w:r>
            <w:proofErr w:type="spellStart"/>
            <w:r w:rsidR="00E6109D" w:rsidRPr="00725C22">
              <w:t>kvinnor</w:t>
            </w:r>
            <w:proofErr w:type="spellEnd"/>
            <w:r w:rsidR="00E6109D" w:rsidRPr="00725C22">
              <w:t xml:space="preserve"> </w:t>
            </w:r>
            <w:proofErr w:type="spellStart"/>
            <w:r w:rsidR="00E6109D" w:rsidRPr="00725C22">
              <w:t>och</w:t>
            </w:r>
            <w:proofErr w:type="spellEnd"/>
            <w:r w:rsidR="00E6109D" w:rsidRPr="00725C22">
              <w:t xml:space="preserve"> </w:t>
            </w:r>
            <w:proofErr w:type="spellStart"/>
            <w:r w:rsidR="00E6109D" w:rsidRPr="00725C22">
              <w:t>män</w:t>
            </w:r>
            <w:bookmarkEnd w:id="24"/>
            <w:proofErr w:type="spellEnd"/>
            <w:r w:rsidR="00B548F5" w:rsidRPr="00650983">
              <w:t>)</w:t>
            </w:r>
            <w:r w:rsidR="008977EA" w:rsidRPr="00650983">
              <w:t>.</w:t>
            </w:r>
            <w:r w:rsidR="00BE4196">
              <w:rPr>
                <w:rStyle w:val="FootnoteReference"/>
              </w:rPr>
              <w:footnoteReference w:id="23"/>
            </w:r>
            <w:r w:rsidR="00906D95" w:rsidRPr="00650983">
              <w:t xml:space="preserve"> </w:t>
            </w:r>
            <w:r w:rsidR="0021155C" w:rsidRPr="00650983">
              <w:t xml:space="preserve">In accordance with section 12 of the </w:t>
            </w:r>
            <w:bookmarkStart w:id="25" w:name="_Hlk153465586"/>
            <w:r w:rsidR="0021155C" w:rsidRPr="00650983">
              <w:t>Act on the Non-Discrimination and Equality Tribunal (</w:t>
            </w:r>
            <w:proofErr w:type="spellStart"/>
            <w:r w:rsidR="0021155C" w:rsidRPr="00EB5754">
              <w:rPr>
                <w:i/>
                <w:iCs/>
              </w:rPr>
              <w:t>laki</w:t>
            </w:r>
            <w:proofErr w:type="spellEnd"/>
            <w:r w:rsidR="0021155C" w:rsidRPr="00EB5754">
              <w:rPr>
                <w:i/>
                <w:iCs/>
              </w:rPr>
              <w:t xml:space="preserve"> </w:t>
            </w:r>
            <w:proofErr w:type="spellStart"/>
            <w:r w:rsidR="0021155C" w:rsidRPr="00EB5754">
              <w:rPr>
                <w:i/>
                <w:iCs/>
              </w:rPr>
              <w:t>yhdenvertai</w:t>
            </w:r>
            <w:r w:rsidR="0021155C" w:rsidRPr="00EB5754">
              <w:rPr>
                <w:i/>
                <w:iCs/>
              </w:rPr>
              <w:softHyphen/>
              <w:t>suus</w:t>
            </w:r>
            <w:proofErr w:type="spellEnd"/>
            <w:r w:rsidR="0021155C" w:rsidRPr="00EB5754">
              <w:rPr>
                <w:i/>
                <w:iCs/>
              </w:rPr>
              <w:t xml:space="preserve">- </w:t>
            </w:r>
            <w:proofErr w:type="spellStart"/>
            <w:r w:rsidR="0021155C" w:rsidRPr="00EB5754">
              <w:rPr>
                <w:i/>
                <w:iCs/>
              </w:rPr>
              <w:t>ja</w:t>
            </w:r>
            <w:proofErr w:type="spellEnd"/>
            <w:r w:rsidR="0021155C" w:rsidRPr="00EB5754">
              <w:rPr>
                <w:i/>
                <w:iCs/>
              </w:rPr>
              <w:t xml:space="preserve"> </w:t>
            </w:r>
            <w:proofErr w:type="spellStart"/>
            <w:r w:rsidR="0021155C" w:rsidRPr="00EB5754">
              <w:rPr>
                <w:i/>
                <w:iCs/>
              </w:rPr>
              <w:t>tasa-arvolautakunnasta</w:t>
            </w:r>
            <w:proofErr w:type="spellEnd"/>
            <w:r w:rsidR="0021155C" w:rsidRPr="00EB5754">
              <w:rPr>
                <w:i/>
                <w:iCs/>
              </w:rPr>
              <w:t xml:space="preserve">/lag om </w:t>
            </w:r>
            <w:proofErr w:type="spellStart"/>
            <w:r w:rsidR="0021155C" w:rsidRPr="00EB5754">
              <w:rPr>
                <w:i/>
                <w:iCs/>
              </w:rPr>
              <w:t>diskriminerings</w:t>
            </w:r>
            <w:proofErr w:type="spellEnd"/>
            <w:r w:rsidR="0021155C" w:rsidRPr="00EB5754">
              <w:rPr>
                <w:i/>
                <w:iCs/>
              </w:rPr>
              <w:t xml:space="preserve">- </w:t>
            </w:r>
            <w:proofErr w:type="spellStart"/>
            <w:r w:rsidR="0021155C" w:rsidRPr="00EB5754">
              <w:rPr>
                <w:i/>
                <w:iCs/>
              </w:rPr>
              <w:t>och</w:t>
            </w:r>
            <w:proofErr w:type="spellEnd"/>
            <w:r w:rsidR="0021155C" w:rsidRPr="00EB5754">
              <w:rPr>
                <w:i/>
                <w:iCs/>
              </w:rPr>
              <w:t xml:space="preserve"> </w:t>
            </w:r>
            <w:proofErr w:type="spellStart"/>
            <w:r w:rsidR="0021155C" w:rsidRPr="00EB5754">
              <w:rPr>
                <w:i/>
                <w:iCs/>
              </w:rPr>
              <w:t>jämställd</w:t>
            </w:r>
            <w:r w:rsidR="0021155C" w:rsidRPr="00EB5754">
              <w:rPr>
                <w:i/>
                <w:iCs/>
              </w:rPr>
              <w:softHyphen/>
              <w:t>hets</w:t>
            </w:r>
            <w:r w:rsidR="0021155C" w:rsidRPr="00EB5754">
              <w:rPr>
                <w:i/>
                <w:iCs/>
              </w:rPr>
              <w:softHyphen/>
              <w:t>nämnden</w:t>
            </w:r>
            <w:bookmarkEnd w:id="25"/>
            <w:proofErr w:type="spellEnd"/>
            <w:r w:rsidR="0021155C" w:rsidRPr="00650983">
              <w:t>)</w:t>
            </w:r>
            <w:r w:rsidR="003F6529">
              <w:t>(Act No. 1327/2014)</w:t>
            </w:r>
            <w:r w:rsidR="00725C22">
              <w:t>,</w:t>
            </w:r>
            <w:r w:rsidR="003F6529">
              <w:rPr>
                <w:rStyle w:val="FootnoteReference"/>
              </w:rPr>
              <w:footnoteReference w:id="24"/>
            </w:r>
            <w:r w:rsidR="0021155C" w:rsidRPr="00650983">
              <w:t xml:space="preserve"> the procedure before the Non-Discrimination and Equality Tribunal is governed by the Administrative Procedure Act</w:t>
            </w:r>
            <w:r w:rsidR="00725C22">
              <w:t xml:space="preserve"> (</w:t>
            </w:r>
            <w:proofErr w:type="spellStart"/>
            <w:r w:rsidR="00725C22" w:rsidRPr="00EB5754">
              <w:rPr>
                <w:i/>
                <w:iCs/>
              </w:rPr>
              <w:t>hallinto</w:t>
            </w:r>
            <w:r w:rsidR="003F6529" w:rsidRPr="00EB5754">
              <w:rPr>
                <w:i/>
                <w:iCs/>
              </w:rPr>
              <w:t>laki</w:t>
            </w:r>
            <w:proofErr w:type="spellEnd"/>
            <w:r w:rsidR="00725C22" w:rsidRPr="00EB5754">
              <w:rPr>
                <w:i/>
                <w:iCs/>
              </w:rPr>
              <w:t>/</w:t>
            </w:r>
            <w:proofErr w:type="spellStart"/>
            <w:r w:rsidR="003F6529" w:rsidRPr="00EB5754">
              <w:rPr>
                <w:i/>
                <w:iCs/>
              </w:rPr>
              <w:t>förvaltningslag</w:t>
            </w:r>
            <w:proofErr w:type="spellEnd"/>
            <w:r w:rsidR="003F6529">
              <w:t>)</w:t>
            </w:r>
            <w:r w:rsidR="0021155C" w:rsidRPr="00650983">
              <w:t>,</w:t>
            </w:r>
            <w:r w:rsidR="003F6529">
              <w:rPr>
                <w:rStyle w:val="FootnoteReference"/>
              </w:rPr>
              <w:footnoteReference w:id="25"/>
            </w:r>
            <w:r w:rsidR="00875A9F">
              <w:t xml:space="preserve"> </w:t>
            </w:r>
            <w:r w:rsidR="0021155C" w:rsidRPr="00650983">
              <w:t xml:space="preserve">the relevant provisions of which correspond to the provisions of the Administrative Judicial Procedure </w:t>
            </w:r>
            <w:r w:rsidR="00725C22">
              <w:t xml:space="preserve">Act </w:t>
            </w:r>
            <w:r w:rsidR="0021155C" w:rsidRPr="00650983">
              <w:t xml:space="preserve">described above.  </w:t>
            </w:r>
          </w:p>
          <w:p w14:paraId="05D38732" w14:textId="77777777" w:rsidR="0014473A" w:rsidRPr="00650983" w:rsidRDefault="0014473A" w:rsidP="002B3544">
            <w:pPr>
              <w:pStyle w:val="FRABodyText"/>
            </w:pPr>
          </w:p>
          <w:p w14:paraId="2564E19D" w14:textId="10C7AFEA" w:rsidR="008977EA" w:rsidRPr="00650983" w:rsidRDefault="0021155C" w:rsidP="002B3544">
            <w:pPr>
              <w:pStyle w:val="FRABodyText"/>
              <w:rPr>
                <w:i/>
                <w:iCs/>
              </w:rPr>
            </w:pPr>
            <w:r w:rsidRPr="00650983">
              <w:t>Representatives of the electoral authorities carry out their duties under official responsibility.</w:t>
            </w:r>
            <w:r w:rsidR="00857CC1" w:rsidRPr="00650983">
              <w:t> </w:t>
            </w:r>
            <w:r w:rsidR="001C04AD" w:rsidRPr="00650983">
              <w:t xml:space="preserve">If </w:t>
            </w:r>
            <w:r w:rsidR="00B548F5" w:rsidRPr="00650983">
              <w:t>a voter</w:t>
            </w:r>
            <w:r w:rsidR="001C04AD" w:rsidRPr="00650983">
              <w:t xml:space="preserve"> suspects criminal conduct in an election, </w:t>
            </w:r>
            <w:r w:rsidR="00B548F5" w:rsidRPr="00650983">
              <w:t>she/he</w:t>
            </w:r>
            <w:r w:rsidR="001C04AD" w:rsidRPr="00650983">
              <w:t xml:space="preserve"> can </w:t>
            </w:r>
            <w:r w:rsidR="00B548F5" w:rsidRPr="00650983">
              <w:t>file a report</w:t>
            </w:r>
            <w:r w:rsidR="00C8640C" w:rsidRPr="00650983">
              <w:t xml:space="preserve"> with the police</w:t>
            </w:r>
            <w:r w:rsidRPr="00650983">
              <w:t xml:space="preserve"> in accordance with section 185 of the Election Act</w:t>
            </w:r>
            <w:r w:rsidR="00BE4196">
              <w:t xml:space="preserve"> (</w:t>
            </w:r>
            <w:proofErr w:type="spellStart"/>
            <w:r w:rsidR="00BE4196" w:rsidRPr="00EB5754">
              <w:rPr>
                <w:i/>
                <w:iCs/>
              </w:rPr>
              <w:t>vaalilaki</w:t>
            </w:r>
            <w:proofErr w:type="spellEnd"/>
            <w:r w:rsidR="00BE4196" w:rsidRPr="00EB5754">
              <w:rPr>
                <w:i/>
                <w:iCs/>
              </w:rPr>
              <w:t>/</w:t>
            </w:r>
            <w:proofErr w:type="spellStart"/>
            <w:r w:rsidR="00BE4196" w:rsidRPr="00EB5754">
              <w:rPr>
                <w:i/>
                <w:iCs/>
              </w:rPr>
              <w:t>vallag</w:t>
            </w:r>
            <w:proofErr w:type="spellEnd"/>
            <w:r w:rsidR="00BE4196">
              <w:t>) (Act No. 714/1998)</w:t>
            </w:r>
            <w:r w:rsidR="00B548F5" w:rsidRPr="00650983">
              <w:t>.</w:t>
            </w:r>
          </w:p>
          <w:p w14:paraId="0FB4AFB3" w14:textId="3DC70B98" w:rsidR="000D108A" w:rsidRPr="00650983" w:rsidRDefault="000D108A" w:rsidP="002B3544">
            <w:pPr>
              <w:pStyle w:val="FRABodyText"/>
            </w:pPr>
          </w:p>
        </w:tc>
      </w:tr>
      <w:tr w:rsidR="00CC2CCC" w:rsidRPr="006E5B7F" w14:paraId="533AB954"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BC0DD55" w14:textId="1B383141" w:rsidR="00566A68" w:rsidRPr="00650983" w:rsidRDefault="00566A68" w:rsidP="002B3544">
            <w:pPr>
              <w:pStyle w:val="FRABodyText"/>
              <w:rPr>
                <w:i/>
                <w:iCs/>
              </w:rPr>
            </w:pPr>
            <w:r w:rsidRPr="00650983">
              <w:lastRenderedPageBreak/>
              <w:t>Is information on complaints mechanisms regarding political participation accessible to persons with disabilities?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1E32163" w14:textId="281E9F70" w:rsidR="00566A68" w:rsidRPr="00650983" w:rsidRDefault="00566A68" w:rsidP="002B3544">
            <w:pPr>
              <w:pStyle w:val="FRABodyText"/>
              <w:rPr>
                <w:i/>
                <w:iCs/>
              </w:rPr>
            </w:pPr>
            <w:r w:rsidRPr="00017BC0">
              <w:t xml:space="preserve">Yes - Website is </w:t>
            </w:r>
            <w:r w:rsidR="00F130A0" w:rsidRPr="00017BC0">
              <w:t xml:space="preserve">EN 301 549 v3.2.1 (2021-03) </w:t>
            </w:r>
            <w:r w:rsidRPr="00017BC0">
              <w:t>compliant and/or materials are available in alternative formats</w:t>
            </w:r>
            <w:r w:rsidRPr="00650983">
              <w:t xml:space="preserve">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AC7025E" w14:textId="6EAC1FC3" w:rsidR="0094174E" w:rsidRPr="00650983" w:rsidRDefault="00844CDF" w:rsidP="002B3544">
            <w:pPr>
              <w:pStyle w:val="FRABodyText"/>
              <w:rPr>
                <w:i/>
                <w:iCs/>
              </w:rPr>
            </w:pPr>
            <w:r w:rsidRPr="00650983">
              <w:t xml:space="preserve">In </w:t>
            </w:r>
            <w:r w:rsidRPr="00650983">
              <w:rPr>
                <w:b/>
                <w:bCs/>
              </w:rPr>
              <w:t>Finland</w:t>
            </w:r>
            <w:r w:rsidRPr="00650983">
              <w:t xml:space="preserve">, the election website </w:t>
            </w:r>
            <w:hyperlink r:id="rId18" w:history="1">
              <w:r w:rsidR="00904182" w:rsidRPr="00650983">
                <w:rPr>
                  <w:rStyle w:val="Hyperlink"/>
                  <w:color w:val="auto"/>
                </w:rPr>
                <w:t>V</w:t>
              </w:r>
              <w:r w:rsidRPr="00650983">
                <w:rPr>
                  <w:rStyle w:val="Hyperlink"/>
                  <w:color w:val="auto"/>
                </w:rPr>
                <w:t>aalit.fi</w:t>
              </w:r>
            </w:hyperlink>
            <w:r w:rsidR="007E03A3" w:rsidRPr="00650983">
              <w:t>/</w:t>
            </w:r>
            <w:hyperlink r:id="rId19" w:history="1">
              <w:r w:rsidR="007E03A3" w:rsidRPr="00650983">
                <w:rPr>
                  <w:rStyle w:val="Hyperlink"/>
                  <w:color w:val="auto"/>
                </w:rPr>
                <w:t>Val.fi</w:t>
              </w:r>
            </w:hyperlink>
            <w:r w:rsidRPr="00650983">
              <w:t xml:space="preserve"> </w:t>
            </w:r>
            <w:r w:rsidR="000D53FC" w:rsidRPr="00650983">
              <w:t xml:space="preserve">maintained by the Ministry of Justice </w:t>
            </w:r>
            <w:r w:rsidR="00381F17" w:rsidRPr="00650983">
              <w:t>(</w:t>
            </w:r>
            <w:proofErr w:type="spellStart"/>
            <w:r w:rsidR="00381F17" w:rsidRPr="00EB5754">
              <w:rPr>
                <w:i/>
                <w:iCs/>
              </w:rPr>
              <w:t>oikeusministeriö</w:t>
            </w:r>
            <w:proofErr w:type="spellEnd"/>
            <w:r w:rsidR="00381F17" w:rsidRPr="00EB5754">
              <w:rPr>
                <w:i/>
                <w:iCs/>
              </w:rPr>
              <w:t>/</w:t>
            </w:r>
            <w:proofErr w:type="spellStart"/>
            <w:r w:rsidR="00381F17" w:rsidRPr="00EB5754">
              <w:rPr>
                <w:i/>
                <w:iCs/>
              </w:rPr>
              <w:t>justitieministeriet</w:t>
            </w:r>
            <w:proofErr w:type="spellEnd"/>
            <w:r w:rsidR="00381F17" w:rsidRPr="00650983">
              <w:t xml:space="preserve">) </w:t>
            </w:r>
            <w:r w:rsidRPr="00650983">
              <w:t>offers</w:t>
            </w:r>
            <w:r w:rsidR="00FE2FB1" w:rsidRPr="00650983">
              <w:t xml:space="preserve"> i</w:t>
            </w:r>
            <w:r w:rsidR="001E5831" w:rsidRPr="00650983">
              <w:t>nformation</w:t>
            </w:r>
            <w:r w:rsidR="00FE2FB1" w:rsidRPr="00650983">
              <w:t xml:space="preserve"> </w:t>
            </w:r>
            <w:r w:rsidR="00904182" w:rsidRPr="00650983">
              <w:t xml:space="preserve">also </w:t>
            </w:r>
            <w:r w:rsidR="00FE2FB1" w:rsidRPr="00650983">
              <w:t xml:space="preserve">on </w:t>
            </w:r>
            <w:r w:rsidR="00904182" w:rsidRPr="00650983">
              <w:t>political participation related</w:t>
            </w:r>
            <w:r w:rsidR="000D53FC" w:rsidRPr="00650983">
              <w:t xml:space="preserve"> </w:t>
            </w:r>
            <w:r w:rsidR="00FE2FB1" w:rsidRPr="00650983">
              <w:t>complaints mechanisms</w:t>
            </w:r>
            <w:r w:rsidR="000D53FC" w:rsidRPr="00650983">
              <w:t>. The website</w:t>
            </w:r>
            <w:r w:rsidR="00FE2FB1" w:rsidRPr="00650983">
              <w:t xml:space="preserve"> </w:t>
            </w:r>
            <w:r w:rsidR="0094174E" w:rsidRPr="00650983">
              <w:t xml:space="preserve">meets </w:t>
            </w:r>
            <w:r w:rsidR="003F48CF" w:rsidRPr="00650983">
              <w:t xml:space="preserve">the </w:t>
            </w:r>
            <w:r w:rsidR="000217C2" w:rsidRPr="00650983">
              <w:t xml:space="preserve">accessibility </w:t>
            </w:r>
            <w:r w:rsidR="003F48CF" w:rsidRPr="00650983">
              <w:t xml:space="preserve">requirements </w:t>
            </w:r>
            <w:r w:rsidR="0094174E" w:rsidRPr="00650983">
              <w:t>for the most part</w:t>
            </w:r>
            <w:r w:rsidR="00904182" w:rsidRPr="00650983">
              <w:t>, according to its accessibility statement</w:t>
            </w:r>
            <w:r w:rsidR="00935840">
              <w:t xml:space="preserve"> and information obtained from the Ministry of Justice</w:t>
            </w:r>
            <w:r w:rsidR="00904182" w:rsidRPr="00650983">
              <w:t>.</w:t>
            </w:r>
            <w:r w:rsidR="00904182" w:rsidRPr="00875A9F">
              <w:rPr>
                <w:rStyle w:val="FootnoteReference"/>
                <w:color w:val="4472C4" w:themeColor="accent1"/>
              </w:rPr>
              <w:footnoteReference w:id="26"/>
            </w:r>
            <w:r w:rsidR="001E5831" w:rsidRPr="00650983">
              <w:t xml:space="preserve"> </w:t>
            </w:r>
            <w:r w:rsidR="002F7D43" w:rsidRPr="00650983">
              <w:t>The website of the Parliamentary Ombudsman</w:t>
            </w:r>
            <w:r w:rsidR="00904182" w:rsidRPr="00650983">
              <w:t xml:space="preserve"> </w:t>
            </w:r>
            <w:r w:rsidR="00935840">
              <w:t>(</w:t>
            </w:r>
            <w:proofErr w:type="spellStart"/>
            <w:r w:rsidR="00935840" w:rsidRPr="00EB5754">
              <w:rPr>
                <w:i/>
                <w:iCs/>
              </w:rPr>
              <w:t>oikeusasia</w:t>
            </w:r>
            <w:r w:rsidR="00935840" w:rsidRPr="00EB5754">
              <w:rPr>
                <w:i/>
                <w:iCs/>
              </w:rPr>
              <w:softHyphen/>
              <w:t>mies</w:t>
            </w:r>
            <w:proofErr w:type="spellEnd"/>
            <w:r w:rsidR="00935840" w:rsidRPr="00EB5754">
              <w:rPr>
                <w:i/>
                <w:iCs/>
              </w:rPr>
              <w:t>/</w:t>
            </w:r>
            <w:proofErr w:type="spellStart"/>
            <w:r w:rsidR="00935840" w:rsidRPr="00EB5754">
              <w:rPr>
                <w:i/>
                <w:iCs/>
              </w:rPr>
              <w:t>justitie</w:t>
            </w:r>
            <w:r w:rsidR="00935840" w:rsidRPr="00EB5754">
              <w:rPr>
                <w:i/>
                <w:iCs/>
              </w:rPr>
              <w:softHyphen/>
              <w:t>ombudsmannen</w:t>
            </w:r>
            <w:proofErr w:type="spellEnd"/>
            <w:r w:rsidR="00935840">
              <w:t xml:space="preserve">) </w:t>
            </w:r>
            <w:r w:rsidR="00904182" w:rsidRPr="00650983">
              <w:t>provides information on how to complain</w:t>
            </w:r>
            <w:r w:rsidR="002D66FE" w:rsidRPr="00650983">
              <w:t xml:space="preserve"> </w:t>
            </w:r>
            <w:r w:rsidR="00DA40E9">
              <w:t>to</w:t>
            </w:r>
            <w:r w:rsidR="002D66FE" w:rsidRPr="00650983">
              <w:t xml:space="preserve"> the Ombudsman.</w:t>
            </w:r>
            <w:r w:rsidR="002D66FE" w:rsidRPr="00875A9F">
              <w:rPr>
                <w:rStyle w:val="FootnoteReference"/>
                <w:color w:val="4472C4" w:themeColor="accent1"/>
              </w:rPr>
              <w:footnoteReference w:id="27"/>
            </w:r>
            <w:r w:rsidR="00005CE9" w:rsidRPr="00650983">
              <w:t xml:space="preserve"> </w:t>
            </w:r>
            <w:r w:rsidR="00256A77" w:rsidRPr="00650983">
              <w:t xml:space="preserve">The decisions and inspection records published on the Ombudsman's website are </w:t>
            </w:r>
            <w:r w:rsidR="0094174E" w:rsidRPr="00650983">
              <w:t xml:space="preserve">entirely </w:t>
            </w:r>
            <w:r w:rsidR="00256A77" w:rsidRPr="00650983">
              <w:t>accessible as of 1</w:t>
            </w:r>
            <w:r w:rsidR="005C4B31" w:rsidRPr="00650983">
              <w:t xml:space="preserve"> August </w:t>
            </w:r>
            <w:r w:rsidR="00256A77" w:rsidRPr="00650983">
              <w:t>2021.</w:t>
            </w:r>
            <w:r w:rsidR="00256A77" w:rsidRPr="00875A9F">
              <w:rPr>
                <w:rStyle w:val="FootnoteReference"/>
                <w:color w:val="4472C4" w:themeColor="accent1"/>
              </w:rPr>
              <w:footnoteReference w:id="28"/>
            </w:r>
            <w:r w:rsidR="00256A77" w:rsidRPr="00650983">
              <w:t xml:space="preserve"> </w:t>
            </w:r>
            <w:r w:rsidR="007E03A3" w:rsidRPr="00650983">
              <w:t>According to an external evaluator, t</w:t>
            </w:r>
            <w:r w:rsidR="00256A77" w:rsidRPr="00650983">
              <w:t>he website of the National Non-Discrimination and Equality Tribunal</w:t>
            </w:r>
            <w:r w:rsidR="007E03A3" w:rsidRPr="00650983">
              <w:t xml:space="preserve"> </w:t>
            </w:r>
            <w:r w:rsidR="00935840" w:rsidRPr="00935840">
              <w:t>(</w:t>
            </w:r>
            <w:proofErr w:type="spellStart"/>
            <w:r w:rsidR="00935840" w:rsidRPr="00EB5754">
              <w:rPr>
                <w:i/>
                <w:iCs/>
              </w:rPr>
              <w:t>yhdenvertaisuus</w:t>
            </w:r>
            <w:proofErr w:type="spellEnd"/>
            <w:r w:rsidR="00935840" w:rsidRPr="00EB5754">
              <w:rPr>
                <w:i/>
                <w:iCs/>
              </w:rPr>
              <w:t xml:space="preserve">- </w:t>
            </w:r>
            <w:proofErr w:type="spellStart"/>
            <w:r w:rsidR="00935840" w:rsidRPr="00EB5754">
              <w:rPr>
                <w:i/>
                <w:iCs/>
              </w:rPr>
              <w:t>ja</w:t>
            </w:r>
            <w:proofErr w:type="spellEnd"/>
            <w:r w:rsidR="00935840" w:rsidRPr="00EB5754">
              <w:rPr>
                <w:i/>
                <w:iCs/>
              </w:rPr>
              <w:t xml:space="preserve"> </w:t>
            </w:r>
            <w:proofErr w:type="spellStart"/>
            <w:r w:rsidR="00935840" w:rsidRPr="00EB5754">
              <w:rPr>
                <w:i/>
                <w:iCs/>
              </w:rPr>
              <w:t>tasa-arvo</w:t>
            </w:r>
            <w:r w:rsidR="00935840" w:rsidRPr="00EB5754">
              <w:rPr>
                <w:i/>
                <w:iCs/>
              </w:rPr>
              <w:softHyphen/>
              <w:t>lautakunta</w:t>
            </w:r>
            <w:proofErr w:type="spellEnd"/>
            <w:r w:rsidR="00935840" w:rsidRPr="00EB5754">
              <w:rPr>
                <w:i/>
                <w:iCs/>
              </w:rPr>
              <w:t>/</w:t>
            </w:r>
            <w:proofErr w:type="spellStart"/>
            <w:r w:rsidR="00935840" w:rsidRPr="00EB5754">
              <w:rPr>
                <w:i/>
                <w:iCs/>
              </w:rPr>
              <w:t>diskrimi</w:t>
            </w:r>
            <w:r w:rsidR="00935840" w:rsidRPr="00EB5754">
              <w:rPr>
                <w:i/>
                <w:iCs/>
              </w:rPr>
              <w:softHyphen/>
              <w:t>ne</w:t>
            </w:r>
            <w:r w:rsidR="00935840" w:rsidRPr="00EB5754">
              <w:rPr>
                <w:i/>
                <w:iCs/>
              </w:rPr>
              <w:softHyphen/>
            </w:r>
            <w:r w:rsidR="00935840" w:rsidRPr="00EB5754">
              <w:rPr>
                <w:i/>
                <w:iCs/>
              </w:rPr>
              <w:softHyphen/>
              <w:t>rings</w:t>
            </w:r>
            <w:proofErr w:type="spellEnd"/>
            <w:r w:rsidR="00935840" w:rsidRPr="00EB5754">
              <w:rPr>
                <w:i/>
                <w:iCs/>
              </w:rPr>
              <w:t xml:space="preserve">- </w:t>
            </w:r>
            <w:proofErr w:type="spellStart"/>
            <w:r w:rsidR="00935840" w:rsidRPr="00EB5754">
              <w:rPr>
                <w:i/>
                <w:iCs/>
              </w:rPr>
              <w:t>och</w:t>
            </w:r>
            <w:proofErr w:type="spellEnd"/>
            <w:r w:rsidR="00935840" w:rsidRPr="00EB5754">
              <w:rPr>
                <w:i/>
                <w:iCs/>
              </w:rPr>
              <w:t xml:space="preserve"> </w:t>
            </w:r>
            <w:proofErr w:type="spellStart"/>
            <w:r w:rsidR="00935840" w:rsidRPr="00EB5754">
              <w:rPr>
                <w:i/>
                <w:iCs/>
              </w:rPr>
              <w:t>jämställdhetsnämnden</w:t>
            </w:r>
            <w:proofErr w:type="spellEnd"/>
            <w:r w:rsidR="00935840" w:rsidRPr="00935840">
              <w:t>)</w:t>
            </w:r>
            <w:r w:rsidR="00935840">
              <w:t xml:space="preserve"> </w:t>
            </w:r>
            <w:r w:rsidR="00FE0D54" w:rsidRPr="00650983">
              <w:t>meets the accessibility requirements for the most part.</w:t>
            </w:r>
            <w:r w:rsidR="00FE0D54" w:rsidRPr="00875A9F">
              <w:rPr>
                <w:rStyle w:val="FootnoteReference"/>
                <w:color w:val="4472C4" w:themeColor="accent1"/>
              </w:rPr>
              <w:footnoteReference w:id="29"/>
            </w:r>
            <w:r w:rsidR="0094174E" w:rsidRPr="00650983">
              <w:t xml:space="preserve"> In addition, all the above</w:t>
            </w:r>
            <w:r w:rsidR="00935840">
              <w:t xml:space="preserve"> </w:t>
            </w:r>
            <w:r w:rsidR="0094174E" w:rsidRPr="00650983">
              <w:t xml:space="preserve">mentioned authorities also provide materials </w:t>
            </w:r>
            <w:r w:rsidR="005F01CF" w:rsidRPr="00650983">
              <w:t xml:space="preserve">and information </w:t>
            </w:r>
            <w:r w:rsidR="0094174E" w:rsidRPr="00650983">
              <w:t xml:space="preserve">in alternative formats, such as </w:t>
            </w:r>
            <w:r w:rsidR="005F01CF" w:rsidRPr="00650983">
              <w:t>in print and per telephone</w:t>
            </w:r>
            <w:r w:rsidR="0094174E" w:rsidRPr="00650983">
              <w:t>.</w:t>
            </w:r>
          </w:p>
          <w:p w14:paraId="0184804D" w14:textId="1559268D" w:rsidR="001E5831" w:rsidRPr="00650983" w:rsidRDefault="001E5831" w:rsidP="002B3544">
            <w:pPr>
              <w:pStyle w:val="FRABodyText"/>
            </w:pPr>
          </w:p>
        </w:tc>
      </w:tr>
      <w:tr w:rsidR="00CC2CCC" w:rsidRPr="006E5B7F" w14:paraId="0ACA1222"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EE4B490" w14:textId="77777777" w:rsidR="00566A68" w:rsidRPr="00650983" w:rsidRDefault="00566A68" w:rsidP="002B3544">
            <w:pPr>
              <w:pStyle w:val="FRABodyText"/>
              <w:rPr>
                <w:i/>
                <w:iCs/>
              </w:rPr>
            </w:pPr>
            <w:r w:rsidRPr="00650983">
              <w:lastRenderedPageBreak/>
              <w:t>Have national courts considered cases related to the right to political participation of persons with disabilities?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48CCB52" w14:textId="023F6108" w:rsidR="00566A68" w:rsidRPr="00EB5754" w:rsidRDefault="00566A68" w:rsidP="002B3544">
            <w:pPr>
              <w:pStyle w:val="FRABodyText"/>
              <w:rPr>
                <w:i/>
                <w:iCs/>
              </w:rPr>
            </w:pPr>
            <w:r w:rsidRPr="00017BC0">
              <w:t>Yes, cases considered</w:t>
            </w:r>
            <w:r w:rsidRPr="00650983">
              <w:t xml:space="preserve"> </w:t>
            </w:r>
          </w:p>
          <w:p w14:paraId="0860E57B" w14:textId="77777777" w:rsidR="00566A68" w:rsidRPr="00650983" w:rsidRDefault="00566A68" w:rsidP="002B3544">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8504740" w14:textId="5FE887B0" w:rsidR="003F3997" w:rsidRPr="00650983" w:rsidRDefault="009F6261" w:rsidP="002B3544">
            <w:pPr>
              <w:pStyle w:val="FRABodyText"/>
              <w:rPr>
                <w:i/>
                <w:iCs/>
              </w:rPr>
            </w:pPr>
            <w:r w:rsidRPr="00650983">
              <w:t xml:space="preserve">In </w:t>
            </w:r>
            <w:r w:rsidRPr="00650983">
              <w:rPr>
                <w:b/>
                <w:bCs/>
              </w:rPr>
              <w:t>Finland</w:t>
            </w:r>
            <w:r w:rsidRPr="00650983">
              <w:t xml:space="preserve">, </w:t>
            </w:r>
            <w:bookmarkStart w:id="26" w:name="_Hlk149141821"/>
            <w:r w:rsidR="005448AF" w:rsidRPr="00650983">
              <w:t>there have been very few court cases relating to political participation</w:t>
            </w:r>
            <w:r w:rsidR="00CF2894" w:rsidRPr="00650983">
              <w:t xml:space="preserve"> on the whole</w:t>
            </w:r>
            <w:r w:rsidR="005448AF" w:rsidRPr="00650983">
              <w:t>, as also observed by ODIHR.</w:t>
            </w:r>
            <w:r w:rsidR="005448AF" w:rsidRPr="00875A9F">
              <w:rPr>
                <w:color w:val="4472C4" w:themeColor="accent1"/>
                <w:vertAlign w:val="superscript"/>
              </w:rPr>
              <w:footnoteReference w:id="30"/>
            </w:r>
            <w:r w:rsidR="00CF2894" w:rsidRPr="00650983">
              <w:t xml:space="preserve"> T</w:t>
            </w:r>
            <w:r w:rsidR="00605944" w:rsidRPr="00650983">
              <w:t xml:space="preserve">he </w:t>
            </w:r>
            <w:bookmarkStart w:id="27" w:name="_Hlk153467306"/>
            <w:r w:rsidR="00605944" w:rsidRPr="00650983">
              <w:t>National Non-Discrimination and Equality Tribunal</w:t>
            </w:r>
            <w:bookmarkEnd w:id="26"/>
            <w:r w:rsidR="00605944" w:rsidRPr="00650983">
              <w:t xml:space="preserve"> </w:t>
            </w:r>
            <w:r w:rsidR="000217C2" w:rsidRPr="00650983">
              <w:t>(</w:t>
            </w:r>
            <w:proofErr w:type="spellStart"/>
            <w:r w:rsidR="000217C2" w:rsidRPr="00EB5754">
              <w:rPr>
                <w:i/>
                <w:iCs/>
              </w:rPr>
              <w:t>yhdenvertaisuus</w:t>
            </w:r>
            <w:proofErr w:type="spellEnd"/>
            <w:r w:rsidR="000217C2" w:rsidRPr="00EB5754">
              <w:rPr>
                <w:i/>
                <w:iCs/>
              </w:rPr>
              <w:t xml:space="preserve">- </w:t>
            </w:r>
            <w:proofErr w:type="spellStart"/>
            <w:r w:rsidR="000217C2" w:rsidRPr="00EB5754">
              <w:rPr>
                <w:i/>
                <w:iCs/>
              </w:rPr>
              <w:t>ja</w:t>
            </w:r>
            <w:proofErr w:type="spellEnd"/>
            <w:r w:rsidR="000217C2" w:rsidRPr="00EB5754">
              <w:rPr>
                <w:i/>
                <w:iCs/>
              </w:rPr>
              <w:t xml:space="preserve"> </w:t>
            </w:r>
            <w:proofErr w:type="spellStart"/>
            <w:r w:rsidR="000217C2" w:rsidRPr="00EB5754">
              <w:rPr>
                <w:i/>
                <w:iCs/>
              </w:rPr>
              <w:t>tasa-arvolautakunta</w:t>
            </w:r>
            <w:proofErr w:type="spellEnd"/>
            <w:r w:rsidR="000217C2" w:rsidRPr="00EB5754">
              <w:rPr>
                <w:i/>
                <w:iCs/>
              </w:rPr>
              <w:t>/</w:t>
            </w:r>
            <w:proofErr w:type="spellStart"/>
            <w:r w:rsidR="000217C2" w:rsidRPr="00EB5754">
              <w:rPr>
                <w:i/>
                <w:iCs/>
              </w:rPr>
              <w:t>diskriminerings</w:t>
            </w:r>
            <w:proofErr w:type="spellEnd"/>
            <w:r w:rsidR="000217C2" w:rsidRPr="00EB5754">
              <w:rPr>
                <w:i/>
                <w:iCs/>
              </w:rPr>
              <w:t xml:space="preserve">- </w:t>
            </w:r>
            <w:proofErr w:type="spellStart"/>
            <w:r w:rsidR="000217C2" w:rsidRPr="00EB5754">
              <w:rPr>
                <w:i/>
                <w:iCs/>
              </w:rPr>
              <w:t>och</w:t>
            </w:r>
            <w:proofErr w:type="spellEnd"/>
            <w:r w:rsidR="000217C2" w:rsidRPr="00EB5754">
              <w:rPr>
                <w:i/>
                <w:iCs/>
              </w:rPr>
              <w:t xml:space="preserve"> </w:t>
            </w:r>
            <w:proofErr w:type="spellStart"/>
            <w:r w:rsidR="000217C2" w:rsidRPr="00EB5754">
              <w:rPr>
                <w:i/>
                <w:iCs/>
              </w:rPr>
              <w:t>jämställd</w:t>
            </w:r>
            <w:r w:rsidR="000217C2" w:rsidRPr="00EB5754">
              <w:rPr>
                <w:i/>
                <w:iCs/>
              </w:rPr>
              <w:softHyphen/>
              <w:t>hets</w:t>
            </w:r>
            <w:r w:rsidR="000217C2" w:rsidRPr="00EB5754">
              <w:rPr>
                <w:i/>
                <w:iCs/>
              </w:rPr>
              <w:softHyphen/>
              <w:t>nämnden</w:t>
            </w:r>
            <w:bookmarkEnd w:id="27"/>
            <w:proofErr w:type="spellEnd"/>
            <w:r w:rsidR="000217C2" w:rsidRPr="00650983">
              <w:t>)</w:t>
            </w:r>
            <w:r w:rsidR="00605944" w:rsidRPr="00650983">
              <w:t xml:space="preserve"> handled a few cases concerning </w:t>
            </w:r>
            <w:r w:rsidR="00CF2894" w:rsidRPr="00650983">
              <w:t xml:space="preserve">the political participation of persons with disabilities </w:t>
            </w:r>
            <w:r w:rsidR="00605944" w:rsidRPr="00650983">
              <w:t>in 2017–2018.</w:t>
            </w:r>
            <w:r w:rsidR="00066630" w:rsidRPr="00875A9F">
              <w:rPr>
                <w:rStyle w:val="FootnoteReference"/>
                <w:color w:val="4472C4" w:themeColor="accent1"/>
              </w:rPr>
              <w:footnoteReference w:id="31"/>
            </w:r>
            <w:r w:rsidR="00605944" w:rsidRPr="00650983">
              <w:t xml:space="preserve"> One of the</w:t>
            </w:r>
            <w:r w:rsidRPr="00650983">
              <w:t>se</w:t>
            </w:r>
            <w:r w:rsidR="00605944" w:rsidRPr="00650983">
              <w:t xml:space="preserve"> cases concerned the use of one</w:t>
            </w:r>
            <w:r w:rsidR="00203939">
              <w:t>’</w:t>
            </w:r>
            <w:r w:rsidR="00605944" w:rsidRPr="00650983">
              <w:t>s own assistant when voting,</w:t>
            </w:r>
            <w:r w:rsidR="00D12A2A" w:rsidRPr="00875A9F">
              <w:rPr>
                <w:rStyle w:val="FootnoteReference"/>
                <w:color w:val="4472C4" w:themeColor="accent1"/>
              </w:rPr>
              <w:footnoteReference w:id="32"/>
            </w:r>
            <w:r w:rsidR="00605944" w:rsidRPr="00650983">
              <w:t xml:space="preserve"> and the others accessibility of election events </w:t>
            </w:r>
            <w:r w:rsidR="00066630" w:rsidRPr="00650983">
              <w:t>organized</w:t>
            </w:r>
            <w:r w:rsidR="00605944" w:rsidRPr="00650983">
              <w:t xml:space="preserve"> by political associations.</w:t>
            </w:r>
            <w:r w:rsidR="00066630" w:rsidRPr="00875A9F">
              <w:rPr>
                <w:rStyle w:val="FootnoteReference"/>
                <w:color w:val="4472C4" w:themeColor="accent1"/>
              </w:rPr>
              <w:footnoteReference w:id="33"/>
            </w:r>
            <w:r w:rsidR="00605944" w:rsidRPr="00650983">
              <w:t xml:space="preserve"> One of the </w:t>
            </w:r>
            <w:r w:rsidR="00C27045" w:rsidRPr="00650983">
              <w:t xml:space="preserve">latter </w:t>
            </w:r>
            <w:r w:rsidR="00605944" w:rsidRPr="00650983">
              <w:t>cases proceeded all the way to the Supreme Administrative Court.</w:t>
            </w:r>
            <w:r w:rsidR="00066630" w:rsidRPr="00875A9F">
              <w:rPr>
                <w:rStyle w:val="FootnoteReference"/>
                <w:color w:val="4472C4" w:themeColor="accent1"/>
              </w:rPr>
              <w:footnoteReference w:id="34"/>
            </w:r>
            <w:r w:rsidR="00605944" w:rsidRPr="00650983">
              <w:t xml:space="preserve"> In all but one case, the prohibition of discrimi</w:t>
            </w:r>
            <w:r w:rsidR="000217C2" w:rsidRPr="00650983">
              <w:softHyphen/>
            </w:r>
            <w:r w:rsidR="00605944" w:rsidRPr="00650983">
              <w:t>nation was found to have been violated.</w:t>
            </w:r>
            <w:r w:rsidR="00333650" w:rsidRPr="00650983">
              <w:t xml:space="preserve"> </w:t>
            </w:r>
            <w:r w:rsidR="00F77457" w:rsidRPr="00650983">
              <w:t>No such cases were handled</w:t>
            </w:r>
            <w:r w:rsidR="002065DA" w:rsidRPr="00650983">
              <w:rPr>
                <w:rFonts w:eastAsia="Times New Roman"/>
                <w:lang w:eastAsia="en-GB" w:bidi="ar-SA"/>
              </w:rPr>
              <w:t xml:space="preserve"> by the </w:t>
            </w:r>
            <w:r w:rsidR="002065DA" w:rsidRPr="00650983">
              <w:t>Non-Discrimination and Equality Tribunal</w:t>
            </w:r>
            <w:r w:rsidR="00F77457" w:rsidRPr="00650983">
              <w:t xml:space="preserve"> in</w:t>
            </w:r>
            <w:r w:rsidR="00333650" w:rsidRPr="00650983">
              <w:t xml:space="preserve"> 2019–2022.</w:t>
            </w:r>
            <w:r w:rsidR="002F0D3C" w:rsidRPr="00875A9F">
              <w:rPr>
                <w:color w:val="4472C4" w:themeColor="accent1"/>
              </w:rPr>
              <w:t xml:space="preserve"> </w:t>
            </w:r>
          </w:p>
        </w:tc>
      </w:tr>
      <w:tr w:rsidR="00CC2CCC" w:rsidRPr="006E5B7F" w14:paraId="2DA61EC4"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5265874" w14:textId="77777777" w:rsidR="00566A68" w:rsidRPr="00650983" w:rsidRDefault="00566A68" w:rsidP="002B3544">
            <w:pPr>
              <w:pStyle w:val="FRABodyText"/>
              <w:rPr>
                <w:i/>
                <w:iCs/>
              </w:rPr>
            </w:pPr>
            <w:r w:rsidRPr="00650983">
              <w:lastRenderedPageBreak/>
              <w:t>Have non-judicial complaints mechanisms considered cases related to the right to political participation of persons with disabilities?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F17EE7F" w14:textId="51DAC48E" w:rsidR="00566A68" w:rsidRPr="00EB5754" w:rsidRDefault="00566A68" w:rsidP="002B3544">
            <w:pPr>
              <w:pStyle w:val="FRABodyText"/>
              <w:rPr>
                <w:i/>
                <w:iCs/>
              </w:rPr>
            </w:pPr>
            <w:r w:rsidRPr="00017BC0">
              <w:t>Yes, cases considered</w:t>
            </w:r>
            <w:r w:rsidRPr="00650983">
              <w:t xml:space="preserve">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254C8F0" w14:textId="5A70B90A" w:rsidR="00EF083A" w:rsidRPr="00650983" w:rsidRDefault="007B2069" w:rsidP="002B3544">
            <w:pPr>
              <w:pStyle w:val="FRABodyText"/>
              <w:rPr>
                <w:i/>
                <w:iCs/>
              </w:rPr>
            </w:pPr>
            <w:r w:rsidRPr="00650983">
              <w:t xml:space="preserve">In </w:t>
            </w:r>
            <w:r w:rsidRPr="00650983">
              <w:rPr>
                <w:b/>
                <w:bCs/>
              </w:rPr>
              <w:t>Finland</w:t>
            </w:r>
            <w:r w:rsidRPr="00650983">
              <w:t xml:space="preserve">, the Parliamentary Ombudsman </w:t>
            </w:r>
            <w:r w:rsidR="00460252" w:rsidRPr="00650983">
              <w:t>(</w:t>
            </w:r>
            <w:proofErr w:type="spellStart"/>
            <w:r w:rsidR="00460252" w:rsidRPr="00EB5754">
              <w:rPr>
                <w:i/>
                <w:iCs/>
              </w:rPr>
              <w:t>oikeusasiamies</w:t>
            </w:r>
            <w:proofErr w:type="spellEnd"/>
            <w:r w:rsidR="00460252" w:rsidRPr="00EB5754">
              <w:rPr>
                <w:i/>
                <w:iCs/>
              </w:rPr>
              <w:t>/</w:t>
            </w:r>
            <w:proofErr w:type="spellStart"/>
            <w:r w:rsidR="00460252" w:rsidRPr="00EB5754">
              <w:rPr>
                <w:i/>
                <w:iCs/>
              </w:rPr>
              <w:t>justitie</w:t>
            </w:r>
            <w:r w:rsidR="0090730C" w:rsidRPr="00EB5754">
              <w:rPr>
                <w:i/>
                <w:iCs/>
              </w:rPr>
              <w:softHyphen/>
            </w:r>
            <w:r w:rsidR="00460252" w:rsidRPr="00EB5754">
              <w:rPr>
                <w:i/>
                <w:iCs/>
              </w:rPr>
              <w:t>ombudsman</w:t>
            </w:r>
            <w:r w:rsidR="00743E10" w:rsidRPr="00EB5754">
              <w:rPr>
                <w:i/>
                <w:iCs/>
              </w:rPr>
              <w:t>nen</w:t>
            </w:r>
            <w:proofErr w:type="spellEnd"/>
            <w:r w:rsidR="00460252" w:rsidRPr="00650983">
              <w:t xml:space="preserve">) </w:t>
            </w:r>
            <w:r w:rsidRPr="00650983">
              <w:t>ha</w:t>
            </w:r>
            <w:r w:rsidR="00337969" w:rsidRPr="00650983">
              <w:t>s</w:t>
            </w:r>
            <w:r w:rsidRPr="00650983">
              <w:t xml:space="preserve"> </w:t>
            </w:r>
            <w:r w:rsidR="001872ED" w:rsidRPr="00650983">
              <w:t>handled</w:t>
            </w:r>
            <w:r w:rsidRPr="00650983">
              <w:t xml:space="preserve"> </w:t>
            </w:r>
            <w:r w:rsidR="00337969" w:rsidRPr="00650983">
              <w:t xml:space="preserve">several </w:t>
            </w:r>
            <w:r w:rsidR="001872ED" w:rsidRPr="00650983">
              <w:t>complaints</w:t>
            </w:r>
            <w:r w:rsidR="00337969" w:rsidRPr="00650983">
              <w:t xml:space="preserve"> related to the right to political participation of persons with disabilities. </w:t>
            </w:r>
            <w:r w:rsidR="0086384C" w:rsidRPr="00650983">
              <w:t>Recent</w:t>
            </w:r>
            <w:r w:rsidR="0090730C" w:rsidRPr="00650983">
              <w:t xml:space="preserve"> </w:t>
            </w:r>
            <w:r w:rsidR="001872ED" w:rsidRPr="00650983">
              <w:t>complaints</w:t>
            </w:r>
            <w:r w:rsidR="0090730C" w:rsidRPr="00650983">
              <w:t xml:space="preserve"> have concerned e.g. accessibility and equality</w:t>
            </w:r>
            <w:r w:rsidR="001872ED" w:rsidRPr="00650983">
              <w:t>,</w:t>
            </w:r>
            <w:r w:rsidR="0086384C" w:rsidRPr="00875A9F">
              <w:rPr>
                <w:rStyle w:val="FootnoteReference"/>
                <w:color w:val="4472C4" w:themeColor="accent1"/>
              </w:rPr>
              <w:footnoteReference w:id="35"/>
            </w:r>
            <w:r w:rsidR="0090730C" w:rsidRPr="00650983">
              <w:t xml:space="preserve"> as well as lighting of polling stations and safeguarding the secrecy of elections.</w:t>
            </w:r>
            <w:r w:rsidR="00363998" w:rsidRPr="00875A9F">
              <w:rPr>
                <w:rStyle w:val="FootnoteReference"/>
                <w:color w:val="4472C4" w:themeColor="accent1"/>
              </w:rPr>
              <w:footnoteReference w:id="36"/>
            </w:r>
            <w:r w:rsidR="0090730C" w:rsidRPr="00650983">
              <w:t xml:space="preserve"> </w:t>
            </w:r>
            <w:r w:rsidR="00337969" w:rsidRPr="00650983">
              <w:t xml:space="preserve">In the context of the 2023 parliamentary elections </w:t>
            </w:r>
            <w:r w:rsidR="00005CE9" w:rsidRPr="00650983">
              <w:t xml:space="preserve">two cases were filed concerning voting arrangements in a psychiatric hospital </w:t>
            </w:r>
            <w:r w:rsidR="002A6C44" w:rsidRPr="00650983">
              <w:t>[</w:t>
            </w:r>
            <w:r w:rsidR="00005CE9" w:rsidRPr="00650983">
              <w:t>these are most likely being decided before the end of the year and this report will be updated accordingly</w:t>
            </w:r>
            <w:r w:rsidR="002A6C44" w:rsidRPr="00650983">
              <w:t>]</w:t>
            </w:r>
            <w:r w:rsidR="00005CE9" w:rsidRPr="00650983">
              <w:t>.</w:t>
            </w:r>
            <w:r w:rsidR="002A6C44" w:rsidRPr="00FE6F8E">
              <w:rPr>
                <w:rStyle w:val="FootnoteReference"/>
                <w:color w:val="2E74B5" w:themeColor="accent5" w:themeShade="BF"/>
              </w:rPr>
              <w:footnoteReference w:id="37"/>
            </w:r>
            <w:r w:rsidR="002A6C44" w:rsidRPr="00650983">
              <w:t xml:space="preserve"> </w:t>
            </w:r>
            <w:r w:rsidR="0090730C" w:rsidRPr="00650983">
              <w:t xml:space="preserve">In addition to </w:t>
            </w:r>
            <w:r w:rsidR="005C4B31" w:rsidRPr="00650983">
              <w:t xml:space="preserve">handling </w:t>
            </w:r>
            <w:r w:rsidR="0090730C" w:rsidRPr="00650983">
              <w:t xml:space="preserve">complaints, the Parliamentary Ombudsman has </w:t>
            </w:r>
            <w:r w:rsidR="005C4B31" w:rsidRPr="00650983">
              <w:t>since 201</w:t>
            </w:r>
            <w:r w:rsidR="00743E10">
              <w:t>5</w:t>
            </w:r>
            <w:r w:rsidR="005C4B31" w:rsidRPr="00650983">
              <w:t xml:space="preserve"> </w:t>
            </w:r>
            <w:r w:rsidR="0090730C" w:rsidRPr="00650983">
              <w:t xml:space="preserve">regularly inspected polling stations, paying particular attention to </w:t>
            </w:r>
            <w:r w:rsidR="00743E10">
              <w:t>accessibility</w:t>
            </w:r>
            <w:r w:rsidR="00D87656" w:rsidRPr="00650983">
              <w:t xml:space="preserve"> </w:t>
            </w:r>
            <w:r w:rsidR="00743E10">
              <w:t xml:space="preserve">but also </w:t>
            </w:r>
            <w:r w:rsidR="00D87656" w:rsidRPr="00650983">
              <w:t>other aspects relevant for the realization of dis</w:t>
            </w:r>
            <w:r w:rsidR="00743E10">
              <w:softHyphen/>
            </w:r>
            <w:r w:rsidR="00D87656" w:rsidRPr="00650983">
              <w:t>abled persons</w:t>
            </w:r>
            <w:r w:rsidR="00743E10">
              <w:t>’</w:t>
            </w:r>
            <w:r w:rsidR="00D87656" w:rsidRPr="00650983">
              <w:t xml:space="preserve"> voting rights (see </w:t>
            </w:r>
            <w:r w:rsidR="0086384C" w:rsidRPr="00650983">
              <w:t xml:space="preserve">further </w:t>
            </w:r>
            <w:r w:rsidR="00D87656" w:rsidRPr="00650983">
              <w:t xml:space="preserve">below under </w:t>
            </w:r>
            <w:r w:rsidR="00743E10">
              <w:t>“positive develop</w:t>
            </w:r>
            <w:r w:rsidR="00743E10">
              <w:softHyphen/>
              <w:t>ments”</w:t>
            </w:r>
            <w:r w:rsidR="00D87656" w:rsidRPr="00650983">
              <w:t>)</w:t>
            </w:r>
            <w:r w:rsidR="002A6C44" w:rsidRPr="00650983">
              <w:t>.</w:t>
            </w:r>
            <w:r w:rsidR="002065DA" w:rsidRPr="00FE6F8E">
              <w:rPr>
                <w:rStyle w:val="FootnoteReference"/>
                <w:color w:val="2E74B5" w:themeColor="accent5" w:themeShade="BF"/>
              </w:rPr>
              <w:footnoteReference w:id="38"/>
            </w:r>
            <w:r w:rsidR="001872ED" w:rsidRPr="00650983">
              <w:t xml:space="preserve"> </w:t>
            </w:r>
          </w:p>
          <w:p w14:paraId="04257FD7" w14:textId="7BF8FDEC" w:rsidR="00B64498" w:rsidRPr="00650983" w:rsidRDefault="00B64498" w:rsidP="002B3544">
            <w:pPr>
              <w:pStyle w:val="FRABodyText"/>
            </w:pPr>
          </w:p>
        </w:tc>
      </w:tr>
      <w:tr w:rsidR="00CC2CCC" w:rsidRPr="006E5B7F" w14:paraId="35CEA629"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8F71FDD" w14:textId="3C64D6FD" w:rsidR="00566A68" w:rsidRPr="00650983" w:rsidRDefault="00566A68" w:rsidP="002B3544">
            <w:pPr>
              <w:pStyle w:val="FRABodyText"/>
              <w:rPr>
                <w:i/>
                <w:iCs/>
              </w:rPr>
            </w:pPr>
            <w:r w:rsidRPr="00650983">
              <w:lastRenderedPageBreak/>
              <w:t>Are persons with disabilities members of the current national parliament?</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199E10B" w14:textId="77777777" w:rsidR="00566A68" w:rsidRPr="00650983" w:rsidRDefault="00566A68" w:rsidP="002B3544">
            <w:pPr>
              <w:pStyle w:val="FRABodyText"/>
              <w:rPr>
                <w:i/>
                <w:iCs/>
              </w:rPr>
            </w:pPr>
            <w:r w:rsidRPr="00017BC0">
              <w:t>No data identified</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8087B7B" w14:textId="5284CAEC" w:rsidR="00460252" w:rsidRPr="00650983" w:rsidRDefault="00C3788A" w:rsidP="002B3544">
            <w:pPr>
              <w:pStyle w:val="FRABodyText"/>
              <w:rPr>
                <w:i/>
                <w:iCs/>
              </w:rPr>
            </w:pPr>
            <w:r w:rsidRPr="00650983">
              <w:t xml:space="preserve">In </w:t>
            </w:r>
            <w:r w:rsidRPr="00650983">
              <w:rPr>
                <w:b/>
                <w:bCs/>
              </w:rPr>
              <w:t>Finland,</w:t>
            </w:r>
            <w:r w:rsidRPr="00650983">
              <w:t xml:space="preserve"> there is no data being collected on potential disabilities of the members of Parliament</w:t>
            </w:r>
            <w:r w:rsidR="00037CDA" w:rsidRPr="00650983">
              <w:t>, according</w:t>
            </w:r>
            <w:r w:rsidR="00D12A2A" w:rsidRPr="00650983">
              <w:t xml:space="preserve"> to the information service</w:t>
            </w:r>
            <w:r w:rsidR="00B64498" w:rsidRPr="00650983">
              <w:t xml:space="preserve"> of the Library of Parliament</w:t>
            </w:r>
            <w:r w:rsidRPr="00650983">
              <w:t>.</w:t>
            </w:r>
            <w:r w:rsidR="00D12A2A" w:rsidRPr="00650983">
              <w:t xml:space="preserve"> </w:t>
            </w:r>
            <w:r w:rsidRPr="00650983">
              <w:t>The information service reports</w:t>
            </w:r>
            <w:r w:rsidR="00743E10">
              <w:t>,</w:t>
            </w:r>
            <w:r w:rsidRPr="00650983">
              <w:t xml:space="preserve"> </w:t>
            </w:r>
            <w:r w:rsidR="008F5000" w:rsidRPr="00650983">
              <w:t>regardless</w:t>
            </w:r>
            <w:r w:rsidR="00743E10">
              <w:t>,</w:t>
            </w:r>
            <w:r w:rsidRPr="00650983">
              <w:t xml:space="preserve"> that n</w:t>
            </w:r>
            <w:r w:rsidR="00D12A2A" w:rsidRPr="00650983">
              <w:t xml:space="preserve">one of the </w:t>
            </w:r>
            <w:r w:rsidRPr="00650983">
              <w:t xml:space="preserve">current </w:t>
            </w:r>
            <w:r w:rsidR="00D12A2A" w:rsidRPr="00650983">
              <w:t xml:space="preserve">MPs have indicated that they </w:t>
            </w:r>
            <w:r w:rsidR="008F5000" w:rsidRPr="00650983">
              <w:t xml:space="preserve">would </w:t>
            </w:r>
            <w:r w:rsidR="00D12A2A" w:rsidRPr="00650983">
              <w:t>need assistive devices</w:t>
            </w:r>
            <w:r w:rsidRPr="00650983">
              <w:t xml:space="preserve">, which would </w:t>
            </w:r>
            <w:r w:rsidR="008F5000" w:rsidRPr="00650983">
              <w:t>seem to suggest</w:t>
            </w:r>
            <w:r w:rsidRPr="00650983">
              <w:t xml:space="preserve"> that no persons with disabilities are among the current members of Parliament</w:t>
            </w:r>
            <w:r w:rsidR="00D12A2A" w:rsidRPr="00650983">
              <w:t>.</w:t>
            </w:r>
            <w:r w:rsidR="00D12A2A" w:rsidRPr="000F6701">
              <w:rPr>
                <w:rStyle w:val="FootnoteReference"/>
                <w:color w:val="4472C4" w:themeColor="accent1"/>
              </w:rPr>
              <w:footnoteReference w:id="39"/>
            </w:r>
            <w:r w:rsidR="00C22A5A" w:rsidRPr="000F6701">
              <w:rPr>
                <w:color w:val="4472C4" w:themeColor="accent1"/>
              </w:rPr>
              <w:t xml:space="preserve"> </w:t>
            </w:r>
          </w:p>
          <w:p w14:paraId="675B54BC" w14:textId="775D973A" w:rsidR="008F5000" w:rsidRPr="00650983" w:rsidRDefault="008F5000" w:rsidP="002B3544">
            <w:pPr>
              <w:pStyle w:val="FRABodyText"/>
            </w:pPr>
          </w:p>
        </w:tc>
      </w:tr>
      <w:tr w:rsidR="00CC2CCC" w:rsidRPr="006E5B7F" w14:paraId="33D1B0E8"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53F6FC9" w14:textId="6423739D" w:rsidR="00566A68" w:rsidRPr="00863003" w:rsidRDefault="00566A68" w:rsidP="002B3544">
            <w:pPr>
              <w:pStyle w:val="FRABodyText"/>
              <w:rPr>
                <w:i/>
                <w:iCs/>
              </w:rPr>
            </w:pPr>
            <w:r w:rsidRPr="00863003">
              <w:t>Is data available on the number of members of municipal</w:t>
            </w:r>
            <w:r w:rsidR="00172528" w:rsidRPr="00863003">
              <w:t>/regional</w:t>
            </w:r>
            <w:r w:rsidRPr="00863003">
              <w:t xml:space="preserve"> governments who have a disability?</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1503E10" w14:textId="77777777" w:rsidR="00566A68" w:rsidRPr="00863003" w:rsidRDefault="00566A68" w:rsidP="002B3544">
            <w:pPr>
              <w:pStyle w:val="FRABodyText"/>
              <w:rPr>
                <w:i/>
                <w:iCs/>
              </w:rPr>
            </w:pPr>
            <w:r w:rsidRPr="00017BC0">
              <w:t>No data available</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9A8AFD8" w14:textId="21B298D4" w:rsidR="00C467AF" w:rsidRPr="00743E10" w:rsidRDefault="00C467AF" w:rsidP="002B3544">
            <w:pPr>
              <w:pStyle w:val="FRABodyText"/>
              <w:rPr>
                <w:i/>
                <w:iCs/>
              </w:rPr>
            </w:pPr>
            <w:r w:rsidRPr="00743E10">
              <w:t xml:space="preserve">In </w:t>
            </w:r>
            <w:r w:rsidRPr="00743E10">
              <w:rPr>
                <w:b/>
                <w:bCs/>
              </w:rPr>
              <w:t>Finland</w:t>
            </w:r>
            <w:r w:rsidRPr="00743E10">
              <w:t xml:space="preserve">, Statistics Finland </w:t>
            </w:r>
            <w:r w:rsidR="000F6701">
              <w:t>(</w:t>
            </w:r>
            <w:proofErr w:type="spellStart"/>
            <w:r w:rsidR="000F6701" w:rsidRPr="00EB5754">
              <w:rPr>
                <w:i/>
                <w:iCs/>
              </w:rPr>
              <w:t>Tilastokeskus</w:t>
            </w:r>
            <w:proofErr w:type="spellEnd"/>
            <w:r w:rsidR="000F6701" w:rsidRPr="00EB5754">
              <w:rPr>
                <w:i/>
                <w:iCs/>
              </w:rPr>
              <w:t>/</w:t>
            </w:r>
            <w:proofErr w:type="spellStart"/>
            <w:r w:rsidR="000F6701" w:rsidRPr="00EB5754">
              <w:rPr>
                <w:i/>
                <w:iCs/>
              </w:rPr>
              <w:t>Statistikcentralen</w:t>
            </w:r>
            <w:proofErr w:type="spellEnd"/>
            <w:r w:rsidR="000F6701">
              <w:t xml:space="preserve">) </w:t>
            </w:r>
            <w:r w:rsidRPr="00743E10">
              <w:t xml:space="preserve">and the Finnish Association of Municipalities </w:t>
            </w:r>
            <w:r w:rsidR="000F6701">
              <w:t>(</w:t>
            </w:r>
            <w:proofErr w:type="spellStart"/>
            <w:r w:rsidR="000F6701" w:rsidRPr="00EB5754">
              <w:rPr>
                <w:i/>
                <w:iCs/>
              </w:rPr>
              <w:t>Kuntaliitto</w:t>
            </w:r>
            <w:proofErr w:type="spellEnd"/>
            <w:r w:rsidR="000F6701" w:rsidRPr="00EB5754">
              <w:rPr>
                <w:i/>
                <w:iCs/>
              </w:rPr>
              <w:t>/</w:t>
            </w:r>
            <w:proofErr w:type="spellStart"/>
            <w:r w:rsidR="000F6701" w:rsidRPr="00EB5754">
              <w:rPr>
                <w:i/>
                <w:iCs/>
              </w:rPr>
              <w:t>Kommunförbundet</w:t>
            </w:r>
            <w:proofErr w:type="spellEnd"/>
            <w:r w:rsidR="000F6701">
              <w:t xml:space="preserve">) </w:t>
            </w:r>
            <w:r w:rsidRPr="00743E10">
              <w:t>inform that they do not collect any data on the number of members of municipal or regional councils who have a disability.</w:t>
            </w:r>
            <w:r w:rsidRPr="000F6701">
              <w:rPr>
                <w:rStyle w:val="FootnoteReference"/>
                <w:color w:val="4472C4" w:themeColor="accent1"/>
              </w:rPr>
              <w:footnoteReference w:id="40"/>
            </w:r>
            <w:r w:rsidR="008E744E" w:rsidRPr="00743E10">
              <w:t xml:space="preserve"> N</w:t>
            </w:r>
            <w:r w:rsidR="00F9468F">
              <w:t>or is such data collected by</w:t>
            </w:r>
            <w:r w:rsidR="008E744E" w:rsidRPr="00743E10">
              <w:t xml:space="preserve"> the </w:t>
            </w:r>
            <w:r w:rsidR="008E744E" w:rsidRPr="00F9468F">
              <w:t>Ministry of Justice</w:t>
            </w:r>
            <w:r w:rsidR="000F6701">
              <w:t xml:space="preserve"> (</w:t>
            </w:r>
            <w:proofErr w:type="spellStart"/>
            <w:r w:rsidR="000F6701" w:rsidRPr="00EB5754">
              <w:rPr>
                <w:i/>
                <w:iCs/>
              </w:rPr>
              <w:t>oikeusministeriö</w:t>
            </w:r>
            <w:proofErr w:type="spellEnd"/>
            <w:r w:rsidR="000F6701" w:rsidRPr="00EB5754">
              <w:rPr>
                <w:i/>
                <w:iCs/>
              </w:rPr>
              <w:t>/</w:t>
            </w:r>
            <w:proofErr w:type="spellStart"/>
            <w:r w:rsidR="000F6701" w:rsidRPr="00EB5754">
              <w:rPr>
                <w:i/>
                <w:iCs/>
              </w:rPr>
              <w:t>justitieministeriet</w:t>
            </w:r>
            <w:proofErr w:type="spellEnd"/>
            <w:r w:rsidR="000F6701">
              <w:t>)</w:t>
            </w:r>
            <w:r w:rsidR="00F9468F">
              <w:t>.</w:t>
            </w:r>
            <w:r w:rsidR="00F9468F" w:rsidRPr="000F6701">
              <w:rPr>
                <w:rStyle w:val="FootnoteReference"/>
                <w:color w:val="4472C4" w:themeColor="accent1"/>
              </w:rPr>
              <w:footnoteReference w:id="41"/>
            </w:r>
          </w:p>
          <w:p w14:paraId="7E6996F8" w14:textId="3EEE55DE" w:rsidR="00037CDA" w:rsidRPr="00743E10" w:rsidRDefault="00037CDA" w:rsidP="002B3544">
            <w:pPr>
              <w:pStyle w:val="FRABodyText"/>
            </w:pPr>
          </w:p>
        </w:tc>
      </w:tr>
      <w:tr w:rsidR="00CC2CCC" w:rsidRPr="006E5B7F" w14:paraId="0D73E353"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FFC1427" w14:textId="55EA3B26" w:rsidR="00566A68" w:rsidRPr="003D7638" w:rsidRDefault="00566A68" w:rsidP="002B3544">
            <w:pPr>
              <w:pStyle w:val="FRABodyText"/>
              <w:rPr>
                <w:i/>
                <w:iCs/>
              </w:rPr>
            </w:pPr>
            <w:r w:rsidRPr="003D7638">
              <w:t>Is training for election authorities and officials on non-discrimination on the grounds of disability, accessibility and accommodation required by law?</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F06277C" w14:textId="20210B69" w:rsidR="00566A68" w:rsidRPr="00853C2E" w:rsidRDefault="00566A68" w:rsidP="002B3544">
            <w:pPr>
              <w:pStyle w:val="FRABodyText"/>
              <w:rPr>
                <w:i/>
                <w:iCs/>
              </w:rPr>
            </w:pPr>
            <w:r w:rsidRPr="00017BC0">
              <w:t>Training not required by law, but some relevant training or guidance available</w:t>
            </w:r>
            <w:r w:rsidRPr="003D7638">
              <w:t xml:space="preserve">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29CC4B1" w14:textId="2D6D5C4F" w:rsidR="00460252" w:rsidRPr="00743E10" w:rsidRDefault="008947D1" w:rsidP="002B3544">
            <w:pPr>
              <w:pStyle w:val="FRABodyText"/>
              <w:rPr>
                <w:i/>
                <w:iCs/>
              </w:rPr>
            </w:pPr>
            <w:r w:rsidRPr="00743E10">
              <w:t xml:space="preserve">In </w:t>
            </w:r>
            <w:r w:rsidRPr="00743E10">
              <w:rPr>
                <w:b/>
                <w:bCs/>
              </w:rPr>
              <w:t>Finland</w:t>
            </w:r>
            <w:r w:rsidRPr="00743E10">
              <w:t xml:space="preserve">, the Election Act </w:t>
            </w:r>
            <w:r w:rsidR="00460252" w:rsidRPr="00743E10">
              <w:t>(</w:t>
            </w:r>
            <w:proofErr w:type="spellStart"/>
            <w:r w:rsidR="00460252" w:rsidRPr="00371CA0">
              <w:rPr>
                <w:i/>
                <w:iCs/>
              </w:rPr>
              <w:t>vaalilaki</w:t>
            </w:r>
            <w:proofErr w:type="spellEnd"/>
            <w:r w:rsidR="00460252" w:rsidRPr="00371CA0">
              <w:rPr>
                <w:i/>
                <w:iCs/>
              </w:rPr>
              <w:t>/</w:t>
            </w:r>
            <w:proofErr w:type="spellStart"/>
            <w:r w:rsidR="00460252" w:rsidRPr="00371CA0">
              <w:rPr>
                <w:i/>
                <w:iCs/>
              </w:rPr>
              <w:t>vallag</w:t>
            </w:r>
            <w:proofErr w:type="spellEnd"/>
            <w:r w:rsidR="00460252" w:rsidRPr="00743E10">
              <w:t xml:space="preserve">) (Act No. 714/1998) </w:t>
            </w:r>
            <w:r w:rsidRPr="00743E10">
              <w:t xml:space="preserve">does not contain any provisions on training of election authorities and officials. </w:t>
            </w:r>
            <w:r w:rsidR="00DA7FC9" w:rsidRPr="00743E10">
              <w:t xml:space="preserve">The Ministry of Justice </w:t>
            </w:r>
            <w:r w:rsidR="00460252" w:rsidRPr="00743E10">
              <w:t>(</w:t>
            </w:r>
            <w:proofErr w:type="spellStart"/>
            <w:r w:rsidR="00460252" w:rsidRPr="00371CA0">
              <w:rPr>
                <w:i/>
                <w:iCs/>
              </w:rPr>
              <w:t>oikeusministeriö</w:t>
            </w:r>
            <w:proofErr w:type="spellEnd"/>
            <w:r w:rsidR="00460252" w:rsidRPr="00371CA0">
              <w:rPr>
                <w:i/>
                <w:iCs/>
              </w:rPr>
              <w:t>/</w:t>
            </w:r>
            <w:proofErr w:type="spellStart"/>
            <w:r w:rsidR="00460252" w:rsidRPr="00371CA0">
              <w:rPr>
                <w:i/>
                <w:iCs/>
              </w:rPr>
              <w:t>justitieministeriet</w:t>
            </w:r>
            <w:proofErr w:type="spellEnd"/>
            <w:r w:rsidR="00460252" w:rsidRPr="00743E10">
              <w:t xml:space="preserve">) </w:t>
            </w:r>
            <w:r w:rsidR="00DA7FC9" w:rsidRPr="00743E10">
              <w:t xml:space="preserve">as the </w:t>
            </w:r>
            <w:r w:rsidR="00F9468F">
              <w:t>supreme</w:t>
            </w:r>
            <w:r w:rsidR="00DA7FC9" w:rsidRPr="00743E10">
              <w:t xml:space="preserve"> election authority</w:t>
            </w:r>
            <w:r w:rsidRPr="00743E10">
              <w:t xml:space="preserve"> has overall responsibility for the conduct of elections</w:t>
            </w:r>
            <w:r w:rsidR="000F6701">
              <w:t xml:space="preserve"> in accordance with section 10 of the Election Act</w:t>
            </w:r>
            <w:r w:rsidRPr="00743E10">
              <w:t xml:space="preserve">. </w:t>
            </w:r>
            <w:r w:rsidR="00DA7FC9" w:rsidRPr="00743E10">
              <w:t>It</w:t>
            </w:r>
            <w:r w:rsidR="000301C3" w:rsidRPr="00743E10">
              <w:t xml:space="preserve"> </w:t>
            </w:r>
            <w:r w:rsidRPr="00743E10">
              <w:t xml:space="preserve">coordinates the preparations for the elections and is responsible for providing instructions </w:t>
            </w:r>
            <w:r w:rsidRPr="00743E10">
              <w:lastRenderedPageBreak/>
              <w:t>to other authorities.</w:t>
            </w:r>
            <w:r w:rsidR="00F516DB" w:rsidRPr="000F6701">
              <w:rPr>
                <w:rStyle w:val="FootnoteReference"/>
                <w:color w:val="4472C4" w:themeColor="accent1"/>
              </w:rPr>
              <w:footnoteReference w:id="42"/>
            </w:r>
            <w:r w:rsidRPr="00743E10">
              <w:t xml:space="preserve"> </w:t>
            </w:r>
            <w:r w:rsidR="00CC0E52" w:rsidRPr="00743E10">
              <w:t xml:space="preserve">Before each election, </w:t>
            </w:r>
            <w:r w:rsidR="00460252" w:rsidRPr="00743E10">
              <w:t>it</w:t>
            </w:r>
            <w:r w:rsidR="00CC0E52" w:rsidRPr="00743E10">
              <w:t xml:space="preserve"> sends a guidance letter to the </w:t>
            </w:r>
            <w:r w:rsidR="00832842" w:rsidRPr="00743E10">
              <w:t xml:space="preserve">municipal </w:t>
            </w:r>
            <w:r w:rsidR="00CC0E52" w:rsidRPr="00743E10">
              <w:t xml:space="preserve">central election </w:t>
            </w:r>
            <w:r w:rsidR="00832842" w:rsidRPr="00743E10">
              <w:t>boards</w:t>
            </w:r>
            <w:r w:rsidR="00CC0E52" w:rsidRPr="00743E10">
              <w:t>, which usually includes</w:t>
            </w:r>
            <w:r w:rsidR="002F0D3C" w:rsidRPr="00743E10">
              <w:t xml:space="preserve"> sections</w:t>
            </w:r>
            <w:r w:rsidR="00CC0E52" w:rsidRPr="00743E10">
              <w:t xml:space="preserve"> on </w:t>
            </w:r>
            <w:r w:rsidR="002F0D3C" w:rsidRPr="00743E10">
              <w:t xml:space="preserve">both </w:t>
            </w:r>
            <w:r w:rsidR="00CC0E52" w:rsidRPr="00743E10">
              <w:t>accessibility and election assistants, as well as separate guid</w:t>
            </w:r>
            <w:r w:rsidR="002F0D3C" w:rsidRPr="00743E10">
              <w:t>ance letters</w:t>
            </w:r>
            <w:r w:rsidR="00CC0E52" w:rsidRPr="00743E10">
              <w:t xml:space="preserve"> on institutional voting and home voting. The election instructions issued by the Ministry of Justice are publicly available on the Elections website.</w:t>
            </w:r>
            <w:r w:rsidR="00311345" w:rsidRPr="000F6701">
              <w:rPr>
                <w:rStyle w:val="FootnoteReference"/>
                <w:color w:val="4472C4" w:themeColor="accent1"/>
              </w:rPr>
              <w:footnoteReference w:id="43"/>
            </w:r>
            <w:r w:rsidR="00CC0E52" w:rsidRPr="00743E10">
              <w:t xml:space="preserve"> </w:t>
            </w:r>
          </w:p>
          <w:p w14:paraId="4E939505" w14:textId="77777777" w:rsidR="00460252" w:rsidRPr="00743E10" w:rsidRDefault="00460252" w:rsidP="002B3544">
            <w:pPr>
              <w:pStyle w:val="FRABodyText"/>
            </w:pPr>
          </w:p>
          <w:p w14:paraId="385F4DF7" w14:textId="5ADFE17F" w:rsidR="00A3550E" w:rsidRPr="00743E10" w:rsidRDefault="00CC0E52" w:rsidP="002B3544">
            <w:pPr>
              <w:pStyle w:val="FRABodyText"/>
              <w:rPr>
                <w:i/>
                <w:iCs/>
              </w:rPr>
            </w:pPr>
            <w:r w:rsidRPr="00743E10">
              <w:t xml:space="preserve">The Ministry of Justice </w:t>
            </w:r>
            <w:r w:rsidR="005C4B31" w:rsidRPr="00743E10">
              <w:t>also</w:t>
            </w:r>
            <w:r w:rsidRPr="00743E10">
              <w:t xml:space="preserve"> provides online training on elections to the</w:t>
            </w:r>
            <w:r w:rsidRPr="00743E10">
              <w:rPr>
                <w:rFonts w:eastAsia="Times New Roman"/>
                <w:lang w:eastAsia="en-GB" w:bidi="ar-SA"/>
              </w:rPr>
              <w:t xml:space="preserve"> </w:t>
            </w:r>
            <w:r w:rsidR="004855B0">
              <w:rPr>
                <w:rFonts w:eastAsia="Times New Roman"/>
                <w:lang w:eastAsia="en-GB" w:bidi="ar-SA"/>
              </w:rPr>
              <w:t xml:space="preserve">municipal </w:t>
            </w:r>
            <w:r w:rsidRPr="00743E10">
              <w:t xml:space="preserve">central election </w:t>
            </w:r>
            <w:r w:rsidR="00F9468F">
              <w:t>boards</w:t>
            </w:r>
            <w:r w:rsidR="00F539BF" w:rsidRPr="00743E10">
              <w:t>.</w:t>
            </w:r>
            <w:r w:rsidRPr="00743E10">
              <w:t xml:space="preserve"> </w:t>
            </w:r>
            <w:r w:rsidR="00F539BF" w:rsidRPr="00743E10">
              <w:t>I</w:t>
            </w:r>
            <w:r w:rsidRPr="00743E10">
              <w:t xml:space="preserve">n addition to </w:t>
            </w:r>
            <w:r w:rsidR="00F539BF" w:rsidRPr="00743E10">
              <w:t>this</w:t>
            </w:r>
            <w:r w:rsidRPr="00743E10">
              <w:t xml:space="preserve">, it organizes online election training clinics where municipalities can ask questions about the election training </w:t>
            </w:r>
            <w:r w:rsidR="00F539BF" w:rsidRPr="00743E10">
              <w:t>materials</w:t>
            </w:r>
            <w:r w:rsidRPr="00743E10">
              <w:t xml:space="preserve"> and election instructions.</w:t>
            </w:r>
            <w:r w:rsidR="00311345" w:rsidRPr="000F6701">
              <w:rPr>
                <w:rStyle w:val="FootnoteReference"/>
                <w:color w:val="4472C4" w:themeColor="accent1"/>
              </w:rPr>
              <w:footnoteReference w:id="44"/>
            </w:r>
            <w:r w:rsidRPr="000F6701">
              <w:rPr>
                <w:color w:val="4472C4" w:themeColor="accent1"/>
              </w:rPr>
              <w:t xml:space="preserve"> </w:t>
            </w:r>
            <w:r w:rsidRPr="00743E10">
              <w:t xml:space="preserve">The central election </w:t>
            </w:r>
            <w:r w:rsidR="00F9468F">
              <w:t>board</w:t>
            </w:r>
            <w:r w:rsidRPr="00743E10">
              <w:t xml:space="preserve"> of the municipality is responsible for training, guiding, and advising other municipal election authorities, such as election committees, and election officials. The </w:t>
            </w:r>
            <w:r w:rsidR="00895C10" w:rsidRPr="00743E10">
              <w:t xml:space="preserve">central election </w:t>
            </w:r>
            <w:r w:rsidR="00F9468F">
              <w:t>boards</w:t>
            </w:r>
            <w:r w:rsidR="00895C10" w:rsidRPr="00743E10">
              <w:t xml:space="preserve"> can use,</w:t>
            </w:r>
            <w:r w:rsidRPr="00743E10">
              <w:t xml:space="preserve"> for example, the </w:t>
            </w:r>
            <w:r w:rsidRPr="00743E10">
              <w:lastRenderedPageBreak/>
              <w:t>Ministry of Justice's online training and election instructions as training material.</w:t>
            </w:r>
            <w:r w:rsidR="00BA25B9" w:rsidRPr="000F6701">
              <w:rPr>
                <w:rStyle w:val="FootnoteReference"/>
                <w:color w:val="4472C4" w:themeColor="accent1"/>
              </w:rPr>
              <w:footnoteReference w:id="45"/>
            </w:r>
          </w:p>
          <w:p w14:paraId="5AD9C5F8" w14:textId="77777777" w:rsidR="00566A68" w:rsidRPr="00743E10" w:rsidRDefault="00566A68" w:rsidP="002B3544">
            <w:pPr>
              <w:pStyle w:val="FRABodyText"/>
            </w:pPr>
          </w:p>
          <w:p w14:paraId="7A258BDF" w14:textId="025D79A6" w:rsidR="005C4B31" w:rsidRPr="00743E10" w:rsidRDefault="00DE1CA5" w:rsidP="002B3544">
            <w:pPr>
              <w:pStyle w:val="FRABodyText"/>
              <w:rPr>
                <w:i/>
                <w:iCs/>
              </w:rPr>
            </w:pPr>
            <w:r w:rsidRPr="00743E10">
              <w:t>The training materials include a checklist for the accessibility of polling sta</w:t>
            </w:r>
            <w:r w:rsidR="00457FFE">
              <w:softHyphen/>
            </w:r>
            <w:r w:rsidRPr="00743E10">
              <w:t>tions of the Finnish Association of People with Physical Disabilities (</w:t>
            </w:r>
            <w:proofErr w:type="spellStart"/>
            <w:r w:rsidRPr="00371CA0">
              <w:rPr>
                <w:i/>
                <w:iCs/>
              </w:rPr>
              <w:t>Invalidi</w:t>
            </w:r>
            <w:r w:rsidR="00457FFE" w:rsidRPr="00371CA0">
              <w:rPr>
                <w:i/>
                <w:iCs/>
              </w:rPr>
              <w:softHyphen/>
            </w:r>
            <w:r w:rsidRPr="00371CA0">
              <w:rPr>
                <w:i/>
                <w:iCs/>
              </w:rPr>
              <w:t>liitto</w:t>
            </w:r>
            <w:proofErr w:type="spellEnd"/>
            <w:r w:rsidRPr="00371CA0">
              <w:rPr>
                <w:i/>
                <w:iCs/>
              </w:rPr>
              <w:t>/</w:t>
            </w:r>
            <w:proofErr w:type="spellStart"/>
            <w:r w:rsidRPr="00371CA0">
              <w:rPr>
                <w:i/>
                <w:iCs/>
              </w:rPr>
              <w:t>Invalidförbundet</w:t>
            </w:r>
            <w:proofErr w:type="spellEnd"/>
            <w:r w:rsidRPr="00743E10">
              <w:t>)</w:t>
            </w:r>
            <w:r w:rsidR="00457FFE">
              <w:t xml:space="preserve"> (see also below under “Promising prac</w:t>
            </w:r>
            <w:r w:rsidR="00457FFE">
              <w:softHyphen/>
              <w:t>tice”)</w:t>
            </w:r>
            <w:r w:rsidRPr="00743E10">
              <w:t>.</w:t>
            </w:r>
            <w:r w:rsidRPr="000F6701">
              <w:rPr>
                <w:rStyle w:val="FootnoteReference"/>
                <w:color w:val="4472C4" w:themeColor="accent1"/>
              </w:rPr>
              <w:footnoteReference w:id="46"/>
            </w:r>
          </w:p>
        </w:tc>
      </w:tr>
      <w:tr w:rsidR="00CC2CCC" w:rsidRPr="006E5B7F" w14:paraId="3FA1FA6E"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69A5DEA" w14:textId="15EBFAF2" w:rsidR="00566A68" w:rsidRPr="003D7638" w:rsidRDefault="003F149D" w:rsidP="002B3544">
            <w:pPr>
              <w:pStyle w:val="FRABodyText"/>
              <w:rPr>
                <w:i/>
                <w:iCs/>
              </w:rPr>
            </w:pPr>
            <w:r w:rsidRPr="003D7638">
              <w:lastRenderedPageBreak/>
              <w:t>Are there mechanisms in place to ensure consultation and involvement of DPOs in the development of laws and policies which affect them?</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B1190DA" w14:textId="2EBF8DA4" w:rsidR="00566A68" w:rsidRPr="003D7638" w:rsidRDefault="00566A68" w:rsidP="002B3544">
            <w:pPr>
              <w:pStyle w:val="FRABodyText"/>
              <w:rPr>
                <w:i/>
                <w:iCs/>
              </w:rPr>
            </w:pPr>
            <w:r w:rsidRPr="00017BC0">
              <w:t>Yes, mechanisms established by law</w:t>
            </w:r>
            <w:r w:rsidRPr="003D7638">
              <w:t xml:space="preserve"> </w:t>
            </w:r>
          </w:p>
          <w:p w14:paraId="39F5CC63" w14:textId="139BE246" w:rsidR="00566A68" w:rsidRPr="003D7638" w:rsidRDefault="00566A68" w:rsidP="002B3544">
            <w:pPr>
              <w:pStyle w:val="FRABodyText"/>
              <w:rPr>
                <w:i/>
                <w:iCs/>
              </w:rPr>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FCE80FC" w14:textId="77777777" w:rsidR="00F27105" w:rsidRPr="00743E10" w:rsidRDefault="007B5312" w:rsidP="002B3544">
            <w:pPr>
              <w:pStyle w:val="FRABodyText"/>
              <w:rPr>
                <w:i/>
                <w:iCs/>
              </w:rPr>
            </w:pPr>
            <w:r w:rsidRPr="00743E10">
              <w:t xml:space="preserve">In </w:t>
            </w:r>
            <w:r w:rsidRPr="00743E10">
              <w:rPr>
                <w:b/>
                <w:bCs/>
              </w:rPr>
              <w:t>Finland</w:t>
            </w:r>
            <w:r w:rsidRPr="00743E10">
              <w:t xml:space="preserve">, there are several </w:t>
            </w:r>
            <w:r w:rsidR="0010678C" w:rsidRPr="00743E10">
              <w:t xml:space="preserve">statutory </w:t>
            </w:r>
            <w:r w:rsidRPr="00743E10">
              <w:t>mechanisms in plac</w:t>
            </w:r>
            <w:r w:rsidR="00B72075" w:rsidRPr="00743E10">
              <w:t xml:space="preserve">e to ensure involvement of DPOs in the development of laws and policies. </w:t>
            </w:r>
          </w:p>
          <w:p w14:paraId="31D31E12" w14:textId="77777777" w:rsidR="00F27105" w:rsidRPr="00743E10" w:rsidRDefault="00F27105" w:rsidP="002B3544">
            <w:pPr>
              <w:pStyle w:val="FRABodyText"/>
            </w:pPr>
          </w:p>
          <w:p w14:paraId="78B7929B" w14:textId="535BE928" w:rsidR="00F539BF" w:rsidRPr="00743E10" w:rsidRDefault="00B72075" w:rsidP="002B3544">
            <w:pPr>
              <w:pStyle w:val="FRABodyText"/>
              <w:rPr>
                <w:i/>
                <w:iCs/>
              </w:rPr>
            </w:pPr>
            <w:r w:rsidRPr="00743E10">
              <w:t xml:space="preserve">At the national level </w:t>
            </w:r>
            <w:r w:rsidR="009A3977" w:rsidRPr="00743E10">
              <w:t xml:space="preserve">DPOs propose </w:t>
            </w:r>
            <w:r w:rsidR="00941376" w:rsidRPr="00743E10">
              <w:t>representatives for</w:t>
            </w:r>
            <w:r w:rsidR="00576A1C" w:rsidRPr="00743E10">
              <w:t xml:space="preserve"> persons with disabilities or their relatives </w:t>
            </w:r>
            <w:r w:rsidR="009A3977" w:rsidRPr="00743E10">
              <w:t>to</w:t>
            </w:r>
            <w:r w:rsidR="00941376" w:rsidRPr="00743E10">
              <w:t xml:space="preserve"> the Advisory Board for the Rights of Persons with Disabilities</w:t>
            </w:r>
            <w:r w:rsidR="00E12DC8" w:rsidRPr="00743E10">
              <w:t xml:space="preserve"> (</w:t>
            </w:r>
            <w:proofErr w:type="spellStart"/>
            <w:r w:rsidR="00E12DC8" w:rsidRPr="00853C2E">
              <w:rPr>
                <w:i/>
                <w:iCs/>
              </w:rPr>
              <w:t>Vammaisten</w:t>
            </w:r>
            <w:proofErr w:type="spellEnd"/>
            <w:r w:rsidR="00E12DC8" w:rsidRPr="00853C2E">
              <w:rPr>
                <w:i/>
                <w:iCs/>
              </w:rPr>
              <w:t xml:space="preserve"> </w:t>
            </w:r>
            <w:proofErr w:type="spellStart"/>
            <w:r w:rsidR="00E12DC8" w:rsidRPr="00853C2E">
              <w:rPr>
                <w:i/>
                <w:iCs/>
              </w:rPr>
              <w:t>henkilöiden</w:t>
            </w:r>
            <w:proofErr w:type="spellEnd"/>
            <w:r w:rsidR="00E12DC8" w:rsidRPr="00853C2E">
              <w:rPr>
                <w:i/>
                <w:iCs/>
              </w:rPr>
              <w:t xml:space="preserve"> </w:t>
            </w:r>
            <w:proofErr w:type="spellStart"/>
            <w:r w:rsidR="00E12DC8" w:rsidRPr="00853C2E">
              <w:rPr>
                <w:i/>
                <w:iCs/>
              </w:rPr>
              <w:t>oikeuksien</w:t>
            </w:r>
            <w:proofErr w:type="spellEnd"/>
            <w:r w:rsidR="00E12DC8" w:rsidRPr="00853C2E">
              <w:rPr>
                <w:i/>
                <w:iCs/>
              </w:rPr>
              <w:t xml:space="preserve"> </w:t>
            </w:r>
            <w:proofErr w:type="spellStart"/>
            <w:r w:rsidR="00E12DC8" w:rsidRPr="00853C2E">
              <w:rPr>
                <w:i/>
                <w:iCs/>
              </w:rPr>
              <w:t>neuvottelu</w:t>
            </w:r>
            <w:r w:rsidR="00F539BF" w:rsidRPr="00853C2E">
              <w:rPr>
                <w:i/>
                <w:iCs/>
              </w:rPr>
              <w:softHyphen/>
            </w:r>
            <w:r w:rsidR="00E12DC8" w:rsidRPr="00853C2E">
              <w:rPr>
                <w:i/>
                <w:iCs/>
              </w:rPr>
              <w:t>kunta</w:t>
            </w:r>
            <w:proofErr w:type="spellEnd"/>
            <w:r w:rsidR="00E12DC8" w:rsidRPr="00853C2E">
              <w:rPr>
                <w:i/>
                <w:iCs/>
              </w:rPr>
              <w:t>/</w:t>
            </w:r>
            <w:proofErr w:type="spellStart"/>
            <w:r w:rsidR="00E12DC8" w:rsidRPr="00853C2E">
              <w:rPr>
                <w:i/>
                <w:iCs/>
              </w:rPr>
              <w:t>Dele</w:t>
            </w:r>
            <w:r w:rsidR="00F539BF" w:rsidRPr="00853C2E">
              <w:rPr>
                <w:i/>
                <w:iCs/>
              </w:rPr>
              <w:softHyphen/>
            </w:r>
            <w:r w:rsidR="00F539BF" w:rsidRPr="00853C2E">
              <w:rPr>
                <w:i/>
                <w:iCs/>
              </w:rPr>
              <w:softHyphen/>
            </w:r>
            <w:r w:rsidR="00E12DC8" w:rsidRPr="00853C2E">
              <w:rPr>
                <w:i/>
                <w:iCs/>
              </w:rPr>
              <w:t>ga</w:t>
            </w:r>
            <w:r w:rsidR="00F539BF" w:rsidRPr="00853C2E">
              <w:rPr>
                <w:i/>
                <w:iCs/>
              </w:rPr>
              <w:softHyphen/>
            </w:r>
            <w:r w:rsidR="00F539BF" w:rsidRPr="00853C2E">
              <w:rPr>
                <w:i/>
                <w:iCs/>
              </w:rPr>
              <w:softHyphen/>
            </w:r>
            <w:r w:rsidR="00E12DC8" w:rsidRPr="00853C2E">
              <w:rPr>
                <w:i/>
                <w:iCs/>
              </w:rPr>
              <w:t>tionen</w:t>
            </w:r>
            <w:proofErr w:type="spellEnd"/>
            <w:r w:rsidR="00E12DC8" w:rsidRPr="00853C2E">
              <w:rPr>
                <w:i/>
                <w:iCs/>
              </w:rPr>
              <w:t xml:space="preserve"> för </w:t>
            </w:r>
            <w:proofErr w:type="spellStart"/>
            <w:r w:rsidR="00E12DC8" w:rsidRPr="00853C2E">
              <w:rPr>
                <w:i/>
                <w:iCs/>
              </w:rPr>
              <w:t>rättigheter</w:t>
            </w:r>
            <w:proofErr w:type="spellEnd"/>
            <w:r w:rsidR="00E12DC8" w:rsidRPr="00853C2E">
              <w:rPr>
                <w:i/>
                <w:iCs/>
              </w:rPr>
              <w:t xml:space="preserve"> för </w:t>
            </w:r>
            <w:proofErr w:type="spellStart"/>
            <w:r w:rsidR="00E12DC8" w:rsidRPr="00853C2E">
              <w:rPr>
                <w:i/>
                <w:iCs/>
              </w:rPr>
              <w:t>personer</w:t>
            </w:r>
            <w:proofErr w:type="spellEnd"/>
            <w:r w:rsidR="00E12DC8" w:rsidRPr="00853C2E">
              <w:rPr>
                <w:i/>
                <w:iCs/>
              </w:rPr>
              <w:t xml:space="preserve"> med </w:t>
            </w:r>
            <w:proofErr w:type="spellStart"/>
            <w:r w:rsidR="00E12DC8" w:rsidRPr="00853C2E">
              <w:rPr>
                <w:i/>
                <w:iCs/>
              </w:rPr>
              <w:t>funktionsned</w:t>
            </w:r>
            <w:r w:rsidR="00F539BF" w:rsidRPr="00853C2E">
              <w:rPr>
                <w:i/>
                <w:iCs/>
              </w:rPr>
              <w:softHyphen/>
            </w:r>
            <w:r w:rsidR="00E12DC8" w:rsidRPr="00853C2E">
              <w:rPr>
                <w:i/>
                <w:iCs/>
              </w:rPr>
              <w:t>sättning</w:t>
            </w:r>
            <w:proofErr w:type="spellEnd"/>
            <w:r w:rsidR="00E12DC8" w:rsidRPr="00743E10">
              <w:t>, VANE)</w:t>
            </w:r>
            <w:r w:rsidR="00941376" w:rsidRPr="00743E10">
              <w:t>,</w:t>
            </w:r>
            <w:r w:rsidR="00576A1C" w:rsidRPr="00743E10">
              <w:t xml:space="preserve"> </w:t>
            </w:r>
            <w:r w:rsidR="00993681" w:rsidRPr="00743E10">
              <w:t xml:space="preserve">in accordance with </w:t>
            </w:r>
            <w:r w:rsidR="00D6565D" w:rsidRPr="00743E10">
              <w:t xml:space="preserve">section 3 of </w:t>
            </w:r>
            <w:r w:rsidR="00993681" w:rsidRPr="00743E10">
              <w:t>the</w:t>
            </w:r>
            <w:r w:rsidR="005356FB" w:rsidRPr="00743E10">
              <w:t xml:space="preserve"> Government Decree on the Advisory Board for the Rights of Persons with Disabilities (</w:t>
            </w:r>
            <w:proofErr w:type="spellStart"/>
            <w:r w:rsidR="00993681" w:rsidRPr="00853C2E">
              <w:rPr>
                <w:i/>
                <w:iCs/>
              </w:rPr>
              <w:t>Valtio</w:t>
            </w:r>
            <w:r w:rsidR="00457FFE" w:rsidRPr="00853C2E">
              <w:rPr>
                <w:i/>
                <w:iCs/>
              </w:rPr>
              <w:softHyphen/>
            </w:r>
            <w:r w:rsidR="00993681" w:rsidRPr="00853C2E">
              <w:rPr>
                <w:i/>
                <w:iCs/>
              </w:rPr>
              <w:t>neuvoston</w:t>
            </w:r>
            <w:proofErr w:type="spellEnd"/>
            <w:r w:rsidR="00993681" w:rsidRPr="00853C2E">
              <w:rPr>
                <w:i/>
                <w:iCs/>
              </w:rPr>
              <w:t xml:space="preserve"> </w:t>
            </w:r>
            <w:proofErr w:type="spellStart"/>
            <w:r w:rsidR="00993681" w:rsidRPr="00853C2E">
              <w:rPr>
                <w:i/>
                <w:iCs/>
              </w:rPr>
              <w:t>asetus</w:t>
            </w:r>
            <w:proofErr w:type="spellEnd"/>
            <w:r w:rsidR="00576A1C" w:rsidRPr="00853C2E">
              <w:rPr>
                <w:i/>
                <w:iCs/>
              </w:rPr>
              <w:t xml:space="preserve"> </w:t>
            </w:r>
            <w:proofErr w:type="spellStart"/>
            <w:r w:rsidR="00993681" w:rsidRPr="00853C2E">
              <w:rPr>
                <w:i/>
                <w:iCs/>
              </w:rPr>
              <w:t>vammaisten</w:t>
            </w:r>
            <w:proofErr w:type="spellEnd"/>
            <w:r w:rsidR="00993681" w:rsidRPr="00853C2E">
              <w:rPr>
                <w:i/>
                <w:iCs/>
              </w:rPr>
              <w:t xml:space="preserve"> </w:t>
            </w:r>
            <w:proofErr w:type="spellStart"/>
            <w:r w:rsidR="00993681" w:rsidRPr="00853C2E">
              <w:rPr>
                <w:i/>
                <w:iCs/>
              </w:rPr>
              <w:t>henkilöiden</w:t>
            </w:r>
            <w:proofErr w:type="spellEnd"/>
            <w:r w:rsidR="00993681" w:rsidRPr="00853C2E">
              <w:rPr>
                <w:i/>
                <w:iCs/>
              </w:rPr>
              <w:t xml:space="preserve"> </w:t>
            </w:r>
            <w:proofErr w:type="spellStart"/>
            <w:r w:rsidR="00993681" w:rsidRPr="00853C2E">
              <w:rPr>
                <w:i/>
                <w:iCs/>
              </w:rPr>
              <w:t>oikeuksien</w:t>
            </w:r>
            <w:proofErr w:type="spellEnd"/>
            <w:r w:rsidR="00993681" w:rsidRPr="00853C2E">
              <w:rPr>
                <w:i/>
                <w:iCs/>
              </w:rPr>
              <w:t xml:space="preserve"> </w:t>
            </w:r>
            <w:proofErr w:type="spellStart"/>
            <w:r w:rsidR="00993681" w:rsidRPr="00853C2E">
              <w:rPr>
                <w:i/>
                <w:iCs/>
              </w:rPr>
              <w:t>neuvottelu</w:t>
            </w:r>
            <w:r w:rsidR="00F539BF" w:rsidRPr="00853C2E">
              <w:rPr>
                <w:i/>
                <w:iCs/>
              </w:rPr>
              <w:softHyphen/>
            </w:r>
            <w:r w:rsidR="00993681" w:rsidRPr="00853C2E">
              <w:rPr>
                <w:i/>
                <w:iCs/>
              </w:rPr>
              <w:t>kunnas</w:t>
            </w:r>
            <w:r w:rsidR="00457FFE" w:rsidRPr="00853C2E">
              <w:rPr>
                <w:i/>
                <w:iCs/>
              </w:rPr>
              <w:softHyphen/>
            </w:r>
            <w:r w:rsidR="00993681" w:rsidRPr="00853C2E">
              <w:rPr>
                <w:i/>
                <w:iCs/>
              </w:rPr>
              <w:t>ta</w:t>
            </w:r>
            <w:proofErr w:type="spellEnd"/>
            <w:r w:rsidR="005356FB" w:rsidRPr="00853C2E">
              <w:rPr>
                <w:rStyle w:val="Hyperlink"/>
                <w:i/>
                <w:iCs/>
                <w:color w:val="auto"/>
              </w:rPr>
              <w:t>/</w:t>
            </w:r>
            <w:proofErr w:type="spellStart"/>
            <w:r w:rsidR="005356FB" w:rsidRPr="00853C2E">
              <w:rPr>
                <w:i/>
                <w:iCs/>
              </w:rPr>
              <w:t>Statsrådets</w:t>
            </w:r>
            <w:proofErr w:type="spellEnd"/>
            <w:r w:rsidR="005356FB" w:rsidRPr="00853C2E">
              <w:rPr>
                <w:i/>
                <w:iCs/>
              </w:rPr>
              <w:t xml:space="preserve"> </w:t>
            </w:r>
            <w:proofErr w:type="spellStart"/>
            <w:r w:rsidR="005356FB" w:rsidRPr="00853C2E">
              <w:rPr>
                <w:i/>
                <w:iCs/>
              </w:rPr>
              <w:t>förordning</w:t>
            </w:r>
            <w:proofErr w:type="spellEnd"/>
            <w:r w:rsidR="005356FB" w:rsidRPr="00853C2E">
              <w:rPr>
                <w:i/>
                <w:iCs/>
              </w:rPr>
              <w:t xml:space="preserve"> om </w:t>
            </w:r>
            <w:proofErr w:type="spellStart"/>
            <w:r w:rsidR="005356FB" w:rsidRPr="00853C2E">
              <w:rPr>
                <w:i/>
                <w:iCs/>
              </w:rPr>
              <w:t>delegationen</w:t>
            </w:r>
            <w:proofErr w:type="spellEnd"/>
            <w:r w:rsidR="005356FB" w:rsidRPr="00853C2E">
              <w:rPr>
                <w:i/>
                <w:iCs/>
              </w:rPr>
              <w:t xml:space="preserve"> för </w:t>
            </w:r>
            <w:proofErr w:type="spellStart"/>
            <w:r w:rsidR="005356FB" w:rsidRPr="00853C2E">
              <w:rPr>
                <w:i/>
                <w:iCs/>
              </w:rPr>
              <w:t>rättigheter</w:t>
            </w:r>
            <w:proofErr w:type="spellEnd"/>
            <w:r w:rsidR="005356FB" w:rsidRPr="00853C2E">
              <w:rPr>
                <w:i/>
                <w:iCs/>
              </w:rPr>
              <w:t xml:space="preserve"> för </w:t>
            </w:r>
            <w:proofErr w:type="spellStart"/>
            <w:r w:rsidR="005356FB" w:rsidRPr="00853C2E">
              <w:rPr>
                <w:i/>
                <w:iCs/>
              </w:rPr>
              <w:t>personer</w:t>
            </w:r>
            <w:proofErr w:type="spellEnd"/>
            <w:r w:rsidR="005356FB" w:rsidRPr="00457FFE">
              <w:t xml:space="preserve"> </w:t>
            </w:r>
            <w:r w:rsidR="005356FB" w:rsidRPr="00853C2E">
              <w:rPr>
                <w:i/>
                <w:iCs/>
              </w:rPr>
              <w:lastRenderedPageBreak/>
              <w:t xml:space="preserve">med </w:t>
            </w:r>
            <w:proofErr w:type="spellStart"/>
            <w:r w:rsidR="005356FB" w:rsidRPr="00853C2E">
              <w:rPr>
                <w:i/>
                <w:iCs/>
              </w:rPr>
              <w:t>funktionsnedsättning</w:t>
            </w:r>
            <w:proofErr w:type="spellEnd"/>
            <w:r w:rsidR="005356FB" w:rsidRPr="00C62540">
              <w:t>)</w:t>
            </w:r>
            <w:r w:rsidR="00C62540" w:rsidRPr="00C62540">
              <w:t xml:space="preserve"> </w:t>
            </w:r>
            <w:r w:rsidR="00457FFE" w:rsidRPr="00C62540">
              <w:t>(Decree No. 908/2016)</w:t>
            </w:r>
            <w:r w:rsidR="00576A1C" w:rsidRPr="00743E10">
              <w:t>.</w:t>
            </w:r>
            <w:r w:rsidR="00457FFE">
              <w:rPr>
                <w:rStyle w:val="FootnoteReference"/>
              </w:rPr>
              <w:footnoteReference w:id="47"/>
            </w:r>
            <w:r w:rsidR="00576A1C" w:rsidRPr="00743E10">
              <w:t xml:space="preserve"> </w:t>
            </w:r>
            <w:r w:rsidR="009A3977" w:rsidRPr="00743E10">
              <w:t>T</w:t>
            </w:r>
            <w:r w:rsidR="00941376" w:rsidRPr="00743E10">
              <w:t>he Advisory Board for</w:t>
            </w:r>
            <w:r w:rsidR="00457FFE">
              <w:t xml:space="preserve"> </w:t>
            </w:r>
            <w:r w:rsidR="00941376" w:rsidRPr="00743E10">
              <w:t>the</w:t>
            </w:r>
            <w:r w:rsidR="00457FFE">
              <w:t xml:space="preserve"> </w:t>
            </w:r>
            <w:r w:rsidR="00941376" w:rsidRPr="00743E10">
              <w:t>Rights of Persons with</w:t>
            </w:r>
            <w:r w:rsidR="00C62540">
              <w:t xml:space="preserve"> </w:t>
            </w:r>
            <w:r w:rsidR="00941376" w:rsidRPr="00743E10">
              <w:t>Disabilities</w:t>
            </w:r>
            <w:r w:rsidR="00993681" w:rsidRPr="00743E10">
              <w:t xml:space="preserve"> is the national coordinating</w:t>
            </w:r>
            <w:r w:rsidR="00C62540">
              <w:t xml:space="preserve"> </w:t>
            </w:r>
            <w:r w:rsidR="00993681" w:rsidRPr="00743E10">
              <w:t xml:space="preserve">mechanism for </w:t>
            </w:r>
            <w:r w:rsidR="00E12DC8" w:rsidRPr="00743E10">
              <w:t>CRPD</w:t>
            </w:r>
            <w:r w:rsidR="00576A1C" w:rsidRPr="00743E10">
              <w:t xml:space="preserve"> and responsible for drafting the national action plan</w:t>
            </w:r>
            <w:r w:rsidR="00941376" w:rsidRPr="00743E10">
              <w:t xml:space="preserve"> on CRPD</w:t>
            </w:r>
            <w:r w:rsidR="00993681" w:rsidRPr="00743E10">
              <w:t>.</w:t>
            </w:r>
            <w:r w:rsidR="00576A1C" w:rsidRPr="00743E10">
              <w:t xml:space="preserve"> </w:t>
            </w:r>
          </w:p>
          <w:p w14:paraId="1538A2AF" w14:textId="77777777" w:rsidR="00F539BF" w:rsidRPr="00743E10" w:rsidRDefault="00F539BF" w:rsidP="002B3544">
            <w:pPr>
              <w:pStyle w:val="FRABodyText"/>
            </w:pPr>
          </w:p>
          <w:p w14:paraId="2BEF1AE7" w14:textId="3572EE16" w:rsidR="00566A68" w:rsidRPr="00743E10" w:rsidRDefault="00576A1C" w:rsidP="002B3544">
            <w:pPr>
              <w:pStyle w:val="FRABodyText"/>
              <w:rPr>
                <w:b/>
                <w:bCs/>
                <w:i/>
                <w:iCs/>
              </w:rPr>
            </w:pPr>
            <w:r w:rsidRPr="00743E10">
              <w:t xml:space="preserve">DPOs are also represented in </w:t>
            </w:r>
            <w:r w:rsidR="00B359C8" w:rsidRPr="00743E10">
              <w:t>the permanent Sub-Committee on the Rights of Persons with Disabilities (</w:t>
            </w:r>
            <w:proofErr w:type="spellStart"/>
            <w:r w:rsidR="00E12DC8" w:rsidRPr="00853C2E">
              <w:rPr>
                <w:i/>
                <w:iCs/>
              </w:rPr>
              <w:t>Vammaisten</w:t>
            </w:r>
            <w:proofErr w:type="spellEnd"/>
            <w:r w:rsidR="00E12DC8" w:rsidRPr="00853C2E">
              <w:rPr>
                <w:i/>
                <w:iCs/>
              </w:rPr>
              <w:t xml:space="preserve"> </w:t>
            </w:r>
            <w:proofErr w:type="spellStart"/>
            <w:r w:rsidR="00E12DC8" w:rsidRPr="00853C2E">
              <w:rPr>
                <w:i/>
                <w:iCs/>
              </w:rPr>
              <w:t>ihmisoikeuskomitea</w:t>
            </w:r>
            <w:proofErr w:type="spellEnd"/>
            <w:r w:rsidR="00E12DC8" w:rsidRPr="00853C2E">
              <w:rPr>
                <w:i/>
                <w:iCs/>
              </w:rPr>
              <w:t>/</w:t>
            </w:r>
            <w:proofErr w:type="spellStart"/>
            <w:r w:rsidR="00E12DC8" w:rsidRPr="00853C2E">
              <w:rPr>
                <w:i/>
                <w:iCs/>
              </w:rPr>
              <w:t>Människo</w:t>
            </w:r>
            <w:r w:rsidR="00F539BF" w:rsidRPr="00853C2E">
              <w:rPr>
                <w:i/>
                <w:iCs/>
              </w:rPr>
              <w:softHyphen/>
            </w:r>
            <w:r w:rsidR="00E12DC8" w:rsidRPr="00853C2E">
              <w:rPr>
                <w:i/>
                <w:iCs/>
              </w:rPr>
              <w:t>rätts</w:t>
            </w:r>
            <w:r w:rsidR="00F539BF" w:rsidRPr="00853C2E">
              <w:rPr>
                <w:i/>
                <w:iCs/>
              </w:rPr>
              <w:softHyphen/>
            </w:r>
            <w:r w:rsidR="00E12DC8" w:rsidRPr="00853C2E">
              <w:rPr>
                <w:i/>
                <w:iCs/>
              </w:rPr>
              <w:t>kommittén</w:t>
            </w:r>
            <w:proofErr w:type="spellEnd"/>
            <w:r w:rsidR="00E12DC8" w:rsidRPr="00853C2E">
              <w:rPr>
                <w:i/>
                <w:iCs/>
              </w:rPr>
              <w:t xml:space="preserve"> för </w:t>
            </w:r>
            <w:proofErr w:type="spellStart"/>
            <w:r w:rsidR="00E12DC8" w:rsidRPr="00853C2E">
              <w:rPr>
                <w:i/>
                <w:iCs/>
              </w:rPr>
              <w:t>personer</w:t>
            </w:r>
            <w:proofErr w:type="spellEnd"/>
            <w:r w:rsidR="00E12DC8" w:rsidRPr="00853C2E">
              <w:rPr>
                <w:i/>
                <w:iCs/>
              </w:rPr>
              <w:t xml:space="preserve"> med </w:t>
            </w:r>
            <w:proofErr w:type="spellStart"/>
            <w:r w:rsidR="00E12DC8" w:rsidRPr="00853C2E">
              <w:rPr>
                <w:i/>
                <w:iCs/>
              </w:rPr>
              <w:t>funktionsnedsättning</w:t>
            </w:r>
            <w:proofErr w:type="spellEnd"/>
            <w:r w:rsidR="00B359C8" w:rsidRPr="00743E10">
              <w:t xml:space="preserve">) set up under the Human Rights Delegation </w:t>
            </w:r>
            <w:r w:rsidR="00E12DC8" w:rsidRPr="00743E10">
              <w:t>(</w:t>
            </w:r>
            <w:proofErr w:type="spellStart"/>
            <w:r w:rsidR="00E12DC8" w:rsidRPr="00853C2E">
              <w:rPr>
                <w:i/>
                <w:iCs/>
              </w:rPr>
              <w:t>Ihmisoikeusvaltuuskunta</w:t>
            </w:r>
            <w:proofErr w:type="spellEnd"/>
            <w:r w:rsidR="00E12DC8" w:rsidRPr="00853C2E">
              <w:rPr>
                <w:i/>
                <w:iCs/>
              </w:rPr>
              <w:t>/</w:t>
            </w:r>
            <w:proofErr w:type="spellStart"/>
            <w:r w:rsidR="00E12DC8" w:rsidRPr="00853C2E">
              <w:rPr>
                <w:i/>
                <w:iCs/>
              </w:rPr>
              <w:t>Människo</w:t>
            </w:r>
            <w:r w:rsidR="00F539BF" w:rsidRPr="00853C2E">
              <w:rPr>
                <w:i/>
                <w:iCs/>
              </w:rPr>
              <w:softHyphen/>
            </w:r>
            <w:r w:rsidR="00E12DC8" w:rsidRPr="00853C2E">
              <w:rPr>
                <w:i/>
                <w:iCs/>
              </w:rPr>
              <w:t>rätts</w:t>
            </w:r>
            <w:r w:rsidR="00F539BF" w:rsidRPr="00853C2E">
              <w:rPr>
                <w:i/>
                <w:iCs/>
              </w:rPr>
              <w:softHyphen/>
            </w:r>
            <w:r w:rsidR="00E12DC8" w:rsidRPr="00853C2E">
              <w:rPr>
                <w:i/>
                <w:iCs/>
              </w:rPr>
              <w:t>dele</w:t>
            </w:r>
            <w:r w:rsidR="003C758C" w:rsidRPr="00853C2E">
              <w:rPr>
                <w:i/>
                <w:iCs/>
              </w:rPr>
              <w:softHyphen/>
            </w:r>
            <w:r w:rsidR="00E12DC8" w:rsidRPr="00853C2E">
              <w:rPr>
                <w:i/>
                <w:iCs/>
              </w:rPr>
              <w:t>ga</w:t>
            </w:r>
            <w:r w:rsidR="003C758C" w:rsidRPr="00853C2E">
              <w:rPr>
                <w:i/>
                <w:iCs/>
              </w:rPr>
              <w:softHyphen/>
            </w:r>
            <w:r w:rsidR="00E12DC8" w:rsidRPr="00853C2E">
              <w:rPr>
                <w:i/>
                <w:iCs/>
              </w:rPr>
              <w:t>tionen</w:t>
            </w:r>
            <w:proofErr w:type="spellEnd"/>
            <w:r w:rsidR="00E12DC8" w:rsidRPr="00743E10">
              <w:t xml:space="preserve">) </w:t>
            </w:r>
            <w:r w:rsidR="00B359C8" w:rsidRPr="00743E10">
              <w:t>at the Human Rights Centre</w:t>
            </w:r>
            <w:r w:rsidR="00E12DC8" w:rsidRPr="00743E10">
              <w:t xml:space="preserve"> (</w:t>
            </w:r>
            <w:proofErr w:type="spellStart"/>
            <w:r w:rsidR="00E12DC8" w:rsidRPr="00853C2E">
              <w:rPr>
                <w:i/>
                <w:iCs/>
              </w:rPr>
              <w:t>Ihmisoikeus</w:t>
            </w:r>
            <w:r w:rsidR="00F539BF" w:rsidRPr="00853C2E">
              <w:rPr>
                <w:i/>
                <w:iCs/>
              </w:rPr>
              <w:softHyphen/>
            </w:r>
            <w:r w:rsidR="00E12DC8" w:rsidRPr="00853C2E">
              <w:rPr>
                <w:i/>
                <w:iCs/>
              </w:rPr>
              <w:t>kes</w:t>
            </w:r>
            <w:r w:rsidR="00F27105" w:rsidRPr="00853C2E">
              <w:rPr>
                <w:i/>
                <w:iCs/>
              </w:rPr>
              <w:softHyphen/>
            </w:r>
            <w:r w:rsidR="00E12DC8" w:rsidRPr="00853C2E">
              <w:rPr>
                <w:i/>
                <w:iCs/>
              </w:rPr>
              <w:t>kus</w:t>
            </w:r>
            <w:proofErr w:type="spellEnd"/>
            <w:r w:rsidR="00E12DC8" w:rsidRPr="00853C2E">
              <w:rPr>
                <w:i/>
                <w:iCs/>
              </w:rPr>
              <w:t>/</w:t>
            </w:r>
            <w:proofErr w:type="spellStart"/>
            <w:r w:rsidR="00E12DC8" w:rsidRPr="00853C2E">
              <w:rPr>
                <w:i/>
                <w:iCs/>
              </w:rPr>
              <w:t>Människo</w:t>
            </w:r>
            <w:r w:rsidR="00F539BF" w:rsidRPr="00853C2E">
              <w:rPr>
                <w:i/>
                <w:iCs/>
              </w:rPr>
              <w:softHyphen/>
            </w:r>
            <w:r w:rsidR="00E12DC8" w:rsidRPr="00853C2E">
              <w:rPr>
                <w:i/>
                <w:iCs/>
              </w:rPr>
              <w:t>rätts</w:t>
            </w:r>
            <w:r w:rsidR="00F539BF" w:rsidRPr="00853C2E">
              <w:rPr>
                <w:i/>
                <w:iCs/>
              </w:rPr>
              <w:softHyphen/>
            </w:r>
            <w:r w:rsidR="00E12DC8" w:rsidRPr="00853C2E">
              <w:rPr>
                <w:i/>
                <w:iCs/>
              </w:rPr>
              <w:t>centret</w:t>
            </w:r>
            <w:proofErr w:type="spellEnd"/>
            <w:r w:rsidR="00E12DC8" w:rsidRPr="00743E10">
              <w:t>)</w:t>
            </w:r>
            <w:r w:rsidR="00B359C8" w:rsidRPr="00743E10">
              <w:t xml:space="preserve">. </w:t>
            </w:r>
            <w:r w:rsidR="006038ED" w:rsidRPr="00743E10">
              <w:t>The Centre and its Delegation together with</w:t>
            </w:r>
            <w:r w:rsidR="00B359C8" w:rsidRPr="00743E10">
              <w:t xml:space="preserve"> </w:t>
            </w:r>
            <w:r w:rsidR="00F539BF" w:rsidRPr="00743E10">
              <w:t>t</w:t>
            </w:r>
            <w:r w:rsidR="006038ED" w:rsidRPr="00743E10">
              <w:t xml:space="preserve">he Parliamentary Ombudsman </w:t>
            </w:r>
            <w:r w:rsidR="0010678C" w:rsidRPr="00743E10">
              <w:t>(</w:t>
            </w:r>
            <w:proofErr w:type="spellStart"/>
            <w:r w:rsidR="0010678C" w:rsidRPr="00853C2E">
              <w:rPr>
                <w:i/>
                <w:iCs/>
              </w:rPr>
              <w:t>oikeusasiamies</w:t>
            </w:r>
            <w:proofErr w:type="spellEnd"/>
            <w:r w:rsidR="0010678C" w:rsidRPr="00853C2E">
              <w:rPr>
                <w:i/>
                <w:iCs/>
              </w:rPr>
              <w:t>/</w:t>
            </w:r>
            <w:proofErr w:type="spellStart"/>
            <w:r w:rsidR="0010678C" w:rsidRPr="00853C2E">
              <w:rPr>
                <w:i/>
                <w:iCs/>
              </w:rPr>
              <w:t>justitieombuds</w:t>
            </w:r>
            <w:r w:rsidR="00F539BF" w:rsidRPr="00853C2E">
              <w:rPr>
                <w:i/>
                <w:iCs/>
              </w:rPr>
              <w:softHyphen/>
            </w:r>
            <w:r w:rsidR="0010678C" w:rsidRPr="00853C2E">
              <w:rPr>
                <w:i/>
                <w:iCs/>
              </w:rPr>
              <w:t>mannen</w:t>
            </w:r>
            <w:proofErr w:type="spellEnd"/>
            <w:r w:rsidR="0010678C" w:rsidRPr="00743E10">
              <w:t xml:space="preserve">) </w:t>
            </w:r>
            <w:r w:rsidR="00EB6550" w:rsidRPr="00743E10">
              <w:t xml:space="preserve">form the Finnish NHRI and </w:t>
            </w:r>
            <w:r w:rsidR="006038ED" w:rsidRPr="00743E10">
              <w:t xml:space="preserve">serve as an independent national mechanism tasked to promote, protect and monitor the implementation of the </w:t>
            </w:r>
            <w:r w:rsidR="00C65BA7" w:rsidRPr="00743E10">
              <w:t>CRPD</w:t>
            </w:r>
            <w:r w:rsidR="00EB6550" w:rsidRPr="00743E10">
              <w:t xml:space="preserve"> </w:t>
            </w:r>
            <w:r w:rsidR="0010678C" w:rsidRPr="00743E10">
              <w:t xml:space="preserve">in accordance with </w:t>
            </w:r>
            <w:r w:rsidR="006038ED" w:rsidRPr="00743E10">
              <w:t>Article 33</w:t>
            </w:r>
            <w:r w:rsidR="0010678C" w:rsidRPr="00743E10">
              <w:t>(</w:t>
            </w:r>
            <w:r w:rsidR="006038ED" w:rsidRPr="00743E10">
              <w:t>2</w:t>
            </w:r>
            <w:r w:rsidR="0010678C" w:rsidRPr="00743E10">
              <w:t>)</w:t>
            </w:r>
            <w:r w:rsidR="006038ED" w:rsidRPr="00743E10">
              <w:t xml:space="preserve"> </w:t>
            </w:r>
            <w:r w:rsidR="0010678C" w:rsidRPr="00743E10">
              <w:t xml:space="preserve">of the </w:t>
            </w:r>
            <w:r w:rsidR="006038ED" w:rsidRPr="00743E10">
              <w:t>CRDP</w:t>
            </w:r>
            <w:r w:rsidR="003E10B1" w:rsidRPr="00743E10">
              <w:t>, as stipulated in section 19(f) of the Act on the Parliamentary Ombudsman (</w:t>
            </w:r>
            <w:proofErr w:type="spellStart"/>
            <w:r w:rsidR="003E10B1" w:rsidRPr="00853C2E">
              <w:rPr>
                <w:i/>
                <w:iCs/>
              </w:rPr>
              <w:t>laki</w:t>
            </w:r>
            <w:proofErr w:type="spellEnd"/>
            <w:r w:rsidR="003E10B1" w:rsidRPr="00853C2E">
              <w:rPr>
                <w:i/>
                <w:iCs/>
              </w:rPr>
              <w:t xml:space="preserve"> </w:t>
            </w:r>
            <w:proofErr w:type="spellStart"/>
            <w:r w:rsidR="003E10B1" w:rsidRPr="00853C2E">
              <w:rPr>
                <w:i/>
                <w:iCs/>
              </w:rPr>
              <w:t>eduskunnan</w:t>
            </w:r>
            <w:proofErr w:type="spellEnd"/>
            <w:r w:rsidR="003E10B1" w:rsidRPr="00853C2E">
              <w:rPr>
                <w:i/>
                <w:iCs/>
              </w:rPr>
              <w:t xml:space="preserve"> </w:t>
            </w:r>
            <w:proofErr w:type="spellStart"/>
            <w:r w:rsidR="003E10B1" w:rsidRPr="00853C2E">
              <w:rPr>
                <w:i/>
                <w:iCs/>
              </w:rPr>
              <w:t>oikeusasia</w:t>
            </w:r>
            <w:r w:rsidR="00177B15" w:rsidRPr="00853C2E">
              <w:rPr>
                <w:i/>
                <w:iCs/>
              </w:rPr>
              <w:softHyphen/>
            </w:r>
            <w:r w:rsidR="003E10B1" w:rsidRPr="00853C2E">
              <w:rPr>
                <w:i/>
                <w:iCs/>
              </w:rPr>
              <w:t>miehestä</w:t>
            </w:r>
            <w:proofErr w:type="spellEnd"/>
            <w:r w:rsidR="003E10B1" w:rsidRPr="00853C2E">
              <w:rPr>
                <w:i/>
                <w:iCs/>
              </w:rPr>
              <w:t>/</w:t>
            </w:r>
            <w:r w:rsidR="00177B15" w:rsidRPr="00853C2E">
              <w:rPr>
                <w:i/>
                <w:iCs/>
              </w:rPr>
              <w:t xml:space="preserve">lag om </w:t>
            </w:r>
            <w:proofErr w:type="spellStart"/>
            <w:r w:rsidR="00177B15" w:rsidRPr="00853C2E">
              <w:rPr>
                <w:i/>
                <w:iCs/>
              </w:rPr>
              <w:t>riksdagens</w:t>
            </w:r>
            <w:proofErr w:type="spellEnd"/>
            <w:r w:rsidR="00177B15" w:rsidRPr="00853C2E">
              <w:rPr>
                <w:i/>
                <w:iCs/>
              </w:rPr>
              <w:t xml:space="preserve"> </w:t>
            </w:r>
            <w:proofErr w:type="spellStart"/>
            <w:r w:rsidR="00177B15" w:rsidRPr="00853C2E">
              <w:rPr>
                <w:i/>
                <w:iCs/>
              </w:rPr>
              <w:t>justitieombudsman</w:t>
            </w:r>
            <w:proofErr w:type="spellEnd"/>
            <w:r w:rsidR="00177B15" w:rsidRPr="0002783E">
              <w:t>)</w:t>
            </w:r>
            <w:r w:rsidR="00371ACB">
              <w:t xml:space="preserve"> (Act No. 197/2002)</w:t>
            </w:r>
            <w:r w:rsidR="00177B15" w:rsidRPr="00743E10">
              <w:t>.</w:t>
            </w:r>
            <w:r w:rsidR="00C62540">
              <w:rPr>
                <w:rStyle w:val="FootnoteReference"/>
              </w:rPr>
              <w:footnoteReference w:id="48"/>
            </w:r>
          </w:p>
          <w:p w14:paraId="1FA66855" w14:textId="77777777" w:rsidR="00F539BF" w:rsidRPr="00743E10" w:rsidRDefault="00F539BF" w:rsidP="002B3544">
            <w:pPr>
              <w:pStyle w:val="FRABodyText"/>
            </w:pPr>
          </w:p>
          <w:p w14:paraId="26B1B71D" w14:textId="75AD172A" w:rsidR="00EE4007" w:rsidRPr="00743E10" w:rsidRDefault="00B359C8" w:rsidP="002B3544">
            <w:pPr>
              <w:pStyle w:val="FRABodyText"/>
              <w:rPr>
                <w:i/>
                <w:iCs/>
              </w:rPr>
            </w:pPr>
            <w:r w:rsidRPr="00743E10">
              <w:t>The Disability Forum</w:t>
            </w:r>
            <w:r w:rsidR="00EB6550" w:rsidRPr="00743E10">
              <w:t xml:space="preserve"> </w:t>
            </w:r>
            <w:r w:rsidR="00C65BA7" w:rsidRPr="00743E10">
              <w:t>(</w:t>
            </w:r>
            <w:proofErr w:type="spellStart"/>
            <w:r w:rsidR="00D6565D" w:rsidRPr="00853C2E">
              <w:rPr>
                <w:i/>
                <w:iCs/>
              </w:rPr>
              <w:t>Vammaisfoorumi</w:t>
            </w:r>
            <w:proofErr w:type="spellEnd"/>
            <w:r w:rsidR="0010678C" w:rsidRPr="00853C2E">
              <w:rPr>
                <w:i/>
                <w:iCs/>
              </w:rPr>
              <w:t>/</w:t>
            </w:r>
            <w:proofErr w:type="spellStart"/>
            <w:r w:rsidR="0010678C" w:rsidRPr="00853C2E">
              <w:rPr>
                <w:i/>
                <w:iCs/>
              </w:rPr>
              <w:t>Handikappforum</w:t>
            </w:r>
            <w:proofErr w:type="spellEnd"/>
            <w:r w:rsidR="0010678C" w:rsidRPr="00743E10">
              <w:t>)</w:t>
            </w:r>
            <w:r w:rsidR="00D6565D" w:rsidRPr="00743E10">
              <w:t xml:space="preserve"> </w:t>
            </w:r>
            <w:r w:rsidR="00EB6550" w:rsidRPr="00743E10">
              <w:t xml:space="preserve">which is an umbrella organization for </w:t>
            </w:r>
            <w:r w:rsidR="0010678C" w:rsidRPr="00743E10">
              <w:t xml:space="preserve">27 </w:t>
            </w:r>
            <w:r w:rsidR="00EB6550" w:rsidRPr="00743E10">
              <w:t xml:space="preserve">Finnish DPOs is </w:t>
            </w:r>
            <w:r w:rsidR="005652D5" w:rsidRPr="00743E10">
              <w:t xml:space="preserve">quite </w:t>
            </w:r>
            <w:r w:rsidR="00EB6550" w:rsidRPr="00743E10">
              <w:t xml:space="preserve">regularly consulted </w:t>
            </w:r>
            <w:r w:rsidR="00EB6550" w:rsidRPr="00743E10">
              <w:lastRenderedPageBreak/>
              <w:t xml:space="preserve">when </w:t>
            </w:r>
            <w:r w:rsidR="005652D5" w:rsidRPr="00743E10">
              <w:t>preparing</w:t>
            </w:r>
            <w:r w:rsidR="00EB6550" w:rsidRPr="00743E10">
              <w:t xml:space="preserve"> </w:t>
            </w:r>
            <w:r w:rsidR="0010678C" w:rsidRPr="00743E10">
              <w:t>legislation related to disabled persons rights</w:t>
            </w:r>
            <w:r w:rsidR="00D6565D" w:rsidRPr="00743E10">
              <w:t>.</w:t>
            </w:r>
            <w:r w:rsidR="0010678C" w:rsidRPr="00371ACB">
              <w:rPr>
                <w:rStyle w:val="FootnoteReference"/>
                <w:color w:val="2E74B5" w:themeColor="accent5" w:themeShade="BF"/>
              </w:rPr>
              <w:footnoteReference w:id="49"/>
            </w:r>
            <w:r w:rsidR="00D6565D" w:rsidRPr="00743E10">
              <w:t xml:space="preserve"> </w:t>
            </w:r>
            <w:r w:rsidR="005652D5" w:rsidRPr="00743E10">
              <w:t xml:space="preserve">The </w:t>
            </w:r>
            <w:r w:rsidR="00C65BA7" w:rsidRPr="00743E10">
              <w:t>Ministry of Justice maintained e-</w:t>
            </w:r>
            <w:r w:rsidR="005652D5" w:rsidRPr="00743E10">
              <w:t xml:space="preserve">service </w:t>
            </w:r>
            <w:r w:rsidR="00C65BA7" w:rsidRPr="009C0A77">
              <w:rPr>
                <w:i/>
                <w:iCs/>
              </w:rPr>
              <w:t>L</w:t>
            </w:r>
            <w:r w:rsidR="005652D5" w:rsidRPr="009C0A77">
              <w:rPr>
                <w:i/>
                <w:iCs/>
              </w:rPr>
              <w:t>aus</w:t>
            </w:r>
            <w:r w:rsidR="00C65BA7" w:rsidRPr="009C0A77">
              <w:rPr>
                <w:i/>
                <w:iCs/>
              </w:rPr>
              <w:t>unto</w:t>
            </w:r>
            <w:r w:rsidR="005652D5" w:rsidRPr="009C0A77">
              <w:rPr>
                <w:i/>
                <w:iCs/>
              </w:rPr>
              <w:t>palvelu</w:t>
            </w:r>
            <w:r w:rsidR="003E18BF" w:rsidRPr="009C0A77">
              <w:rPr>
                <w:i/>
                <w:iCs/>
              </w:rPr>
              <w:t>.fi/Utlåtande.fi</w:t>
            </w:r>
            <w:r w:rsidR="005652D5" w:rsidRPr="00793AC2">
              <w:t xml:space="preserve"> </w:t>
            </w:r>
            <w:r w:rsidR="00C65BA7" w:rsidRPr="00743E10">
              <w:t xml:space="preserve">offers </w:t>
            </w:r>
            <w:r w:rsidR="003E18BF" w:rsidRPr="00743E10">
              <w:t xml:space="preserve">every citizen </w:t>
            </w:r>
            <w:r w:rsidR="00C65BA7" w:rsidRPr="00743E10">
              <w:t>the opportunity to give opinions</w:t>
            </w:r>
            <w:r w:rsidR="005652D5" w:rsidRPr="00743E10">
              <w:t xml:space="preserve"> </w:t>
            </w:r>
            <w:r w:rsidR="001B6BBC" w:rsidRPr="00743E10">
              <w:t xml:space="preserve">on </w:t>
            </w:r>
            <w:r w:rsidR="005652D5" w:rsidRPr="00743E10">
              <w:t>legislative drafts</w:t>
            </w:r>
            <w:r w:rsidR="00F27105" w:rsidRPr="00743E10">
              <w:t xml:space="preserve"> and other </w:t>
            </w:r>
            <w:r w:rsidR="003E10B1" w:rsidRPr="00743E10">
              <w:t>government plans</w:t>
            </w:r>
            <w:r w:rsidR="001B6BBC" w:rsidRPr="00743E10">
              <w:t xml:space="preserve">. </w:t>
            </w:r>
            <w:r w:rsidR="008E3855" w:rsidRPr="00743E10">
              <w:t>I</w:t>
            </w:r>
            <w:r w:rsidR="003E10B1" w:rsidRPr="00743E10">
              <w:t xml:space="preserve">n 2022, </w:t>
            </w:r>
            <w:r w:rsidR="008E3855" w:rsidRPr="00743E10">
              <w:t xml:space="preserve">for example, </w:t>
            </w:r>
            <w:r w:rsidR="003E10B1" w:rsidRPr="00743E10">
              <w:t>m</w:t>
            </w:r>
            <w:r w:rsidR="001B6BBC" w:rsidRPr="00743E10">
              <w:t>any</w:t>
            </w:r>
            <w:r w:rsidR="005652D5" w:rsidRPr="00743E10">
              <w:t xml:space="preserve"> </w:t>
            </w:r>
            <w:r w:rsidR="00FA3DDA" w:rsidRPr="00743E10">
              <w:t>DPOs</w:t>
            </w:r>
            <w:r w:rsidR="005652D5" w:rsidRPr="00743E10">
              <w:t xml:space="preserve"> ma</w:t>
            </w:r>
            <w:r w:rsidR="00C65BA7" w:rsidRPr="00743E10">
              <w:t>de</w:t>
            </w:r>
            <w:r w:rsidR="005652D5" w:rsidRPr="00743E10">
              <w:t xml:space="preserve"> use of this </w:t>
            </w:r>
            <w:r w:rsidR="003E10B1" w:rsidRPr="00743E10">
              <w:t>service</w:t>
            </w:r>
            <w:r w:rsidR="00F27105" w:rsidRPr="00743E10">
              <w:t xml:space="preserve"> </w:t>
            </w:r>
            <w:r w:rsidR="003E18BF" w:rsidRPr="00743E10">
              <w:t>to comment the proposal for a new act on disability services</w:t>
            </w:r>
            <w:r w:rsidR="005652D5" w:rsidRPr="00743E10">
              <w:t>.</w:t>
            </w:r>
            <w:r w:rsidR="0010678C" w:rsidRPr="00371ACB">
              <w:rPr>
                <w:rStyle w:val="FootnoteReference"/>
                <w:color w:val="2E74B5" w:themeColor="accent5" w:themeShade="BF"/>
              </w:rPr>
              <w:footnoteReference w:id="50"/>
            </w:r>
            <w:r w:rsidR="00EB6550" w:rsidRPr="00743E10">
              <w:t xml:space="preserve"> </w:t>
            </w:r>
            <w:r w:rsidR="00B65B15" w:rsidRPr="00743E10">
              <w:t xml:space="preserve">Also, </w:t>
            </w:r>
            <w:r w:rsidR="005652D5" w:rsidRPr="00743E10">
              <w:t>Parlia</w:t>
            </w:r>
            <w:r w:rsidR="003E18BF" w:rsidRPr="00743E10">
              <w:softHyphen/>
            </w:r>
            <w:r w:rsidR="005652D5" w:rsidRPr="00743E10">
              <w:t>men</w:t>
            </w:r>
            <w:r w:rsidR="003E18BF" w:rsidRPr="00743E10">
              <w:softHyphen/>
            </w:r>
            <w:r w:rsidR="005652D5" w:rsidRPr="00743E10">
              <w:t xml:space="preserve">tary committees hear representatives of </w:t>
            </w:r>
            <w:r w:rsidR="003E10B1" w:rsidRPr="00743E10">
              <w:rPr>
                <w:u w:val="double"/>
              </w:rPr>
              <w:t>DPOs</w:t>
            </w:r>
            <w:r w:rsidR="005652D5" w:rsidRPr="00743E10">
              <w:t>, especial</w:t>
            </w:r>
            <w:r w:rsidR="003E18BF" w:rsidRPr="00743E10">
              <w:softHyphen/>
            </w:r>
            <w:r w:rsidR="005652D5" w:rsidRPr="00743E10">
              <w:t>ly when it comes to legislation that directly affects the rights of persons with disabilities.</w:t>
            </w:r>
          </w:p>
          <w:p w14:paraId="16FEA7C6" w14:textId="77777777" w:rsidR="001B6BBC" w:rsidRPr="00743E10" w:rsidRDefault="001B6BBC" w:rsidP="002B3544">
            <w:pPr>
              <w:pStyle w:val="FRABodyText"/>
            </w:pPr>
          </w:p>
          <w:p w14:paraId="7096E508" w14:textId="393DDBB2" w:rsidR="00B72075" w:rsidRPr="00743E10" w:rsidRDefault="00D733EB" w:rsidP="002B3544">
            <w:pPr>
              <w:pStyle w:val="FRABodyText"/>
              <w:rPr>
                <w:i/>
                <w:iCs/>
              </w:rPr>
            </w:pPr>
            <w:r w:rsidRPr="00743E10">
              <w:t>At local and regional level section 28 of the Local Government Act (</w:t>
            </w:r>
            <w:proofErr w:type="spellStart"/>
            <w:r w:rsidRPr="00853C2E">
              <w:rPr>
                <w:i/>
                <w:iCs/>
              </w:rPr>
              <w:t>kunta</w:t>
            </w:r>
            <w:r w:rsidR="008E3855" w:rsidRPr="00853C2E">
              <w:rPr>
                <w:i/>
                <w:iCs/>
              </w:rPr>
              <w:softHyphen/>
            </w:r>
            <w:r w:rsidRPr="00853C2E">
              <w:rPr>
                <w:i/>
                <w:iCs/>
              </w:rPr>
              <w:t>laki</w:t>
            </w:r>
            <w:proofErr w:type="spellEnd"/>
            <w:r w:rsidRPr="00853C2E">
              <w:rPr>
                <w:i/>
                <w:iCs/>
              </w:rPr>
              <w:t>/</w:t>
            </w:r>
            <w:proofErr w:type="spellStart"/>
            <w:r w:rsidRPr="00853C2E">
              <w:rPr>
                <w:i/>
                <w:iCs/>
              </w:rPr>
              <w:t>kommunallag</w:t>
            </w:r>
            <w:proofErr w:type="spellEnd"/>
            <w:r w:rsidRPr="00743E10">
              <w:t>)</w:t>
            </w:r>
            <w:r w:rsidR="0045022F">
              <w:rPr>
                <w:i/>
                <w:iCs/>
              </w:rPr>
              <w:t xml:space="preserve"> </w:t>
            </w:r>
            <w:r w:rsidRPr="00743E10">
              <w:t>(Act No. 410/2015)</w:t>
            </w:r>
            <w:r w:rsidR="00793AC2">
              <w:rPr>
                <w:rStyle w:val="FootnoteReference"/>
              </w:rPr>
              <w:footnoteReference w:id="51"/>
            </w:r>
            <w:r w:rsidRPr="00743E10">
              <w:t xml:space="preserve"> and section 32 of the Act on Wellbeing </w:t>
            </w:r>
            <w:r w:rsidR="008E3855" w:rsidRPr="00743E10">
              <w:t xml:space="preserve">Services </w:t>
            </w:r>
            <w:r w:rsidRPr="00743E10">
              <w:t>Count</w:t>
            </w:r>
            <w:r w:rsidR="008E3855" w:rsidRPr="00743E10">
              <w:t>ies</w:t>
            </w:r>
            <w:r w:rsidRPr="00743E10">
              <w:t xml:space="preserve"> </w:t>
            </w:r>
            <w:r w:rsidR="008E3855" w:rsidRPr="00743E10">
              <w:t>(</w:t>
            </w:r>
            <w:proofErr w:type="spellStart"/>
            <w:r w:rsidRPr="00853C2E">
              <w:rPr>
                <w:i/>
                <w:iCs/>
              </w:rPr>
              <w:t>laki</w:t>
            </w:r>
            <w:proofErr w:type="spellEnd"/>
            <w:r w:rsidRPr="00853C2E">
              <w:rPr>
                <w:i/>
                <w:iCs/>
              </w:rPr>
              <w:t xml:space="preserve"> </w:t>
            </w:r>
            <w:proofErr w:type="spellStart"/>
            <w:r w:rsidRPr="00853C2E">
              <w:rPr>
                <w:i/>
                <w:iCs/>
              </w:rPr>
              <w:t>hyvinvointialueista</w:t>
            </w:r>
            <w:proofErr w:type="spellEnd"/>
            <w:r w:rsidR="008E3855" w:rsidRPr="00853C2E">
              <w:rPr>
                <w:i/>
                <w:iCs/>
              </w:rPr>
              <w:t xml:space="preserve">/lag om </w:t>
            </w:r>
            <w:proofErr w:type="spellStart"/>
            <w:r w:rsidR="008E3855" w:rsidRPr="00853C2E">
              <w:rPr>
                <w:i/>
                <w:iCs/>
              </w:rPr>
              <w:t>välfärds</w:t>
            </w:r>
            <w:r w:rsidR="008E3855" w:rsidRPr="00853C2E">
              <w:rPr>
                <w:i/>
                <w:iCs/>
              </w:rPr>
              <w:softHyphen/>
              <w:t>om</w:t>
            </w:r>
            <w:r w:rsidR="008E3855" w:rsidRPr="00853C2E">
              <w:rPr>
                <w:i/>
                <w:iCs/>
              </w:rPr>
              <w:softHyphen/>
              <w:t>råd</w:t>
            </w:r>
            <w:r w:rsidR="008E3855" w:rsidRPr="00853C2E">
              <w:rPr>
                <w:i/>
                <w:iCs/>
              </w:rPr>
              <w:softHyphen/>
              <w:t>en</w:t>
            </w:r>
            <w:proofErr w:type="spellEnd"/>
            <w:r w:rsidR="008E3855" w:rsidRPr="00743E10">
              <w:t>) (Act No. 611/2021)</w:t>
            </w:r>
            <w:r w:rsidRPr="00743E10">
              <w:t>,</w:t>
            </w:r>
            <w:r w:rsidR="00793AC2">
              <w:rPr>
                <w:rStyle w:val="FootnoteReference"/>
              </w:rPr>
              <w:footnoteReference w:id="52"/>
            </w:r>
            <w:r w:rsidRPr="00743E10">
              <w:t xml:space="preserve"> respectively, </w:t>
            </w:r>
            <w:r w:rsidR="008E3855" w:rsidRPr="00743E10">
              <w:t xml:space="preserve">require setting up disability </w:t>
            </w:r>
            <w:r w:rsidR="008E3855" w:rsidRPr="00743E10">
              <w:lastRenderedPageBreak/>
              <w:t xml:space="preserve">councils to guarantee adequate representation of disabled persons and their organizations. </w:t>
            </w:r>
            <w:r w:rsidR="00B65B15" w:rsidRPr="00743E10">
              <w:t xml:space="preserve">The task of </w:t>
            </w:r>
            <w:r w:rsidR="00F27105" w:rsidRPr="00743E10">
              <w:t xml:space="preserve">the </w:t>
            </w:r>
            <w:r w:rsidR="00B65B15" w:rsidRPr="00743E10">
              <w:t>disability councils</w:t>
            </w:r>
            <w:r w:rsidR="00F27105" w:rsidRPr="00743E10">
              <w:t xml:space="preserve"> </w:t>
            </w:r>
            <w:r w:rsidR="00B65B15" w:rsidRPr="00743E10">
              <w:t xml:space="preserve">is to influence the planning, decision-making and monitoring of the </w:t>
            </w:r>
            <w:r w:rsidR="00524551" w:rsidRPr="00743E10">
              <w:t xml:space="preserve">municipalities and </w:t>
            </w:r>
            <w:r w:rsidR="00B65B15" w:rsidRPr="00743E10">
              <w:t>wellbeing services count</w:t>
            </w:r>
            <w:r w:rsidR="00524551" w:rsidRPr="00743E10">
              <w:t>ies</w:t>
            </w:r>
            <w:r w:rsidR="00B65B15" w:rsidRPr="00743E10">
              <w:t xml:space="preserve"> </w:t>
            </w:r>
            <w:r w:rsidR="00454B57" w:rsidRPr="00743E10">
              <w:t>across</w:t>
            </w:r>
            <w:r w:rsidR="00B65B15" w:rsidRPr="00743E10">
              <w:t xml:space="preserve"> all administrative branches</w:t>
            </w:r>
            <w:r w:rsidR="00524551" w:rsidRPr="00743E10">
              <w:t xml:space="preserve"> in matters pertaining to disabled persons</w:t>
            </w:r>
            <w:r w:rsidR="00B65B15" w:rsidRPr="00743E10">
              <w:t>. Disability councils can take initiatives</w:t>
            </w:r>
            <w:r w:rsidR="00177B15" w:rsidRPr="00743E10">
              <w:t>, and</w:t>
            </w:r>
            <w:r w:rsidR="00B65B15" w:rsidRPr="00743E10">
              <w:t xml:space="preserve"> issue statements and position papers.</w:t>
            </w:r>
            <w:r w:rsidR="00524551" w:rsidRPr="00743E10">
              <w:t xml:space="preserve"> They can, however, not participate directly in decision-making.</w:t>
            </w:r>
          </w:p>
          <w:p w14:paraId="74BEEDAC" w14:textId="77777777" w:rsidR="00F27105" w:rsidRPr="00743E10" w:rsidRDefault="00F27105" w:rsidP="002B3544">
            <w:pPr>
              <w:pStyle w:val="FRABodyText"/>
            </w:pPr>
          </w:p>
          <w:p w14:paraId="25AED805" w14:textId="39EEADBE" w:rsidR="009A3977" w:rsidRPr="00743E10" w:rsidRDefault="006038ED" w:rsidP="002B3544">
            <w:pPr>
              <w:pStyle w:val="FRABodyText"/>
              <w:rPr>
                <w:i/>
                <w:iCs/>
              </w:rPr>
            </w:pPr>
            <w:r w:rsidRPr="00743E10">
              <w:t>Despite these statutory mechanisms</w:t>
            </w:r>
            <w:r w:rsidR="00177B15" w:rsidRPr="00743E10">
              <w:t xml:space="preserve"> being in place</w:t>
            </w:r>
            <w:r w:rsidRPr="00743E10">
              <w:t xml:space="preserve">, </w:t>
            </w:r>
            <w:r w:rsidR="00177B15" w:rsidRPr="00743E10">
              <w:t>disabled persons and their organi</w:t>
            </w:r>
            <w:r w:rsidR="00524551" w:rsidRPr="00743E10">
              <w:t>z</w:t>
            </w:r>
            <w:r w:rsidR="00177B15" w:rsidRPr="00743E10">
              <w:t xml:space="preserve">ations </w:t>
            </w:r>
            <w:r w:rsidR="00240D50" w:rsidRPr="00743E10">
              <w:t xml:space="preserve">consultation as a systematic </w:t>
            </w:r>
            <w:r w:rsidR="00240D50" w:rsidRPr="009C0A77">
              <w:t>p</w:t>
            </w:r>
            <w:r w:rsidR="00AC16D0" w:rsidRPr="009C0A77">
              <w:t>olicy</w:t>
            </w:r>
            <w:r w:rsidR="00240D50" w:rsidRPr="009C0A77">
              <w:t xml:space="preserve"> </w:t>
            </w:r>
            <w:r w:rsidR="00240D50" w:rsidRPr="00743E10">
              <w:t>still needs strengthening</w:t>
            </w:r>
            <w:r w:rsidR="00177B15" w:rsidRPr="00743E10">
              <w:t xml:space="preserve">, as </w:t>
            </w:r>
            <w:r w:rsidR="00240D50" w:rsidRPr="00743E10">
              <w:t xml:space="preserve">also </w:t>
            </w:r>
            <w:r w:rsidR="00AC16D0" w:rsidRPr="00853C2E">
              <w:t>pointed out</w:t>
            </w:r>
            <w:r w:rsidR="00177B15" w:rsidRPr="00853C2E">
              <w:t xml:space="preserve"> </w:t>
            </w:r>
            <w:r w:rsidR="00AC16D0" w:rsidRPr="00853C2E">
              <w:t>by DPOs</w:t>
            </w:r>
            <w:r w:rsidR="00AC16D0">
              <w:rPr>
                <w:i/>
                <w:iCs/>
              </w:rPr>
              <w:t xml:space="preserve"> </w:t>
            </w:r>
            <w:r w:rsidR="00177B15" w:rsidRPr="00743E10">
              <w:t xml:space="preserve">in the </w:t>
            </w:r>
            <w:r w:rsidR="00454B57" w:rsidRPr="00743E10">
              <w:t xml:space="preserve">national </w:t>
            </w:r>
            <w:r w:rsidR="00177B15" w:rsidRPr="00743E10">
              <w:t>action plan follow-up report of 2023.</w:t>
            </w:r>
            <w:r w:rsidR="00240D50" w:rsidRPr="00C37D89">
              <w:rPr>
                <w:rStyle w:val="FootnoteReference"/>
                <w:color w:val="2E74B5" w:themeColor="accent5" w:themeShade="BF"/>
              </w:rPr>
              <w:footnoteReference w:id="53"/>
            </w:r>
            <w:r w:rsidR="00177B15" w:rsidRPr="00743E10">
              <w:t xml:space="preserve"> </w:t>
            </w:r>
          </w:p>
        </w:tc>
      </w:tr>
      <w:tr w:rsidR="00CC2CCC" w:rsidRPr="006E5B7F" w14:paraId="122691C6"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41113CB" w14:textId="066687EB" w:rsidR="00566A68" w:rsidRPr="003D7638" w:rsidRDefault="00566A68" w:rsidP="002B3544">
            <w:pPr>
              <w:pStyle w:val="FRABodyText"/>
              <w:rPr>
                <w:i/>
                <w:iCs/>
              </w:rPr>
            </w:pPr>
            <w:r w:rsidRPr="003D7638">
              <w:lastRenderedPageBreak/>
              <w:t xml:space="preserve">Do </w:t>
            </w:r>
            <w:r w:rsidR="003F149D" w:rsidRPr="003D7638">
              <w:t>national authorities</w:t>
            </w:r>
            <w:r w:rsidRPr="003D7638">
              <w:t xml:space="preserve"> provide guidelines on how to make polling stations accessible?</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E3137AC" w14:textId="7E8FC5B7" w:rsidR="00566A68" w:rsidRPr="00E82C3F" w:rsidRDefault="00566A68" w:rsidP="002B3544">
            <w:pPr>
              <w:pStyle w:val="FRABodyText"/>
              <w:rPr>
                <w:i/>
                <w:iCs/>
              </w:rPr>
            </w:pPr>
            <w:r w:rsidRPr="00017BC0">
              <w:t xml:space="preserve">Yes, detailed guidance available </w:t>
            </w:r>
          </w:p>
          <w:p w14:paraId="0AFA8478" w14:textId="582A3B52" w:rsidR="00566A68" w:rsidRPr="00E82C3F" w:rsidRDefault="00566A68" w:rsidP="002B3544">
            <w:pPr>
              <w:pStyle w:val="FRABodyText"/>
              <w:rPr>
                <w:i/>
                <w:iCs/>
              </w:rPr>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F773970" w14:textId="42896873" w:rsidR="00317F6A" w:rsidRPr="00743E10" w:rsidRDefault="005277BB" w:rsidP="002B3544">
            <w:pPr>
              <w:pStyle w:val="FRABodyText"/>
              <w:rPr>
                <w:i/>
                <w:iCs/>
              </w:rPr>
            </w:pPr>
            <w:r w:rsidRPr="00743E10">
              <w:t xml:space="preserve">In </w:t>
            </w:r>
            <w:r w:rsidRPr="00743E10">
              <w:rPr>
                <w:b/>
                <w:bCs/>
              </w:rPr>
              <w:t>Finland</w:t>
            </w:r>
            <w:r w:rsidRPr="00743E10">
              <w:t xml:space="preserve">, the Ministry of Justice </w:t>
            </w:r>
            <w:r w:rsidR="00F56C0E" w:rsidRPr="00743E10">
              <w:t xml:space="preserve">election </w:t>
            </w:r>
            <w:r w:rsidRPr="00743E10">
              <w:t>instructions to the central elec</w:t>
            </w:r>
            <w:r w:rsidR="001F6102" w:rsidRPr="00743E10">
              <w:softHyphen/>
            </w:r>
            <w:r w:rsidRPr="00743E10">
              <w:t xml:space="preserve">tion </w:t>
            </w:r>
            <w:r w:rsidR="00605370" w:rsidRPr="00853C2E">
              <w:t>boards</w:t>
            </w:r>
            <w:r w:rsidRPr="00743E10">
              <w:t xml:space="preserve"> include </w:t>
            </w:r>
            <w:r w:rsidR="0002783E">
              <w:t xml:space="preserve">accessibility instructions and </w:t>
            </w:r>
            <w:r w:rsidRPr="00743E10">
              <w:t xml:space="preserve">the Finnish Association </w:t>
            </w:r>
            <w:r w:rsidRPr="00743E10">
              <w:lastRenderedPageBreak/>
              <w:t>of People with Physic</w:t>
            </w:r>
            <w:r w:rsidR="001F6102" w:rsidRPr="00743E10">
              <w:softHyphen/>
            </w:r>
            <w:r w:rsidRPr="00743E10">
              <w:t>al Disabilities</w:t>
            </w:r>
            <w:r w:rsidR="001F6102" w:rsidRPr="00743E10">
              <w:t>’</w:t>
            </w:r>
            <w:r w:rsidRPr="00743E10">
              <w:t xml:space="preserve"> </w:t>
            </w:r>
            <w:r w:rsidR="009E1386" w:rsidRPr="00743E10">
              <w:t>(</w:t>
            </w:r>
            <w:proofErr w:type="spellStart"/>
            <w:r w:rsidR="009E1386" w:rsidRPr="00853C2E">
              <w:rPr>
                <w:i/>
                <w:iCs/>
              </w:rPr>
              <w:t>Invalidiliitto</w:t>
            </w:r>
            <w:proofErr w:type="spellEnd"/>
            <w:r w:rsidR="009E1386" w:rsidRPr="00853C2E">
              <w:rPr>
                <w:i/>
                <w:iCs/>
              </w:rPr>
              <w:t>/</w:t>
            </w:r>
            <w:proofErr w:type="spellStart"/>
            <w:r w:rsidR="009E1386" w:rsidRPr="00853C2E">
              <w:rPr>
                <w:i/>
                <w:iCs/>
              </w:rPr>
              <w:t>Invalidför</w:t>
            </w:r>
            <w:r w:rsidR="0002783E" w:rsidRPr="00853C2E">
              <w:rPr>
                <w:i/>
                <w:iCs/>
              </w:rPr>
              <w:softHyphen/>
            </w:r>
            <w:r w:rsidR="009E1386" w:rsidRPr="00853C2E">
              <w:rPr>
                <w:i/>
                <w:iCs/>
              </w:rPr>
              <w:t>bundet</w:t>
            </w:r>
            <w:proofErr w:type="spellEnd"/>
            <w:r w:rsidR="009E1386" w:rsidRPr="00743E10">
              <w:t xml:space="preserve">) </w:t>
            </w:r>
            <w:r w:rsidRPr="00743E10">
              <w:t>accessibility checklist</w:t>
            </w:r>
            <w:r w:rsidR="00C519ED" w:rsidRPr="00743E10">
              <w:t>.</w:t>
            </w:r>
            <w:r w:rsidR="00F56C0E" w:rsidRPr="00C37D89">
              <w:rPr>
                <w:rStyle w:val="FootnoteReference"/>
                <w:color w:val="2E74B5" w:themeColor="accent5" w:themeShade="BF"/>
              </w:rPr>
              <w:footnoteReference w:id="54"/>
            </w:r>
            <w:r w:rsidR="00C519ED" w:rsidRPr="00743E10">
              <w:t xml:space="preserve"> </w:t>
            </w:r>
          </w:p>
          <w:p w14:paraId="6DF08A6D" w14:textId="77777777" w:rsidR="009E1386" w:rsidRPr="00743E10" w:rsidRDefault="009E1386" w:rsidP="002B3544">
            <w:pPr>
              <w:pStyle w:val="FRABodyText"/>
            </w:pPr>
          </w:p>
          <w:p w14:paraId="0F03E0EE" w14:textId="4640A66F" w:rsidR="005277BB" w:rsidRPr="00743E10" w:rsidRDefault="005277BB" w:rsidP="002B3544">
            <w:pPr>
              <w:pStyle w:val="FRABodyText"/>
              <w:rPr>
                <w:i/>
                <w:iCs/>
              </w:rPr>
            </w:pPr>
            <w:r w:rsidRPr="00743E10">
              <w:t>General guidelines on accessibility of buildings are provided by the Minist</w:t>
            </w:r>
            <w:r w:rsidR="00AC1E5C" w:rsidRPr="00743E10">
              <w:softHyphen/>
            </w:r>
            <w:r w:rsidRPr="00743E10">
              <w:t>ry of the Environment</w:t>
            </w:r>
            <w:r w:rsidR="00AC1E5C" w:rsidRPr="00743E10">
              <w:t xml:space="preserve"> (</w:t>
            </w:r>
            <w:proofErr w:type="spellStart"/>
            <w:r w:rsidR="00AC1E5C" w:rsidRPr="00853C2E">
              <w:rPr>
                <w:i/>
                <w:iCs/>
              </w:rPr>
              <w:t>ympäristöministeriö</w:t>
            </w:r>
            <w:proofErr w:type="spellEnd"/>
            <w:r w:rsidR="00AC1E5C" w:rsidRPr="00853C2E">
              <w:rPr>
                <w:i/>
                <w:iCs/>
              </w:rPr>
              <w:t>/</w:t>
            </w:r>
            <w:proofErr w:type="spellStart"/>
            <w:r w:rsidR="00AC1E5C" w:rsidRPr="00853C2E">
              <w:rPr>
                <w:i/>
                <w:iCs/>
              </w:rPr>
              <w:t>miljöministeriet</w:t>
            </w:r>
            <w:proofErr w:type="spellEnd"/>
            <w:r w:rsidR="00AC1E5C" w:rsidRPr="0002783E">
              <w:t>)</w:t>
            </w:r>
            <w:r w:rsidRPr="00743E10">
              <w:t>.</w:t>
            </w:r>
            <w:r w:rsidRPr="00FB4D85">
              <w:rPr>
                <w:rStyle w:val="FootnoteReference"/>
                <w:color w:val="2E74B5" w:themeColor="accent5" w:themeShade="BF"/>
              </w:rPr>
              <w:footnoteReference w:id="55"/>
            </w:r>
            <w:r w:rsidRPr="00743E10">
              <w:t xml:space="preserve"> </w:t>
            </w:r>
            <w:r w:rsidR="009E1386" w:rsidRPr="00743E10">
              <w:t>These con</w:t>
            </w:r>
            <w:r w:rsidR="001F6102" w:rsidRPr="00743E10">
              <w:softHyphen/>
            </w:r>
            <w:r w:rsidR="009E1386" w:rsidRPr="00743E10">
              <w:t xml:space="preserve">tain the provisions of the </w:t>
            </w:r>
            <w:r w:rsidR="002F41CE" w:rsidRPr="00743E10">
              <w:t>Government r</w:t>
            </w:r>
            <w:r w:rsidR="009E1386" w:rsidRPr="00743E10">
              <w:t>egulation</w:t>
            </w:r>
            <w:r w:rsidR="002F41CE" w:rsidRPr="00743E10">
              <w:t xml:space="preserve"> on accessibility of build</w:t>
            </w:r>
            <w:r w:rsidR="001F6102" w:rsidRPr="00743E10">
              <w:softHyphen/>
            </w:r>
            <w:r w:rsidR="001F6102" w:rsidRPr="00743E10">
              <w:softHyphen/>
            </w:r>
            <w:r w:rsidR="002F41CE" w:rsidRPr="00743E10">
              <w:t>ings</w:t>
            </w:r>
            <w:r w:rsidR="009E1386" w:rsidRPr="00743E10">
              <w:t xml:space="preserve"> </w:t>
            </w:r>
            <w:bookmarkStart w:id="34" w:name="_Hlk153530311"/>
            <w:r w:rsidR="00F56C0E" w:rsidRPr="00743E10">
              <w:t>(</w:t>
            </w:r>
            <w:proofErr w:type="spellStart"/>
            <w:r w:rsidR="00AC1E5C" w:rsidRPr="00FB4D85">
              <w:rPr>
                <w:i/>
                <w:iCs/>
              </w:rPr>
              <w:t>valtioneuvos</w:t>
            </w:r>
            <w:r w:rsidR="00AC1E5C" w:rsidRPr="00FB4D85">
              <w:rPr>
                <w:i/>
                <w:iCs/>
              </w:rPr>
              <w:softHyphen/>
              <w:t>ton</w:t>
            </w:r>
            <w:proofErr w:type="spellEnd"/>
            <w:r w:rsidR="00AC1E5C" w:rsidRPr="00FB4D85">
              <w:rPr>
                <w:i/>
                <w:iCs/>
              </w:rPr>
              <w:t xml:space="preserve"> </w:t>
            </w:r>
            <w:proofErr w:type="spellStart"/>
            <w:r w:rsidR="00F56C0E" w:rsidRPr="00FB4D85">
              <w:rPr>
                <w:i/>
                <w:iCs/>
              </w:rPr>
              <w:t>asetus</w:t>
            </w:r>
            <w:proofErr w:type="spellEnd"/>
            <w:r w:rsidR="00F56C0E" w:rsidRPr="00FB4D85">
              <w:rPr>
                <w:i/>
                <w:iCs/>
              </w:rPr>
              <w:t xml:space="preserve"> </w:t>
            </w:r>
            <w:proofErr w:type="spellStart"/>
            <w:r w:rsidR="00F56C0E" w:rsidRPr="00FB4D85">
              <w:rPr>
                <w:i/>
                <w:iCs/>
              </w:rPr>
              <w:t>rakennu</w:t>
            </w:r>
            <w:r w:rsidR="00AC1E5C" w:rsidRPr="00FB4D85">
              <w:rPr>
                <w:i/>
                <w:iCs/>
              </w:rPr>
              <w:t>ksen</w:t>
            </w:r>
            <w:proofErr w:type="spellEnd"/>
            <w:r w:rsidR="00F56C0E" w:rsidRPr="00FB4D85">
              <w:rPr>
                <w:i/>
                <w:iCs/>
              </w:rPr>
              <w:t xml:space="preserve"> </w:t>
            </w:r>
            <w:proofErr w:type="spellStart"/>
            <w:r w:rsidR="00F56C0E" w:rsidRPr="00FB4D85">
              <w:rPr>
                <w:i/>
                <w:iCs/>
              </w:rPr>
              <w:t>esteettömyy</w:t>
            </w:r>
            <w:r w:rsidR="002F41CE" w:rsidRPr="00FB4D85">
              <w:rPr>
                <w:i/>
                <w:iCs/>
              </w:rPr>
              <w:softHyphen/>
            </w:r>
            <w:r w:rsidR="00F56C0E" w:rsidRPr="00FB4D85">
              <w:rPr>
                <w:i/>
                <w:iCs/>
              </w:rPr>
              <w:t>destä</w:t>
            </w:r>
            <w:proofErr w:type="spellEnd"/>
            <w:r w:rsidR="00AC1E5C" w:rsidRPr="00FB4D85">
              <w:t>/</w:t>
            </w:r>
            <w:proofErr w:type="spellStart"/>
            <w:r w:rsidR="00AC1E5C" w:rsidRPr="00FB4D85">
              <w:rPr>
                <w:i/>
                <w:iCs/>
              </w:rPr>
              <w:t>stats</w:t>
            </w:r>
            <w:r w:rsidR="002F41CE" w:rsidRPr="00FB4D85">
              <w:rPr>
                <w:i/>
                <w:iCs/>
              </w:rPr>
              <w:softHyphen/>
            </w:r>
            <w:r w:rsidR="00AC1E5C" w:rsidRPr="00FB4D85">
              <w:rPr>
                <w:i/>
                <w:iCs/>
              </w:rPr>
              <w:t>rådets</w:t>
            </w:r>
            <w:proofErr w:type="spellEnd"/>
            <w:r w:rsidR="00AC1E5C" w:rsidRPr="00FB4D85">
              <w:rPr>
                <w:i/>
                <w:iCs/>
              </w:rPr>
              <w:t xml:space="preserve"> </w:t>
            </w:r>
            <w:proofErr w:type="spellStart"/>
            <w:r w:rsidR="00AC1E5C" w:rsidRPr="00FB4D85">
              <w:rPr>
                <w:i/>
                <w:iCs/>
              </w:rPr>
              <w:t>förordning</w:t>
            </w:r>
            <w:proofErr w:type="spellEnd"/>
            <w:r w:rsidR="00AC1E5C" w:rsidRPr="00FB4D85">
              <w:rPr>
                <w:i/>
                <w:iCs/>
              </w:rPr>
              <w:t xml:space="preserve"> om </w:t>
            </w:r>
            <w:proofErr w:type="spellStart"/>
            <w:r w:rsidR="00AC1E5C" w:rsidRPr="00FB4D85">
              <w:rPr>
                <w:i/>
                <w:iCs/>
              </w:rPr>
              <w:t>byggna</w:t>
            </w:r>
            <w:r w:rsidR="00AC1E5C" w:rsidRPr="00FB4D85">
              <w:rPr>
                <w:i/>
                <w:iCs/>
              </w:rPr>
              <w:softHyphen/>
              <w:t>d</w:t>
            </w:r>
            <w:r w:rsidR="00AC1E5C" w:rsidRPr="00FB4D85">
              <w:rPr>
                <w:i/>
                <w:iCs/>
              </w:rPr>
              <w:softHyphen/>
              <w:t>ers</w:t>
            </w:r>
            <w:proofErr w:type="spellEnd"/>
            <w:r w:rsidR="00AC1E5C" w:rsidRPr="00FB4D85">
              <w:rPr>
                <w:i/>
                <w:iCs/>
              </w:rPr>
              <w:t xml:space="preserve"> </w:t>
            </w:r>
            <w:proofErr w:type="spellStart"/>
            <w:r w:rsidR="00AC1E5C" w:rsidRPr="00FB4D85">
              <w:rPr>
                <w:i/>
                <w:iCs/>
              </w:rPr>
              <w:t>tillgänglighet</w:t>
            </w:r>
            <w:proofErr w:type="spellEnd"/>
            <w:r w:rsidR="00AC1E5C" w:rsidRPr="00743E10">
              <w:t>)</w:t>
            </w:r>
            <w:r w:rsidR="00F56C0E" w:rsidRPr="00743E10">
              <w:t>, (</w:t>
            </w:r>
            <w:r w:rsidR="0045022F">
              <w:rPr>
                <w:i/>
                <w:iCs/>
              </w:rPr>
              <w:t>Decree</w:t>
            </w:r>
            <w:r w:rsidR="001F6102" w:rsidRPr="00743E10">
              <w:t xml:space="preserve"> </w:t>
            </w:r>
            <w:r w:rsidR="00F56C0E" w:rsidRPr="00743E10">
              <w:t>No. 241/2017)</w:t>
            </w:r>
            <w:bookmarkEnd w:id="34"/>
            <w:r w:rsidR="0045022F">
              <w:rPr>
                <w:rStyle w:val="FootnoteReference"/>
                <w:i/>
                <w:iCs/>
              </w:rPr>
              <w:footnoteReference w:id="56"/>
            </w:r>
            <w:r w:rsidR="00F56C0E" w:rsidRPr="00743E10">
              <w:t xml:space="preserve"> </w:t>
            </w:r>
            <w:r w:rsidR="009E1386" w:rsidRPr="00743E10">
              <w:t>and recommendations related to their application</w:t>
            </w:r>
            <w:r w:rsidR="00C519ED" w:rsidRPr="00743E10">
              <w:t>.</w:t>
            </w:r>
            <w:r w:rsidR="002F41CE" w:rsidRPr="00743E10">
              <w:t xml:space="preserve"> </w:t>
            </w:r>
            <w:r w:rsidR="005B1F5E" w:rsidRPr="00743E10">
              <w:t xml:space="preserve">In addition, the Ministry of the Environment </w:t>
            </w:r>
            <w:r w:rsidR="00196DA1" w:rsidRPr="00743E10">
              <w:t xml:space="preserve">has </w:t>
            </w:r>
            <w:r w:rsidR="005B1F5E" w:rsidRPr="00743E10">
              <w:t>published a</w:t>
            </w:r>
            <w:r w:rsidR="000615C3" w:rsidRPr="00743E10">
              <w:t>n extensive</w:t>
            </w:r>
            <w:r w:rsidR="002F41CE" w:rsidRPr="00743E10">
              <w:t xml:space="preserve"> </w:t>
            </w:r>
            <w:r w:rsidR="005B1F5E" w:rsidRPr="00743E10">
              <w:t xml:space="preserve">and detailed </w:t>
            </w:r>
            <w:r w:rsidR="00A938A4" w:rsidRPr="00743E10">
              <w:t>guidebook</w:t>
            </w:r>
            <w:r w:rsidR="002F41CE" w:rsidRPr="00743E10">
              <w:t xml:space="preserve"> </w:t>
            </w:r>
            <w:r w:rsidR="00196DA1" w:rsidRPr="00743E10">
              <w:t>on accessible buildings and their surroundings</w:t>
            </w:r>
            <w:r w:rsidR="002F41CE" w:rsidRPr="00743E10">
              <w:t>.</w:t>
            </w:r>
            <w:r w:rsidR="00317F6A" w:rsidRPr="00FB4D85">
              <w:rPr>
                <w:rStyle w:val="FootnoteReference"/>
                <w:color w:val="2E74B5" w:themeColor="accent5" w:themeShade="BF"/>
              </w:rPr>
              <w:footnoteReference w:id="57"/>
            </w:r>
          </w:p>
          <w:p w14:paraId="733764A9" w14:textId="77777777" w:rsidR="007B5312" w:rsidRPr="00743E10" w:rsidRDefault="007B5312" w:rsidP="002B3544">
            <w:pPr>
              <w:pStyle w:val="FRABodyText"/>
            </w:pPr>
          </w:p>
          <w:p w14:paraId="4FC9DD67" w14:textId="37EEAB84" w:rsidR="005531BB" w:rsidRPr="00743E10" w:rsidRDefault="001F0542" w:rsidP="002B3544">
            <w:pPr>
              <w:pStyle w:val="FRABodyText"/>
              <w:rPr>
                <w:i/>
                <w:iCs/>
              </w:rPr>
            </w:pPr>
            <w:r w:rsidRPr="00743E10">
              <w:t xml:space="preserve">The </w:t>
            </w:r>
            <w:bookmarkStart w:id="36" w:name="_Hlk150863026"/>
            <w:r w:rsidRPr="00743E10">
              <w:t>Finnish Association of People with Physic</w:t>
            </w:r>
            <w:r w:rsidRPr="00743E10">
              <w:softHyphen/>
              <w:t>al Disabilities (</w:t>
            </w:r>
            <w:proofErr w:type="spellStart"/>
            <w:r w:rsidRPr="00853C2E">
              <w:rPr>
                <w:i/>
                <w:iCs/>
              </w:rPr>
              <w:t>Invalidi</w:t>
            </w:r>
            <w:r w:rsidR="006E336C" w:rsidRPr="00853C2E">
              <w:rPr>
                <w:i/>
                <w:iCs/>
              </w:rPr>
              <w:softHyphen/>
            </w:r>
            <w:r w:rsidRPr="00853C2E">
              <w:rPr>
                <w:i/>
                <w:iCs/>
              </w:rPr>
              <w:t>liitto</w:t>
            </w:r>
            <w:proofErr w:type="spellEnd"/>
            <w:r w:rsidRPr="00853C2E">
              <w:rPr>
                <w:i/>
                <w:iCs/>
              </w:rPr>
              <w:t>/</w:t>
            </w:r>
            <w:proofErr w:type="spellStart"/>
            <w:r w:rsidRPr="00853C2E">
              <w:rPr>
                <w:i/>
                <w:iCs/>
              </w:rPr>
              <w:t>Invalidförbundet</w:t>
            </w:r>
            <w:proofErr w:type="spellEnd"/>
            <w:r w:rsidRPr="00743E10">
              <w:t>)</w:t>
            </w:r>
            <w:bookmarkEnd w:id="36"/>
            <w:r w:rsidRPr="00743E10">
              <w:t xml:space="preserve"> collected feedback</w:t>
            </w:r>
            <w:r w:rsidRPr="00743E10">
              <w:softHyphen/>
              <w:t xml:space="preserve"> on the implementation of </w:t>
            </w:r>
            <w:r w:rsidRPr="00743E10">
              <w:lastRenderedPageBreak/>
              <w:t>accessible polling stations in the spring 2023 parliamentary elections.</w:t>
            </w:r>
            <w:r w:rsidR="005531BB" w:rsidRPr="00FB4D85">
              <w:rPr>
                <w:rStyle w:val="FootnoteReference"/>
                <w:color w:val="2E74B5" w:themeColor="accent5" w:themeShade="BF"/>
              </w:rPr>
              <w:footnoteReference w:id="58"/>
            </w:r>
            <w:r w:rsidRPr="00743E10">
              <w:t xml:space="preserve"> The majority (78%) of the respondents had voted in advance and one third of all respondents had experienced shortcomings in the accessibility of polling stations.</w:t>
            </w:r>
            <w:r w:rsidR="005531BB" w:rsidRPr="00743E10">
              <w:t xml:space="preserve"> Deficiencies were found in the accessibility of both indoor and outdoor spaces.</w:t>
            </w:r>
            <w:r w:rsidR="0002783E">
              <w:t xml:space="preserve"> (Please see below under “Promising practice”).</w:t>
            </w:r>
          </w:p>
          <w:p w14:paraId="47B8A88A" w14:textId="7E116BA6" w:rsidR="00380656" w:rsidRPr="00743E10" w:rsidRDefault="00380656" w:rsidP="002B3544">
            <w:pPr>
              <w:pStyle w:val="FRABodyText"/>
            </w:pPr>
          </w:p>
        </w:tc>
      </w:tr>
      <w:tr w:rsidR="00CC2CCC" w:rsidRPr="006E5B7F" w14:paraId="27723614"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6CB1867" w14:textId="528C2461" w:rsidR="00566A68" w:rsidRPr="003D7638" w:rsidRDefault="00566A68" w:rsidP="002B3544">
            <w:pPr>
              <w:pStyle w:val="FRABodyText"/>
              <w:rPr>
                <w:i/>
                <w:iCs/>
              </w:rPr>
            </w:pPr>
            <w:r w:rsidRPr="003D7638">
              <w:lastRenderedPageBreak/>
              <w:t>Does the website which provides instructions for voting and information on candidates meet accessibility standards?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C2CBB7A" w14:textId="66492C44" w:rsidR="00566A68" w:rsidRPr="003D7638" w:rsidRDefault="00566A68" w:rsidP="002B3544">
            <w:pPr>
              <w:pStyle w:val="FRABodyText"/>
              <w:rPr>
                <w:i/>
                <w:iCs/>
              </w:rPr>
            </w:pPr>
            <w:r w:rsidRPr="00017BC0">
              <w:rPr>
                <w:bCs/>
              </w:rPr>
              <w:t xml:space="preserve">Yes </w:t>
            </w:r>
            <w:r w:rsidRPr="00017BC0">
              <w:t xml:space="preserve">- Website is </w:t>
            </w:r>
            <w:r w:rsidR="00F130A0" w:rsidRPr="00017BC0">
              <w:t xml:space="preserve">EN 301 549 v3.2.1 (2021-03) </w:t>
            </w:r>
            <w:r w:rsidRPr="00017BC0">
              <w:t>compliant</w:t>
            </w:r>
            <w:r w:rsidRPr="003D7638">
              <w:rPr>
                <w:bCs/>
              </w:rPr>
              <w:t xml:space="preserve">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944D810" w14:textId="6EF4A5C7" w:rsidR="004975DC" w:rsidRPr="00743E10" w:rsidRDefault="004975DC" w:rsidP="002B3544">
            <w:pPr>
              <w:pStyle w:val="FRABodyText"/>
              <w:rPr>
                <w:i/>
                <w:iCs/>
              </w:rPr>
            </w:pPr>
            <w:r w:rsidRPr="00743E10">
              <w:t xml:space="preserve">In </w:t>
            </w:r>
            <w:r w:rsidRPr="00743E10">
              <w:rPr>
                <w:b/>
                <w:bCs/>
              </w:rPr>
              <w:t>Finland</w:t>
            </w:r>
            <w:r w:rsidRPr="00743E10">
              <w:t xml:space="preserve"> the official website providing information on voting is the </w:t>
            </w:r>
            <w:r w:rsidR="00EB5953" w:rsidRPr="0045722A">
              <w:t>e</w:t>
            </w:r>
            <w:r w:rsidR="00E66398" w:rsidRPr="0045722A">
              <w:t>lections website</w:t>
            </w:r>
            <w:r w:rsidR="00E66398" w:rsidRPr="00743E10">
              <w:t xml:space="preserve"> (</w:t>
            </w:r>
            <w:r w:rsidR="00E66398" w:rsidRPr="0045722A">
              <w:t>Vaalit</w:t>
            </w:r>
            <w:r w:rsidR="00EB5953" w:rsidRPr="0045722A">
              <w:rPr>
                <w:rStyle w:val="Hyperlink"/>
                <w:color w:val="auto"/>
                <w:u w:val="none"/>
              </w:rPr>
              <w:t>.fi</w:t>
            </w:r>
            <w:r w:rsidR="00E66398" w:rsidRPr="00743E10">
              <w:t>/</w:t>
            </w:r>
            <w:r w:rsidR="00E66398" w:rsidRPr="0045722A">
              <w:t>Val</w:t>
            </w:r>
            <w:r w:rsidR="00EB5953" w:rsidRPr="0045722A">
              <w:rPr>
                <w:rStyle w:val="Hyperlink"/>
                <w:color w:val="auto"/>
                <w:u w:val="none"/>
              </w:rPr>
              <w:t>.fi</w:t>
            </w:r>
            <w:r w:rsidR="00E66398" w:rsidRPr="00743E10">
              <w:t xml:space="preserve">) </w:t>
            </w:r>
            <w:r w:rsidRPr="00743E10">
              <w:t>maintained by the Ministry of Justice</w:t>
            </w:r>
            <w:r w:rsidR="00B26F31" w:rsidRPr="00743E10">
              <w:t xml:space="preserve"> (</w:t>
            </w:r>
            <w:proofErr w:type="spellStart"/>
            <w:r w:rsidR="00B26F31" w:rsidRPr="005C3E7E">
              <w:rPr>
                <w:i/>
                <w:iCs/>
              </w:rPr>
              <w:t>oikeusministeriö</w:t>
            </w:r>
            <w:proofErr w:type="spellEnd"/>
            <w:r w:rsidR="00B26F31" w:rsidRPr="005C3E7E">
              <w:rPr>
                <w:i/>
                <w:iCs/>
              </w:rPr>
              <w:t>/</w:t>
            </w:r>
            <w:proofErr w:type="spellStart"/>
            <w:r w:rsidR="00B26F31" w:rsidRPr="005C3E7E">
              <w:rPr>
                <w:i/>
                <w:iCs/>
              </w:rPr>
              <w:t>justitieministeriet</w:t>
            </w:r>
            <w:proofErr w:type="spellEnd"/>
            <w:r w:rsidR="00B26F31" w:rsidRPr="00743E10">
              <w:t>)</w:t>
            </w:r>
            <w:r w:rsidRPr="00743E10">
              <w:t xml:space="preserve">. The </w:t>
            </w:r>
            <w:r w:rsidR="00EB5953" w:rsidRPr="00743E10">
              <w:t>elections</w:t>
            </w:r>
            <w:r w:rsidRPr="00743E10">
              <w:t xml:space="preserve"> website meets </w:t>
            </w:r>
            <w:r w:rsidR="009562CE" w:rsidRPr="00743E10">
              <w:t xml:space="preserve">most of </w:t>
            </w:r>
            <w:r w:rsidRPr="00743E10">
              <w:t xml:space="preserve">the accessibility requirements of the law, </w:t>
            </w:r>
            <w:r w:rsidR="009562CE" w:rsidRPr="00743E10">
              <w:t xml:space="preserve">even though </w:t>
            </w:r>
            <w:r w:rsidRPr="00743E10">
              <w:t xml:space="preserve">some </w:t>
            </w:r>
            <w:r w:rsidR="0045022F" w:rsidRPr="005C3E7E">
              <w:t>minor</w:t>
            </w:r>
            <w:r w:rsidR="0045022F">
              <w:rPr>
                <w:i/>
                <w:iCs/>
              </w:rPr>
              <w:t xml:space="preserve"> </w:t>
            </w:r>
            <w:r w:rsidRPr="00743E10">
              <w:t xml:space="preserve">shortcomings </w:t>
            </w:r>
            <w:r w:rsidR="009562CE" w:rsidRPr="00743E10">
              <w:t>remain</w:t>
            </w:r>
            <w:r w:rsidR="00E66398" w:rsidRPr="00743E10">
              <w:t>, according to</w:t>
            </w:r>
            <w:r w:rsidR="00C22A5A" w:rsidRPr="00743E10">
              <w:t xml:space="preserve"> </w:t>
            </w:r>
            <w:r w:rsidR="002236F2" w:rsidRPr="00743E10">
              <w:t>the website’s accessibility statement</w:t>
            </w:r>
            <w:r w:rsidR="0045022F">
              <w:rPr>
                <w:i/>
                <w:iCs/>
              </w:rPr>
              <w:t xml:space="preserve"> </w:t>
            </w:r>
            <w:r w:rsidR="0045022F" w:rsidRPr="005C3E7E">
              <w:t>and information obtained from the Ministry of Justice</w:t>
            </w:r>
            <w:r w:rsidR="0045022F">
              <w:rPr>
                <w:i/>
                <w:iCs/>
              </w:rPr>
              <w:t xml:space="preserve"> (</w:t>
            </w:r>
            <w:proofErr w:type="spellStart"/>
            <w:r w:rsidR="0045022F" w:rsidRPr="005C3E7E">
              <w:rPr>
                <w:i/>
                <w:iCs/>
              </w:rPr>
              <w:t>oikeus</w:t>
            </w:r>
            <w:r w:rsidR="0045022F" w:rsidRPr="005C3E7E">
              <w:rPr>
                <w:i/>
                <w:iCs/>
              </w:rPr>
              <w:softHyphen/>
              <w:t>ministeriö</w:t>
            </w:r>
            <w:proofErr w:type="spellEnd"/>
            <w:r w:rsidR="0045022F" w:rsidRPr="005C3E7E">
              <w:rPr>
                <w:i/>
                <w:iCs/>
              </w:rPr>
              <w:t>/</w:t>
            </w:r>
            <w:proofErr w:type="spellStart"/>
            <w:r w:rsidR="0045022F" w:rsidRPr="005C3E7E">
              <w:rPr>
                <w:i/>
                <w:iCs/>
              </w:rPr>
              <w:t>justitieministeriet</w:t>
            </w:r>
            <w:proofErr w:type="spellEnd"/>
            <w:r w:rsidR="0045022F">
              <w:rPr>
                <w:i/>
                <w:iCs/>
              </w:rPr>
              <w:t>)</w:t>
            </w:r>
            <w:r w:rsidR="009562CE" w:rsidRPr="00743E10">
              <w:t>.</w:t>
            </w:r>
            <w:r w:rsidR="009562CE" w:rsidRPr="000F1863">
              <w:rPr>
                <w:rStyle w:val="FootnoteReference"/>
                <w:color w:val="2E74B5" w:themeColor="accent5" w:themeShade="BF"/>
              </w:rPr>
              <w:footnoteReference w:id="59"/>
            </w:r>
            <w:r w:rsidR="009562CE" w:rsidRPr="000F1863">
              <w:rPr>
                <w:color w:val="2E74B5" w:themeColor="accent5" w:themeShade="BF"/>
              </w:rPr>
              <w:t xml:space="preserve"> </w:t>
            </w:r>
          </w:p>
          <w:p w14:paraId="445EC962" w14:textId="77777777" w:rsidR="009562CE" w:rsidRPr="00743E10" w:rsidRDefault="009562CE" w:rsidP="002B3544">
            <w:pPr>
              <w:pStyle w:val="FRABodyText"/>
            </w:pPr>
          </w:p>
          <w:p w14:paraId="470FA542" w14:textId="27D27E0D" w:rsidR="00B26F31" w:rsidRPr="00743E10" w:rsidRDefault="00B26F31" w:rsidP="002B3544">
            <w:pPr>
              <w:pStyle w:val="FRABodyText"/>
              <w:rPr>
                <w:i/>
                <w:iCs/>
              </w:rPr>
            </w:pPr>
            <w:r w:rsidRPr="00743E10">
              <w:t xml:space="preserve">In Finland, many voters use election applications maintained by </w:t>
            </w:r>
            <w:r w:rsidR="00AE52FB" w:rsidRPr="00743E10">
              <w:t xml:space="preserve">various </w:t>
            </w:r>
            <w:r w:rsidRPr="00743E10">
              <w:t xml:space="preserve">media to facilitate candidate selection. </w:t>
            </w:r>
            <w:r w:rsidR="00AE52FB" w:rsidRPr="00743E10">
              <w:t xml:space="preserve">In connection with the regional elections held in 2022, the </w:t>
            </w:r>
            <w:bookmarkStart w:id="38" w:name="_Hlk150865499"/>
            <w:r w:rsidR="00AE52FB" w:rsidRPr="00743E10">
              <w:t xml:space="preserve">Finnish Federation of the Visually Impaired </w:t>
            </w:r>
            <w:r w:rsidR="00595445" w:rsidRPr="00743E10">
              <w:t>(</w:t>
            </w:r>
            <w:proofErr w:type="spellStart"/>
            <w:r w:rsidR="00595445" w:rsidRPr="005C3E7E">
              <w:rPr>
                <w:i/>
                <w:iCs/>
              </w:rPr>
              <w:t>Näkövammaisten</w:t>
            </w:r>
            <w:proofErr w:type="spellEnd"/>
            <w:r w:rsidR="00595445" w:rsidRPr="005C3E7E">
              <w:rPr>
                <w:i/>
                <w:iCs/>
              </w:rPr>
              <w:t xml:space="preserve"> </w:t>
            </w:r>
            <w:proofErr w:type="spellStart"/>
            <w:r w:rsidR="00595445" w:rsidRPr="005C3E7E">
              <w:rPr>
                <w:i/>
                <w:iCs/>
              </w:rPr>
              <w:t>liitto</w:t>
            </w:r>
            <w:proofErr w:type="spellEnd"/>
            <w:r w:rsidR="00595445" w:rsidRPr="00743E10">
              <w:t>)</w:t>
            </w:r>
            <w:bookmarkEnd w:id="38"/>
            <w:r w:rsidR="00595445" w:rsidRPr="00743E10">
              <w:t xml:space="preserve"> </w:t>
            </w:r>
            <w:r w:rsidR="00AE52FB" w:rsidRPr="00743E10">
              <w:t xml:space="preserve">tested the accessibility of four key election </w:t>
            </w:r>
            <w:r w:rsidR="00AE52FB" w:rsidRPr="00743E10">
              <w:lastRenderedPageBreak/>
              <w:t>applications and found several shortcomings in them</w:t>
            </w:r>
            <w:r w:rsidR="00C34B02" w:rsidRPr="00743E10">
              <w:t xml:space="preserve">. </w:t>
            </w:r>
            <w:r w:rsidR="00AE52FB" w:rsidRPr="00743E10">
              <w:t xml:space="preserve"> </w:t>
            </w:r>
            <w:r w:rsidR="00C34B02" w:rsidRPr="00743E10">
              <w:t>These related</w:t>
            </w:r>
            <w:r w:rsidR="00AE52FB" w:rsidRPr="00743E10">
              <w:t xml:space="preserve"> among other things </w:t>
            </w:r>
            <w:r w:rsidR="00C34B02" w:rsidRPr="00743E10">
              <w:t xml:space="preserve">to </w:t>
            </w:r>
            <w:r w:rsidR="00AE52FB" w:rsidRPr="00743E10">
              <w:t xml:space="preserve">graphics, navigation and the use of </w:t>
            </w:r>
            <w:r w:rsidR="003B5C58" w:rsidRPr="00743E10">
              <w:t>colo</w:t>
            </w:r>
            <w:r w:rsidR="005D7AEA" w:rsidRPr="00743E10">
              <w:t>u</w:t>
            </w:r>
            <w:r w:rsidR="003B5C58" w:rsidRPr="00743E10">
              <w:t>rs</w:t>
            </w:r>
            <w:r w:rsidR="00AE52FB" w:rsidRPr="00743E10">
              <w:t>.</w:t>
            </w:r>
            <w:r w:rsidR="00C34B02" w:rsidRPr="000F1863">
              <w:rPr>
                <w:rStyle w:val="FootnoteReference"/>
                <w:color w:val="2E74B5" w:themeColor="accent5" w:themeShade="BF"/>
              </w:rPr>
              <w:footnoteReference w:id="60"/>
            </w:r>
          </w:p>
          <w:p w14:paraId="2B20E15B" w14:textId="77C70CE0" w:rsidR="00927321" w:rsidRPr="00743E10" w:rsidRDefault="00927321" w:rsidP="002B3544">
            <w:pPr>
              <w:pStyle w:val="FRABodyText"/>
            </w:pPr>
          </w:p>
        </w:tc>
      </w:tr>
      <w:tr w:rsidR="00CC2CCC" w:rsidRPr="006E5B7F" w14:paraId="2C6147D5"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39164D2" w14:textId="77777777" w:rsidR="00566A68" w:rsidRPr="003D7638" w:rsidRDefault="00566A68" w:rsidP="002B3544">
            <w:pPr>
              <w:pStyle w:val="FRABodyText"/>
              <w:rPr>
                <w:i/>
                <w:iCs/>
              </w:rPr>
            </w:pPr>
            <w:r w:rsidRPr="003D7638">
              <w:lastRenderedPageBreak/>
              <w:t>Are some television programmes providing instructions for voting and information on candidates subtitled?</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79635A7" w14:textId="4DC855E1" w:rsidR="00566A68" w:rsidRPr="003D7638" w:rsidRDefault="00566A68" w:rsidP="002B3544">
            <w:pPr>
              <w:pStyle w:val="FRABodyText"/>
              <w:rPr>
                <w:i/>
                <w:iCs/>
              </w:rPr>
            </w:pPr>
            <w:r w:rsidRPr="00017BC0">
              <w:t>Yes, some key programmes are subtitled</w:t>
            </w:r>
            <w:r w:rsidRPr="003D7638">
              <w:t xml:space="preserve">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E243B20" w14:textId="27E4C6EB" w:rsidR="005D7AEA" w:rsidRPr="00743E10" w:rsidRDefault="005D7AEA" w:rsidP="002B3544">
            <w:pPr>
              <w:pStyle w:val="FRABodyText"/>
              <w:rPr>
                <w:i/>
                <w:iCs/>
              </w:rPr>
            </w:pPr>
            <w:r w:rsidRPr="00743E10">
              <w:t xml:space="preserve">In </w:t>
            </w:r>
            <w:r w:rsidRPr="00743E10">
              <w:rPr>
                <w:b/>
                <w:bCs/>
              </w:rPr>
              <w:t>Finland</w:t>
            </w:r>
            <w:r w:rsidRPr="00743E10">
              <w:t>, an amendment to the</w:t>
            </w:r>
            <w:r w:rsidRPr="00743E10">
              <w:rPr>
                <w:b/>
                <w:bCs/>
              </w:rPr>
              <w:t xml:space="preserve"> </w:t>
            </w:r>
            <w:r w:rsidRPr="00743E10">
              <w:t xml:space="preserve">Act on Electronic Communications Services </w:t>
            </w:r>
            <w:r w:rsidR="0084229C" w:rsidRPr="00743E10">
              <w:t>(</w:t>
            </w:r>
            <w:proofErr w:type="spellStart"/>
            <w:r w:rsidR="0084229C" w:rsidRPr="005C3E7E">
              <w:rPr>
                <w:i/>
                <w:iCs/>
              </w:rPr>
              <w:t>laki</w:t>
            </w:r>
            <w:proofErr w:type="spellEnd"/>
            <w:r w:rsidR="0084229C" w:rsidRPr="005C3E7E">
              <w:rPr>
                <w:i/>
                <w:iCs/>
              </w:rPr>
              <w:t xml:space="preserve"> </w:t>
            </w:r>
            <w:proofErr w:type="spellStart"/>
            <w:r w:rsidR="0084229C" w:rsidRPr="005C3E7E">
              <w:rPr>
                <w:i/>
                <w:iCs/>
              </w:rPr>
              <w:t>sähköisen</w:t>
            </w:r>
            <w:proofErr w:type="spellEnd"/>
            <w:r w:rsidR="0084229C" w:rsidRPr="005C3E7E">
              <w:rPr>
                <w:i/>
                <w:iCs/>
              </w:rPr>
              <w:t xml:space="preserve"> </w:t>
            </w:r>
            <w:proofErr w:type="spellStart"/>
            <w:r w:rsidR="0084229C" w:rsidRPr="005C3E7E">
              <w:rPr>
                <w:i/>
                <w:iCs/>
              </w:rPr>
              <w:t>viestinnän</w:t>
            </w:r>
            <w:proofErr w:type="spellEnd"/>
            <w:r w:rsidR="0084229C" w:rsidRPr="005C3E7E">
              <w:rPr>
                <w:i/>
                <w:iCs/>
              </w:rPr>
              <w:t xml:space="preserve"> </w:t>
            </w:r>
            <w:proofErr w:type="spellStart"/>
            <w:r w:rsidR="0084229C" w:rsidRPr="005C3E7E">
              <w:rPr>
                <w:i/>
                <w:iCs/>
              </w:rPr>
              <w:t>palveluista</w:t>
            </w:r>
            <w:proofErr w:type="spellEnd"/>
            <w:r w:rsidR="0084229C" w:rsidRPr="005C3E7E">
              <w:rPr>
                <w:i/>
                <w:iCs/>
              </w:rPr>
              <w:t>/</w:t>
            </w:r>
            <w:r w:rsidR="00F874FC" w:rsidRPr="005C3E7E">
              <w:rPr>
                <w:i/>
                <w:iCs/>
              </w:rPr>
              <w:t xml:space="preserve">lag om </w:t>
            </w:r>
            <w:proofErr w:type="spellStart"/>
            <w:r w:rsidR="00F874FC" w:rsidRPr="005C3E7E">
              <w:rPr>
                <w:i/>
                <w:iCs/>
              </w:rPr>
              <w:t>tjänster</w:t>
            </w:r>
            <w:proofErr w:type="spellEnd"/>
            <w:r w:rsidR="00F874FC" w:rsidRPr="005C3E7E">
              <w:rPr>
                <w:i/>
                <w:iCs/>
              </w:rPr>
              <w:t xml:space="preserve"> </w:t>
            </w:r>
            <w:proofErr w:type="spellStart"/>
            <w:r w:rsidR="00F874FC" w:rsidRPr="005C3E7E">
              <w:rPr>
                <w:i/>
                <w:iCs/>
              </w:rPr>
              <w:t>inom</w:t>
            </w:r>
            <w:proofErr w:type="spellEnd"/>
            <w:r w:rsidR="00F874FC" w:rsidRPr="005C3E7E">
              <w:rPr>
                <w:i/>
                <w:iCs/>
              </w:rPr>
              <w:t xml:space="preserve"> </w:t>
            </w:r>
            <w:proofErr w:type="spellStart"/>
            <w:r w:rsidR="00F874FC" w:rsidRPr="005C3E7E">
              <w:rPr>
                <w:i/>
                <w:iCs/>
              </w:rPr>
              <w:t>elek</w:t>
            </w:r>
            <w:r w:rsidR="00F874FC" w:rsidRPr="005C3E7E">
              <w:rPr>
                <w:i/>
                <w:iCs/>
              </w:rPr>
              <w:softHyphen/>
              <w:t>tro</w:t>
            </w:r>
            <w:r w:rsidR="00F874FC" w:rsidRPr="005C3E7E">
              <w:rPr>
                <w:i/>
                <w:iCs/>
              </w:rPr>
              <w:softHyphen/>
              <w:t>n</w:t>
            </w:r>
            <w:r w:rsidR="00F874FC" w:rsidRPr="005C3E7E">
              <w:rPr>
                <w:i/>
                <w:iCs/>
              </w:rPr>
              <w:softHyphen/>
              <w:t>isk</w:t>
            </w:r>
            <w:proofErr w:type="spellEnd"/>
            <w:r w:rsidR="00F874FC" w:rsidRPr="00B5252A">
              <w:t xml:space="preserve"> </w:t>
            </w:r>
            <w:proofErr w:type="spellStart"/>
            <w:r w:rsidR="00F874FC" w:rsidRPr="005C3E7E">
              <w:rPr>
                <w:i/>
                <w:iCs/>
              </w:rPr>
              <w:t>kommunikation</w:t>
            </w:r>
            <w:proofErr w:type="spellEnd"/>
            <w:r w:rsidR="00F874FC" w:rsidRPr="00743E10">
              <w:t>) (Act No. 917/2014)</w:t>
            </w:r>
            <w:r w:rsidR="00F874FC" w:rsidRPr="00B5252A">
              <w:rPr>
                <w:rStyle w:val="FootnoteReference"/>
                <w:color w:val="2E74B5" w:themeColor="accent5" w:themeShade="BF"/>
              </w:rPr>
              <w:footnoteReference w:id="61"/>
            </w:r>
            <w:r w:rsidR="00F874FC" w:rsidRPr="00743E10">
              <w:t xml:space="preserve"> </w:t>
            </w:r>
            <w:r w:rsidRPr="00743E10">
              <w:t xml:space="preserve">that entered into force </w:t>
            </w:r>
            <w:r w:rsidR="006102FA" w:rsidRPr="00743E10">
              <w:t>1 January</w:t>
            </w:r>
            <w:r w:rsidRPr="00743E10">
              <w:t xml:space="preserve"> 2021</w:t>
            </w:r>
            <w:r w:rsidR="00B5252A">
              <w:rPr>
                <w:i/>
                <w:iCs/>
              </w:rPr>
              <w:t>,</w:t>
            </w:r>
            <w:r w:rsidRPr="00743E10">
              <w:t xml:space="preserve"> requires that Finnish or Swedish-language television programmes and programmes of subscrip</w:t>
            </w:r>
            <w:r w:rsidR="006102FA" w:rsidRPr="00743E10">
              <w:softHyphen/>
            </w:r>
            <w:r w:rsidRPr="00743E10">
              <w:t>tion programme services must be subtitled, and other programmes must be accompanied by commentary or a service in which the text of a subtitled programme is converted into</w:t>
            </w:r>
            <w:r w:rsidR="00EE0788">
              <w:rPr>
                <w:i/>
                <w:iCs/>
              </w:rPr>
              <w:t xml:space="preserve">          </w:t>
            </w:r>
            <w:r w:rsidRPr="00743E10">
              <w:t xml:space="preserve"> audio (section 211). </w:t>
            </w:r>
            <w:r w:rsidR="001A6281" w:rsidRPr="00743E10">
              <w:t>This concerns public service</w:t>
            </w:r>
            <w:r w:rsidR="00B353D0" w:rsidRPr="00743E10">
              <w:t xml:space="preserve"> programmes</w:t>
            </w:r>
            <w:r w:rsidR="001A6281" w:rsidRPr="00743E10">
              <w:t xml:space="preserve"> provided by the Finnish Broadcasting Company </w:t>
            </w:r>
            <w:r w:rsidR="005C3E7E">
              <w:t>(</w:t>
            </w:r>
            <w:proofErr w:type="spellStart"/>
            <w:r w:rsidR="005C3E7E" w:rsidRPr="005C3E7E">
              <w:rPr>
                <w:i/>
                <w:iCs/>
              </w:rPr>
              <w:t>Yleisradio</w:t>
            </w:r>
            <w:proofErr w:type="spellEnd"/>
            <w:r w:rsidR="005C3E7E" w:rsidRPr="005C3E7E">
              <w:rPr>
                <w:i/>
                <w:iCs/>
              </w:rPr>
              <w:t>/</w:t>
            </w:r>
            <w:proofErr w:type="spellStart"/>
            <w:r w:rsidR="005C3E7E" w:rsidRPr="005C3E7E">
              <w:rPr>
                <w:i/>
                <w:iCs/>
              </w:rPr>
              <w:t>Rundradion</w:t>
            </w:r>
            <w:proofErr w:type="spellEnd"/>
            <w:r w:rsidR="005C3E7E">
              <w:t xml:space="preserve">) </w:t>
            </w:r>
            <w:r w:rsidR="001A6281" w:rsidRPr="00743E10">
              <w:t xml:space="preserve">as well as programmes </w:t>
            </w:r>
            <w:r w:rsidR="00B353D0" w:rsidRPr="00743E10">
              <w:t xml:space="preserve">of general interest and those serving several different audience groups of </w:t>
            </w:r>
            <w:r w:rsidR="001A6281" w:rsidRPr="00743E10">
              <w:t xml:space="preserve">other </w:t>
            </w:r>
            <w:r w:rsidR="00B353D0" w:rsidRPr="00743E10">
              <w:t xml:space="preserve">broadcasting services operating at the </w:t>
            </w:r>
            <w:r w:rsidR="001A6281" w:rsidRPr="00743E10">
              <w:t xml:space="preserve">national level. </w:t>
            </w:r>
            <w:r w:rsidR="00F874FC" w:rsidRPr="00743E10">
              <w:t xml:space="preserve">In addition, the subtitles must be of high quality. </w:t>
            </w:r>
            <w:r w:rsidR="006102FA" w:rsidRPr="00743E10">
              <w:t>The Finnish Broadcasting Company’s</w:t>
            </w:r>
            <w:r w:rsidRPr="00743E10">
              <w:t xml:space="preserve"> direct </w:t>
            </w:r>
            <w:r w:rsidR="006102FA" w:rsidRPr="00743E10">
              <w:t>subtitling</w:t>
            </w:r>
            <w:r w:rsidRPr="00743E10">
              <w:t xml:space="preserve"> </w:t>
            </w:r>
            <w:r w:rsidR="0084229C" w:rsidRPr="00743E10">
              <w:t xml:space="preserve">and audio </w:t>
            </w:r>
            <w:r w:rsidR="004D1336" w:rsidRPr="00743E10">
              <w:t>conversion</w:t>
            </w:r>
            <w:r w:rsidR="0084229C" w:rsidRPr="00743E10">
              <w:t xml:space="preserve"> </w:t>
            </w:r>
            <w:r w:rsidRPr="00743E10">
              <w:t xml:space="preserve">obligation is 100% and that of other programme services 75%. Live music performances, live music programmes and first broadcasts of regional TV news are excluded from </w:t>
            </w:r>
            <w:r w:rsidR="006102FA" w:rsidRPr="00743E10">
              <w:t xml:space="preserve">this </w:t>
            </w:r>
            <w:r w:rsidRPr="00743E10">
              <w:t>re</w:t>
            </w:r>
            <w:r w:rsidR="006102FA" w:rsidRPr="00743E10">
              <w:t>quirement</w:t>
            </w:r>
            <w:r w:rsidRPr="00743E10">
              <w:t>. </w:t>
            </w:r>
            <w:r w:rsidR="006102FA" w:rsidRPr="00743E10">
              <w:t xml:space="preserve">The </w:t>
            </w:r>
            <w:r w:rsidR="006102FA" w:rsidRPr="00743E10">
              <w:lastRenderedPageBreak/>
              <w:t>Finnish Broadcasting Company</w:t>
            </w:r>
            <w:r w:rsidRPr="00743E10">
              <w:t xml:space="preserve"> also broadcasts live subtitles of all programmes </w:t>
            </w:r>
            <w:r w:rsidR="0084229C" w:rsidRPr="00743E10">
              <w:t>sent</w:t>
            </w:r>
            <w:r w:rsidRPr="00743E10">
              <w:t xml:space="preserve"> from Parliament, such as </w:t>
            </w:r>
            <w:r w:rsidR="0084229C" w:rsidRPr="00743E10">
              <w:t>Parliamentary q</w:t>
            </w:r>
            <w:r w:rsidRPr="00743E10">
              <w:t xml:space="preserve">uestion </w:t>
            </w:r>
            <w:r w:rsidR="0084229C" w:rsidRPr="00743E10">
              <w:t>t</w:t>
            </w:r>
            <w:r w:rsidRPr="00743E10">
              <w:t>ime.</w:t>
            </w:r>
            <w:r w:rsidR="0056713F">
              <w:rPr>
                <w:rStyle w:val="FootnoteReference"/>
                <w:i/>
                <w:iCs/>
              </w:rPr>
              <w:footnoteReference w:id="62"/>
            </w:r>
          </w:p>
          <w:p w14:paraId="189522B5" w14:textId="417035C5" w:rsidR="001A6281" w:rsidRPr="00B5252A" w:rsidRDefault="001A6281" w:rsidP="002B3544">
            <w:pPr>
              <w:pStyle w:val="FRABodyText"/>
            </w:pPr>
          </w:p>
        </w:tc>
      </w:tr>
      <w:tr w:rsidR="00CC2CCC" w:rsidRPr="006E5B7F" w14:paraId="277DD9EB"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B0D7432" w14:textId="77777777" w:rsidR="00566A68" w:rsidRPr="003D7638" w:rsidRDefault="00566A68" w:rsidP="002B3544">
            <w:pPr>
              <w:pStyle w:val="FRABodyText"/>
              <w:rPr>
                <w:i/>
                <w:iCs/>
              </w:rPr>
            </w:pPr>
            <w:r w:rsidRPr="003D7638">
              <w:lastRenderedPageBreak/>
              <w:t>Do some television programmes providing instructions for voting and information on candidates have national sign language interpretation?</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2C7A0DB" w14:textId="207308A9" w:rsidR="00566A68" w:rsidRPr="003D7638" w:rsidRDefault="00566A68" w:rsidP="002B3544">
            <w:pPr>
              <w:pStyle w:val="FRABodyText"/>
              <w:rPr>
                <w:i/>
                <w:iCs/>
              </w:rPr>
            </w:pPr>
            <w:r w:rsidRPr="00017BC0">
              <w:t>Yes, some key programmes have sign language interpretation</w:t>
            </w:r>
            <w:r w:rsidRPr="003D7638">
              <w:t xml:space="preserve">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4FFBDA0" w14:textId="721E8997" w:rsidR="00791C5F" w:rsidRPr="00743E10" w:rsidRDefault="005E4597" w:rsidP="002B3544">
            <w:pPr>
              <w:pStyle w:val="FRABodyText"/>
              <w:rPr>
                <w:i/>
                <w:iCs/>
              </w:rPr>
            </w:pPr>
            <w:r w:rsidRPr="00743E10">
              <w:t xml:space="preserve">In </w:t>
            </w:r>
            <w:r w:rsidRPr="00743E10">
              <w:rPr>
                <w:b/>
                <w:bCs/>
              </w:rPr>
              <w:t>Finland</w:t>
            </w:r>
            <w:r w:rsidRPr="00743E10">
              <w:t>, t</w:t>
            </w:r>
            <w:r w:rsidR="00791C5F" w:rsidRPr="00743E10">
              <w:t>he M</w:t>
            </w:r>
            <w:r w:rsidRPr="00743E10">
              <w:t>inistry of Justice</w:t>
            </w:r>
            <w:r w:rsidR="00791C5F" w:rsidRPr="00743E10">
              <w:t xml:space="preserve"> </w:t>
            </w:r>
            <w:r w:rsidR="00E05196">
              <w:t>(</w:t>
            </w:r>
            <w:proofErr w:type="spellStart"/>
            <w:r w:rsidR="00E05196" w:rsidRPr="00E05196">
              <w:rPr>
                <w:i/>
                <w:iCs/>
              </w:rPr>
              <w:t>oikeusministeriö</w:t>
            </w:r>
            <w:proofErr w:type="spellEnd"/>
            <w:r w:rsidR="00E05196" w:rsidRPr="00E05196">
              <w:rPr>
                <w:i/>
                <w:iCs/>
              </w:rPr>
              <w:t>/</w:t>
            </w:r>
            <w:proofErr w:type="spellStart"/>
            <w:r w:rsidR="00E05196" w:rsidRPr="00E05196">
              <w:rPr>
                <w:i/>
                <w:iCs/>
              </w:rPr>
              <w:t>justitieministeriet</w:t>
            </w:r>
            <w:proofErr w:type="spellEnd"/>
            <w:r w:rsidR="00E05196">
              <w:t xml:space="preserve">) </w:t>
            </w:r>
            <w:r w:rsidR="00791C5F" w:rsidRPr="00743E10">
              <w:t>produces materials with voter information in Braille, sign language and easy-to-understand language to facilitate voting for persons with disabilities.</w:t>
            </w:r>
            <w:r w:rsidR="00863003">
              <w:rPr>
                <w:rStyle w:val="FootnoteReference"/>
              </w:rPr>
              <w:footnoteReference w:id="63"/>
            </w:r>
          </w:p>
          <w:p w14:paraId="25A498B3" w14:textId="77777777" w:rsidR="008D45A3" w:rsidRPr="00743E10" w:rsidRDefault="008D45A3" w:rsidP="002B3544">
            <w:pPr>
              <w:pStyle w:val="FRABodyText"/>
            </w:pPr>
          </w:p>
          <w:p w14:paraId="4AC28328" w14:textId="7B23DF81" w:rsidR="00E60A2B" w:rsidRPr="00743E10" w:rsidRDefault="008D45A3" w:rsidP="002B3544">
            <w:pPr>
              <w:pStyle w:val="FRABodyText"/>
              <w:rPr>
                <w:i/>
                <w:iCs/>
              </w:rPr>
            </w:pPr>
            <w:r w:rsidRPr="00743E10">
              <w:t xml:space="preserve">The Finnish Broadcasting Company </w:t>
            </w:r>
            <w:r w:rsidR="00B9705D" w:rsidRPr="00743E10">
              <w:t>(</w:t>
            </w:r>
            <w:proofErr w:type="spellStart"/>
            <w:r w:rsidR="00B9705D" w:rsidRPr="00724BE3">
              <w:rPr>
                <w:i/>
                <w:iCs/>
              </w:rPr>
              <w:t>Yle</w:t>
            </w:r>
            <w:r w:rsidR="0002783E" w:rsidRPr="00724BE3">
              <w:rPr>
                <w:i/>
                <w:iCs/>
              </w:rPr>
              <w:t>isradio</w:t>
            </w:r>
            <w:proofErr w:type="spellEnd"/>
            <w:r w:rsidR="0002783E">
              <w:t>/</w:t>
            </w:r>
            <w:proofErr w:type="spellStart"/>
            <w:r w:rsidR="0002783E" w:rsidRPr="00724BE3">
              <w:rPr>
                <w:i/>
                <w:iCs/>
              </w:rPr>
              <w:t>Rundradion</w:t>
            </w:r>
            <w:proofErr w:type="spellEnd"/>
            <w:r w:rsidR="00B9705D" w:rsidRPr="00743E10">
              <w:t xml:space="preserve">) </w:t>
            </w:r>
            <w:r w:rsidRPr="00743E10">
              <w:t>provides news in sign language</w:t>
            </w:r>
            <w:r w:rsidR="00E60A2B" w:rsidRPr="00743E10">
              <w:t xml:space="preserve"> daily</w:t>
            </w:r>
            <w:r w:rsidRPr="00743E10">
              <w:t>.</w:t>
            </w:r>
            <w:r w:rsidR="0062378C" w:rsidRPr="00743E10">
              <w:t xml:space="preserve"> It usually </w:t>
            </w:r>
            <w:r w:rsidR="00E60A2B" w:rsidRPr="00743E10">
              <w:t>broadcasts</w:t>
            </w:r>
            <w:r w:rsidR="0062378C" w:rsidRPr="00743E10">
              <w:t xml:space="preserve"> all election </w:t>
            </w:r>
            <w:r w:rsidR="00E60A2B" w:rsidRPr="00743E10">
              <w:t>d</w:t>
            </w:r>
            <w:r w:rsidR="00B9705D" w:rsidRPr="00743E10">
              <w:t>iscussions</w:t>
            </w:r>
            <w:r w:rsidR="00E60A2B" w:rsidRPr="00743E10">
              <w:t xml:space="preserve"> with interpretation </w:t>
            </w:r>
            <w:r w:rsidR="0062378C" w:rsidRPr="00743E10">
              <w:t>in</w:t>
            </w:r>
            <w:r w:rsidR="00E60A2B" w:rsidRPr="00743E10">
              <w:t>to</w:t>
            </w:r>
            <w:r w:rsidR="0062378C" w:rsidRPr="00743E10">
              <w:t xml:space="preserve"> Finnish sign language.</w:t>
            </w:r>
            <w:r w:rsidR="00B9705D" w:rsidRPr="00EE0788">
              <w:rPr>
                <w:rStyle w:val="FootnoteReference"/>
                <w:color w:val="2E74B5" w:themeColor="accent5" w:themeShade="BF"/>
              </w:rPr>
              <w:footnoteReference w:id="64"/>
            </w:r>
            <w:r w:rsidR="0062378C" w:rsidRPr="00743E10">
              <w:t xml:space="preserve"> In the context of the Parliamentary elections of 2023 </w:t>
            </w:r>
            <w:r w:rsidR="004869DD" w:rsidRPr="00743E10">
              <w:t>the Finnish Broadcasting Company</w:t>
            </w:r>
            <w:r w:rsidR="00E60A2B" w:rsidRPr="00743E10">
              <w:t xml:space="preserve"> broadcasted a total of seven election </w:t>
            </w:r>
            <w:r w:rsidR="00B9705D" w:rsidRPr="00743E10">
              <w:t>discussions</w:t>
            </w:r>
            <w:r w:rsidR="00E60A2B" w:rsidRPr="00743E10">
              <w:t xml:space="preserve"> interpreted into Finnish Sign Language</w:t>
            </w:r>
            <w:r w:rsidR="00A250CF">
              <w:rPr>
                <w:i/>
                <w:iCs/>
              </w:rPr>
              <w:t xml:space="preserve"> </w:t>
            </w:r>
            <w:r w:rsidR="00A250CF" w:rsidRPr="00C81D0A">
              <w:t xml:space="preserve">and </w:t>
            </w:r>
            <w:r w:rsidR="00724BE3">
              <w:t xml:space="preserve">several </w:t>
            </w:r>
            <w:r w:rsidR="00A250CF" w:rsidRPr="00C81D0A">
              <w:t xml:space="preserve">programmes interpreted </w:t>
            </w:r>
            <w:r w:rsidR="00724BE3">
              <w:t>in</w:t>
            </w:r>
            <w:r w:rsidR="00A250CF" w:rsidRPr="00C81D0A">
              <w:t>to Swedish sign language</w:t>
            </w:r>
            <w:r w:rsidR="00E60A2B" w:rsidRPr="00743E10">
              <w:t>.</w:t>
            </w:r>
            <w:r w:rsidR="004869DD" w:rsidRPr="00EE0788">
              <w:rPr>
                <w:rStyle w:val="FootnoteReference"/>
                <w:color w:val="2E74B5" w:themeColor="accent5" w:themeShade="BF"/>
              </w:rPr>
              <w:footnoteReference w:id="65"/>
            </w:r>
            <w:r w:rsidR="00B9705D" w:rsidRPr="00743E10">
              <w:rPr>
                <w:rFonts w:eastAsia="Times New Roman"/>
                <w:shd w:val="clear" w:color="auto" w:fill="FFFFFF"/>
                <w:lang w:eastAsia="en-GB" w:bidi="ar-SA"/>
              </w:rPr>
              <w:t xml:space="preserve"> </w:t>
            </w:r>
            <w:r w:rsidR="00B9705D" w:rsidRPr="00743E10">
              <w:t>It also produced an election discussion in easy Finnish and election videos in easy Swedish.</w:t>
            </w:r>
          </w:p>
          <w:p w14:paraId="6F72F069" w14:textId="0C81D43E" w:rsidR="0062378C" w:rsidRPr="00743E10" w:rsidRDefault="0062378C" w:rsidP="002B3544">
            <w:pPr>
              <w:pStyle w:val="FRABodyText"/>
            </w:pPr>
          </w:p>
        </w:tc>
      </w:tr>
      <w:tr w:rsidR="00CC2CCC" w:rsidRPr="006E5B7F" w14:paraId="3E04ECFB"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21DC3E5" w14:textId="77777777" w:rsidR="00566A68" w:rsidRPr="003D7638" w:rsidRDefault="00566A68" w:rsidP="002B3544">
            <w:pPr>
              <w:pStyle w:val="FRABodyText"/>
              <w:rPr>
                <w:i/>
                <w:iCs/>
              </w:rPr>
            </w:pPr>
            <w:r w:rsidRPr="003D7638">
              <w:lastRenderedPageBreak/>
              <w:t>Are some television programmes providing instructions for voting and information on candidates audio described?</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85E8BA8" w14:textId="0726B969" w:rsidR="00566A68" w:rsidRPr="00A250CF" w:rsidRDefault="00566A68" w:rsidP="002B3544">
            <w:pPr>
              <w:pStyle w:val="FRABodyText"/>
              <w:rPr>
                <w:i/>
                <w:iCs/>
              </w:rPr>
            </w:pPr>
            <w:r w:rsidRPr="00017BC0">
              <w:t>No, key programmes do not have audio description</w:t>
            </w:r>
            <w:r w:rsidRPr="00A250CF">
              <w:t xml:space="preserve">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734133F" w14:textId="466E4407" w:rsidR="00A250CF" w:rsidRDefault="0084229C" w:rsidP="002B3544">
            <w:pPr>
              <w:pStyle w:val="FRABodyText"/>
            </w:pPr>
            <w:r w:rsidRPr="00743E10">
              <w:t xml:space="preserve">In </w:t>
            </w:r>
            <w:r w:rsidRPr="00743E10">
              <w:rPr>
                <w:b/>
                <w:bCs/>
              </w:rPr>
              <w:t>Finland</w:t>
            </w:r>
            <w:r w:rsidRPr="00743E10">
              <w:t xml:space="preserve">, </w:t>
            </w:r>
            <w:r w:rsidR="00CD39B5">
              <w:t xml:space="preserve">some of the Finnish Broadcasting Company’s </w:t>
            </w:r>
            <w:r w:rsidR="00A250CF">
              <w:t>programmes have</w:t>
            </w:r>
            <w:r w:rsidR="0002783E">
              <w:t xml:space="preserve"> audio description</w:t>
            </w:r>
            <w:r w:rsidR="00C81D0A">
              <w:t>, but no election related programmes currently appear on their list of those programmes</w:t>
            </w:r>
            <w:r w:rsidR="0002783E">
              <w:t>.</w:t>
            </w:r>
            <w:r w:rsidR="00A250CF" w:rsidRPr="00C81D0A">
              <w:rPr>
                <w:rStyle w:val="FootnoteReference"/>
              </w:rPr>
              <w:footnoteReference w:id="66"/>
            </w:r>
            <w:r w:rsidR="00754885">
              <w:t xml:space="preserve"> </w:t>
            </w:r>
          </w:p>
          <w:p w14:paraId="7D93DFED" w14:textId="77777777" w:rsidR="00A250CF" w:rsidRDefault="00A250CF" w:rsidP="002B3544">
            <w:pPr>
              <w:pStyle w:val="FRABodyText"/>
            </w:pPr>
          </w:p>
          <w:p w14:paraId="3931D366" w14:textId="5EEE96A4" w:rsidR="00754885" w:rsidRPr="00754885" w:rsidRDefault="00A250CF" w:rsidP="002B3544">
            <w:pPr>
              <w:pStyle w:val="FRABodyText"/>
              <w:rPr>
                <w:i/>
                <w:iCs/>
                <w:lang w:val="fi-FI"/>
              </w:rPr>
            </w:pPr>
            <w:r w:rsidRPr="00C81D0A">
              <w:t>In addition, at</w:t>
            </w:r>
            <w:r w:rsidR="00754885">
              <w:t xml:space="preserve"> the election website </w:t>
            </w:r>
            <w:r w:rsidR="00754885" w:rsidRPr="00754885">
              <w:t>Vaalit.fi it is possible to listen to the texts on the site with a text reader.</w:t>
            </w:r>
            <w:r w:rsidR="00754885">
              <w:rPr>
                <w:rStyle w:val="FootnoteReference"/>
              </w:rPr>
              <w:footnoteReference w:id="67"/>
            </w:r>
            <w:r w:rsidR="00754885" w:rsidRPr="00754885">
              <w:t xml:space="preserve"> </w:t>
            </w:r>
          </w:p>
          <w:p w14:paraId="7E2073BC" w14:textId="2D0272D9" w:rsidR="00774874" w:rsidRPr="00743E10" w:rsidRDefault="00774874" w:rsidP="002B3544">
            <w:pPr>
              <w:pStyle w:val="FRABodyText"/>
            </w:pPr>
          </w:p>
        </w:tc>
      </w:tr>
      <w:tr w:rsidR="00CC2CCC" w:rsidRPr="006E5B7F" w14:paraId="6D99824E"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E04326C" w14:textId="77777777" w:rsidR="00566A68" w:rsidRPr="003D7638" w:rsidRDefault="00566A68" w:rsidP="002B3544">
            <w:pPr>
              <w:pStyle w:val="FRABodyText"/>
              <w:rPr>
                <w:i/>
                <w:iCs/>
              </w:rPr>
            </w:pPr>
            <w:r w:rsidRPr="003D7638">
              <w:t>Were some political party manifestos provided in accessible formats during the most recent elections?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FAE6919" w14:textId="6BE95F7A" w:rsidR="00566A68" w:rsidRPr="003D7638" w:rsidRDefault="00566A68" w:rsidP="002B3544">
            <w:pPr>
              <w:pStyle w:val="FRABodyText"/>
              <w:rPr>
                <w:i/>
                <w:iCs/>
              </w:rPr>
            </w:pPr>
            <w:r w:rsidRPr="00017BC0">
              <w:t>Some political parties provided accessible manifestos</w:t>
            </w:r>
            <w:r w:rsidRPr="003D7638">
              <w:t xml:space="preserve">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E7C4408" w14:textId="0222B0B1" w:rsidR="00741D85" w:rsidRPr="00743E10" w:rsidRDefault="00741D85" w:rsidP="002B3544">
            <w:pPr>
              <w:pStyle w:val="FRABodyText"/>
              <w:rPr>
                <w:i/>
                <w:iCs/>
              </w:rPr>
            </w:pPr>
            <w:r w:rsidRPr="00743E10">
              <w:t xml:space="preserve">In </w:t>
            </w:r>
            <w:r w:rsidRPr="00743E10">
              <w:rPr>
                <w:b/>
                <w:bCs/>
              </w:rPr>
              <w:t>Finland</w:t>
            </w:r>
            <w:r w:rsidRPr="00743E10">
              <w:t xml:space="preserve">, </w:t>
            </w:r>
            <w:r w:rsidR="00A04A76" w:rsidRPr="00743E10">
              <w:t>three</w:t>
            </w:r>
            <w:r w:rsidRPr="00743E10">
              <w:t xml:space="preserve"> of the main parties provided an easy-to-read version of the</w:t>
            </w:r>
            <w:r w:rsidR="00604739" w:rsidRPr="00743E10">
              <w:t xml:space="preserve">ir parliamentary election programs 2023. One </w:t>
            </w:r>
            <w:r w:rsidR="00441904" w:rsidRPr="00743E10">
              <w:t xml:space="preserve">election </w:t>
            </w:r>
            <w:r w:rsidR="00604739" w:rsidRPr="00743E10">
              <w:t>program was also available</w:t>
            </w:r>
            <w:r w:rsidR="00D40684" w:rsidRPr="00743E10">
              <w:t xml:space="preserve"> in sign language and spoken versions</w:t>
            </w:r>
            <w:r w:rsidR="00604739" w:rsidRPr="00743E10">
              <w:t>.</w:t>
            </w:r>
            <w:r w:rsidR="00D40684" w:rsidRPr="00BB4EC6">
              <w:rPr>
                <w:rStyle w:val="FootnoteReference"/>
                <w:color w:val="2E74B5" w:themeColor="accent5" w:themeShade="BF"/>
              </w:rPr>
              <w:footnoteReference w:id="68"/>
            </w:r>
          </w:p>
          <w:p w14:paraId="5102A5A5" w14:textId="2C4D1158" w:rsidR="00741D85" w:rsidRPr="00743E10" w:rsidRDefault="00741D85" w:rsidP="002B3544">
            <w:pPr>
              <w:pStyle w:val="FRABodyText"/>
            </w:pPr>
          </w:p>
        </w:tc>
      </w:tr>
      <w:tr w:rsidR="00CC2CCC" w:rsidRPr="006E5B7F" w14:paraId="2D55F7EF"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1956D43" w14:textId="4A5CBDB3" w:rsidR="00566A68" w:rsidRPr="003D7638" w:rsidRDefault="00566A68" w:rsidP="002B3544">
            <w:pPr>
              <w:pStyle w:val="FRABodyText"/>
              <w:rPr>
                <w:i/>
                <w:iCs/>
              </w:rPr>
            </w:pPr>
            <w:r w:rsidRPr="001B6D41">
              <w:t>Are there legal accessibility standards for public and private providers of internet and web-based public information?</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52A2935" w14:textId="46A8CC75" w:rsidR="00566A68" w:rsidRPr="003D7638" w:rsidRDefault="00566A68" w:rsidP="002B3544">
            <w:pPr>
              <w:pStyle w:val="FRABodyText"/>
              <w:rPr>
                <w:i/>
                <w:iCs/>
              </w:rPr>
            </w:pPr>
            <w:r w:rsidRPr="00017BC0">
              <w:t>Yes, covering public and private</w:t>
            </w:r>
            <w:r w:rsidRPr="003D7638">
              <w:t xml:space="preserve">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D7BB185" w14:textId="13C4CEC9" w:rsidR="00380656" w:rsidRPr="00743E10" w:rsidRDefault="00CE6A6A" w:rsidP="002B3544">
            <w:pPr>
              <w:pStyle w:val="FRABodyText"/>
              <w:rPr>
                <w:i/>
                <w:iCs/>
              </w:rPr>
            </w:pPr>
            <w:r w:rsidRPr="00743E10">
              <w:t xml:space="preserve">In </w:t>
            </w:r>
            <w:r w:rsidRPr="00743E10">
              <w:rPr>
                <w:b/>
                <w:bCs/>
              </w:rPr>
              <w:t>Finland</w:t>
            </w:r>
            <w:r w:rsidRPr="00743E10">
              <w:t>, t</w:t>
            </w:r>
            <w:r w:rsidR="00C63A2D" w:rsidRPr="00743E10">
              <w:t xml:space="preserve">he </w:t>
            </w:r>
            <w:bookmarkStart w:id="41" w:name="_Hlk148625630"/>
            <w:r w:rsidR="007D775C" w:rsidRPr="00743E10">
              <w:t xml:space="preserve">Act on the Provision of Digital Services </w:t>
            </w:r>
            <w:r w:rsidR="005C3988">
              <w:t>(</w:t>
            </w:r>
            <w:proofErr w:type="spellStart"/>
            <w:r w:rsidR="005C3988" w:rsidRPr="005C3988">
              <w:rPr>
                <w:i/>
                <w:iCs/>
              </w:rPr>
              <w:t>laki</w:t>
            </w:r>
            <w:proofErr w:type="spellEnd"/>
            <w:r w:rsidR="005C3988" w:rsidRPr="005C3988">
              <w:rPr>
                <w:i/>
                <w:iCs/>
              </w:rPr>
              <w:t xml:space="preserve"> </w:t>
            </w:r>
            <w:proofErr w:type="spellStart"/>
            <w:r w:rsidR="005C3988" w:rsidRPr="005C3988">
              <w:rPr>
                <w:i/>
                <w:iCs/>
              </w:rPr>
              <w:t>digitaalisten</w:t>
            </w:r>
            <w:proofErr w:type="spellEnd"/>
            <w:r w:rsidR="005C3988" w:rsidRPr="005C3988">
              <w:rPr>
                <w:i/>
                <w:iCs/>
              </w:rPr>
              <w:t xml:space="preserve"> </w:t>
            </w:r>
            <w:proofErr w:type="spellStart"/>
            <w:r w:rsidR="005C3988" w:rsidRPr="005C3988">
              <w:rPr>
                <w:i/>
                <w:iCs/>
              </w:rPr>
              <w:t>palvelujen</w:t>
            </w:r>
            <w:proofErr w:type="spellEnd"/>
            <w:r w:rsidR="005C3988" w:rsidRPr="005C3988">
              <w:rPr>
                <w:i/>
                <w:iCs/>
              </w:rPr>
              <w:t xml:space="preserve"> </w:t>
            </w:r>
            <w:proofErr w:type="spellStart"/>
            <w:r w:rsidR="005C3988" w:rsidRPr="005C3988">
              <w:rPr>
                <w:i/>
                <w:iCs/>
              </w:rPr>
              <w:t>tarjoamisesta</w:t>
            </w:r>
            <w:proofErr w:type="spellEnd"/>
            <w:r w:rsidR="005C3988">
              <w:t>/</w:t>
            </w:r>
            <w:r w:rsidR="005C3988" w:rsidRPr="005C3988">
              <w:rPr>
                <w:i/>
                <w:iCs/>
              </w:rPr>
              <w:t xml:space="preserve">lag om </w:t>
            </w:r>
            <w:proofErr w:type="spellStart"/>
            <w:r w:rsidR="005C3988" w:rsidRPr="005C3988">
              <w:rPr>
                <w:i/>
                <w:iCs/>
              </w:rPr>
              <w:t>tillhandahållande</w:t>
            </w:r>
            <w:proofErr w:type="spellEnd"/>
            <w:r w:rsidR="005C3988" w:rsidRPr="005C3988">
              <w:rPr>
                <w:i/>
                <w:iCs/>
              </w:rPr>
              <w:t xml:space="preserve"> </w:t>
            </w:r>
            <w:proofErr w:type="spellStart"/>
            <w:r w:rsidR="005C3988" w:rsidRPr="005C3988">
              <w:rPr>
                <w:i/>
                <w:iCs/>
              </w:rPr>
              <w:t>av</w:t>
            </w:r>
            <w:proofErr w:type="spellEnd"/>
            <w:r w:rsidR="005C3988" w:rsidRPr="005C3988">
              <w:rPr>
                <w:i/>
                <w:iCs/>
              </w:rPr>
              <w:t xml:space="preserve"> </w:t>
            </w:r>
            <w:proofErr w:type="spellStart"/>
            <w:r w:rsidR="005C3988" w:rsidRPr="005C3988">
              <w:rPr>
                <w:i/>
                <w:iCs/>
              </w:rPr>
              <w:t>digitala</w:t>
            </w:r>
            <w:proofErr w:type="spellEnd"/>
            <w:r w:rsidR="005C3988" w:rsidRPr="005C3988">
              <w:rPr>
                <w:i/>
                <w:iCs/>
              </w:rPr>
              <w:t xml:space="preserve"> </w:t>
            </w:r>
            <w:proofErr w:type="spellStart"/>
            <w:r w:rsidR="005C3988" w:rsidRPr="005C3988">
              <w:rPr>
                <w:i/>
                <w:iCs/>
              </w:rPr>
              <w:t>tjänster</w:t>
            </w:r>
            <w:proofErr w:type="spellEnd"/>
            <w:r w:rsidR="005C3988">
              <w:t xml:space="preserve">) </w:t>
            </w:r>
            <w:r w:rsidR="007D775C" w:rsidRPr="00743E10">
              <w:t>(</w:t>
            </w:r>
            <w:r w:rsidR="005C3988">
              <w:t xml:space="preserve">Act No. </w:t>
            </w:r>
            <w:r w:rsidR="007D775C" w:rsidRPr="00743E10">
              <w:t>306/2019</w:t>
            </w:r>
            <w:r w:rsidR="00C63A2D" w:rsidRPr="00743E10">
              <w:t>)</w:t>
            </w:r>
            <w:bookmarkEnd w:id="41"/>
            <w:r w:rsidR="007D775C" w:rsidRPr="00743E10">
              <w:t xml:space="preserve">, </w:t>
            </w:r>
            <w:r w:rsidR="00C63A2D" w:rsidRPr="00743E10">
              <w:t>trans</w:t>
            </w:r>
            <w:r w:rsidR="001B0AF1">
              <w:softHyphen/>
            </w:r>
            <w:r w:rsidR="00C63A2D" w:rsidRPr="00743E10">
              <w:t xml:space="preserve">posing the European Accessibility </w:t>
            </w:r>
            <w:r w:rsidRPr="00743E10">
              <w:t>Act into national legis</w:t>
            </w:r>
            <w:r w:rsidR="001B0AF1">
              <w:softHyphen/>
            </w:r>
            <w:r w:rsidRPr="00743E10">
              <w:t>lation</w:t>
            </w:r>
            <w:r w:rsidR="00C63A2D" w:rsidRPr="00743E10">
              <w:t>,</w:t>
            </w:r>
            <w:r w:rsidR="007D775C" w:rsidRPr="00743E10">
              <w:t> entered into force on 1 April 2019.</w:t>
            </w:r>
            <w:r w:rsidR="00C63A2D" w:rsidRPr="005C3988">
              <w:rPr>
                <w:rStyle w:val="FootnoteReference"/>
                <w:color w:val="2E74B5" w:themeColor="accent5" w:themeShade="BF"/>
              </w:rPr>
              <w:footnoteReference w:id="69"/>
            </w:r>
            <w:r w:rsidR="00C63A2D" w:rsidRPr="00743E10">
              <w:t xml:space="preserve"> </w:t>
            </w:r>
            <w:r w:rsidRPr="00743E10">
              <w:t xml:space="preserve">The Act obliges the public sector and some private and third sector </w:t>
            </w:r>
            <w:r w:rsidR="00657D78" w:rsidRPr="00743E10">
              <w:t>organizations</w:t>
            </w:r>
            <w:r w:rsidRPr="00743E10">
              <w:t xml:space="preserve"> to comply with accessibility requirements in their digital services.</w:t>
            </w:r>
          </w:p>
        </w:tc>
      </w:tr>
      <w:tr w:rsidR="00CC2CCC" w:rsidRPr="006E5B7F" w14:paraId="6696DCE9"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61563A4" w14:textId="62E64E26" w:rsidR="00566A68" w:rsidRPr="003D7638" w:rsidRDefault="00566A68" w:rsidP="002B3544">
            <w:pPr>
              <w:pStyle w:val="FRABodyText"/>
              <w:rPr>
                <w:i/>
                <w:iCs/>
              </w:rPr>
            </w:pPr>
            <w:r w:rsidRPr="001B6D41">
              <w:lastRenderedPageBreak/>
              <w:t>Are there legal accessibility standards for public and private providers of media?</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6169273" w14:textId="5271F511" w:rsidR="00566A68" w:rsidRPr="003D7638" w:rsidRDefault="00566A68" w:rsidP="002B3544">
            <w:pPr>
              <w:pStyle w:val="FRABodyText"/>
              <w:rPr>
                <w:i/>
                <w:iCs/>
              </w:rPr>
            </w:pPr>
            <w:r w:rsidRPr="00017BC0">
              <w:t>Yes, covering public and private</w:t>
            </w:r>
            <w:r w:rsidRPr="003D7638">
              <w:t xml:space="preserve">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D52C3B1" w14:textId="5E776B9E" w:rsidR="002B0DA7" w:rsidRPr="0095178A" w:rsidRDefault="00E75930" w:rsidP="002B3544">
            <w:pPr>
              <w:pStyle w:val="FRABodyText"/>
              <w:rPr>
                <w:i/>
                <w:iCs/>
              </w:rPr>
            </w:pPr>
            <w:r w:rsidRPr="00743E10">
              <w:t xml:space="preserve">In </w:t>
            </w:r>
            <w:r w:rsidRPr="00743E10">
              <w:rPr>
                <w:b/>
                <w:bCs/>
              </w:rPr>
              <w:t>Finland</w:t>
            </w:r>
            <w:r w:rsidRPr="00743E10">
              <w:t xml:space="preserve">, </w:t>
            </w:r>
            <w:r w:rsidR="0095178A">
              <w:t>t</w:t>
            </w:r>
            <w:r w:rsidR="0095178A" w:rsidRPr="0095178A">
              <w:t xml:space="preserve">he provisions on audiovisual content services and the accessibility of audiovisual content services are contained in section 211 of the </w:t>
            </w:r>
            <w:bookmarkStart w:id="42" w:name="_Hlk153537459"/>
            <w:r w:rsidR="0095178A" w:rsidRPr="0095178A">
              <w:t>Act on Electronic Communications Services</w:t>
            </w:r>
            <w:r w:rsidR="00F57B0B">
              <w:t xml:space="preserve"> (</w:t>
            </w:r>
            <w:proofErr w:type="spellStart"/>
            <w:r w:rsidR="00F57B0B" w:rsidRPr="005C3988">
              <w:rPr>
                <w:i/>
                <w:iCs/>
              </w:rPr>
              <w:t>laki</w:t>
            </w:r>
            <w:proofErr w:type="spellEnd"/>
            <w:r w:rsidR="00F57B0B" w:rsidRPr="005C3988">
              <w:rPr>
                <w:i/>
                <w:iCs/>
              </w:rPr>
              <w:t xml:space="preserve"> </w:t>
            </w:r>
            <w:proofErr w:type="spellStart"/>
            <w:r w:rsidR="00F57B0B" w:rsidRPr="005C3988">
              <w:rPr>
                <w:i/>
                <w:iCs/>
              </w:rPr>
              <w:t>sähköisen</w:t>
            </w:r>
            <w:proofErr w:type="spellEnd"/>
            <w:r w:rsidR="00F57B0B" w:rsidRPr="005C3988">
              <w:rPr>
                <w:i/>
                <w:iCs/>
              </w:rPr>
              <w:t xml:space="preserve"> </w:t>
            </w:r>
            <w:proofErr w:type="spellStart"/>
            <w:r w:rsidR="00F57B0B" w:rsidRPr="005C3988">
              <w:rPr>
                <w:i/>
                <w:iCs/>
              </w:rPr>
              <w:t>viestinnän</w:t>
            </w:r>
            <w:proofErr w:type="spellEnd"/>
            <w:r w:rsidR="00F57B0B" w:rsidRPr="005C3988">
              <w:rPr>
                <w:i/>
                <w:iCs/>
              </w:rPr>
              <w:t xml:space="preserve"> </w:t>
            </w:r>
            <w:proofErr w:type="spellStart"/>
            <w:r w:rsidR="00F57B0B" w:rsidRPr="005C3988">
              <w:rPr>
                <w:i/>
                <w:iCs/>
              </w:rPr>
              <w:t>palveluista</w:t>
            </w:r>
            <w:proofErr w:type="spellEnd"/>
            <w:r w:rsidR="00F57B0B">
              <w:t>/</w:t>
            </w:r>
            <w:r w:rsidR="00F57B0B" w:rsidRPr="005C3988">
              <w:rPr>
                <w:i/>
                <w:iCs/>
              </w:rPr>
              <w:t xml:space="preserve">lag om </w:t>
            </w:r>
            <w:proofErr w:type="spellStart"/>
            <w:r w:rsidR="00F57B0B" w:rsidRPr="005C3988">
              <w:rPr>
                <w:i/>
                <w:iCs/>
              </w:rPr>
              <w:t>tjänster</w:t>
            </w:r>
            <w:proofErr w:type="spellEnd"/>
            <w:r w:rsidR="00F57B0B" w:rsidRPr="005C3988">
              <w:rPr>
                <w:i/>
                <w:iCs/>
              </w:rPr>
              <w:t xml:space="preserve"> </w:t>
            </w:r>
            <w:proofErr w:type="spellStart"/>
            <w:r w:rsidR="00F57B0B" w:rsidRPr="005C3988">
              <w:rPr>
                <w:i/>
                <w:iCs/>
              </w:rPr>
              <w:t>inom</w:t>
            </w:r>
            <w:proofErr w:type="spellEnd"/>
            <w:r w:rsidR="00F57B0B" w:rsidRPr="005C3988">
              <w:rPr>
                <w:i/>
                <w:iCs/>
              </w:rPr>
              <w:t xml:space="preserve"> </w:t>
            </w:r>
            <w:proofErr w:type="spellStart"/>
            <w:r w:rsidR="00F57B0B" w:rsidRPr="005C3988">
              <w:rPr>
                <w:i/>
                <w:iCs/>
              </w:rPr>
              <w:t>elektronisk</w:t>
            </w:r>
            <w:proofErr w:type="spellEnd"/>
            <w:r w:rsidR="00F57B0B" w:rsidRPr="005C3988">
              <w:rPr>
                <w:i/>
                <w:iCs/>
              </w:rPr>
              <w:t xml:space="preserve"> </w:t>
            </w:r>
            <w:proofErr w:type="spellStart"/>
            <w:r w:rsidR="00F57B0B" w:rsidRPr="005C3988">
              <w:rPr>
                <w:i/>
                <w:iCs/>
              </w:rPr>
              <w:t>kommunikation</w:t>
            </w:r>
            <w:proofErr w:type="spellEnd"/>
            <w:r w:rsidR="00F57B0B">
              <w:t>)</w:t>
            </w:r>
            <w:r w:rsidR="005C3988">
              <w:t xml:space="preserve"> </w:t>
            </w:r>
            <w:r w:rsidR="00F57B0B">
              <w:t>(Act No. 917/2014</w:t>
            </w:r>
            <w:bookmarkEnd w:id="42"/>
            <w:r w:rsidR="00F57B0B">
              <w:t>)</w:t>
            </w:r>
            <w:r w:rsidR="00F57B0B">
              <w:rPr>
                <w:rStyle w:val="FootnoteReference"/>
              </w:rPr>
              <w:footnoteReference w:id="70"/>
            </w:r>
            <w:r w:rsidR="0095178A" w:rsidRPr="0095178A">
              <w:t xml:space="preserve"> implement</w:t>
            </w:r>
            <w:r w:rsidR="00F57B0B">
              <w:t>ing</w:t>
            </w:r>
            <w:r w:rsidR="0095178A" w:rsidRPr="0095178A">
              <w:t xml:space="preserve"> the Audiovisual Media Services Directive </w:t>
            </w:r>
            <w:r w:rsidR="005C3988">
              <w:t>(</w:t>
            </w:r>
            <w:r w:rsidR="0095178A" w:rsidRPr="0095178A">
              <w:t>Directive 2010/13/EU of the European Parliament and of the Council of 10 March 2010</w:t>
            </w:r>
            <w:r w:rsidR="005C3988">
              <w:t>)</w:t>
            </w:r>
            <w:r w:rsidR="0095178A" w:rsidRPr="0095178A">
              <w:t>. They apply to both public and private service providers.</w:t>
            </w:r>
          </w:p>
          <w:p w14:paraId="202210F3" w14:textId="77777777" w:rsidR="0095178A" w:rsidRPr="00743E10" w:rsidRDefault="0095178A" w:rsidP="002B3544">
            <w:pPr>
              <w:pStyle w:val="FRABodyText"/>
            </w:pPr>
          </w:p>
          <w:p w14:paraId="5AC169F7" w14:textId="24D5CC34" w:rsidR="001B6D41" w:rsidRPr="00743E10" w:rsidRDefault="001B6D41" w:rsidP="002B3544">
            <w:pPr>
              <w:pStyle w:val="FRABodyText"/>
              <w:rPr>
                <w:i/>
                <w:iCs/>
              </w:rPr>
            </w:pPr>
            <w:r w:rsidRPr="00743E10">
              <w:t>Provisions on accessibility of information society services are laid down in Chapter 22a (Sections 194c and 194d) of the Act on Electronic Communications Services, which will apply to services providing access to audiovisual content services provided to consumers in accordance with the provisions of the Accessibility Directive (EU) 2019/882</w:t>
            </w:r>
            <w:r w:rsidR="0076507E">
              <w:t>,</w:t>
            </w:r>
            <w:r w:rsidRPr="00743E10">
              <w:t xml:space="preserve"> from 28 June 2025.</w:t>
            </w:r>
          </w:p>
          <w:p w14:paraId="3B521D6E" w14:textId="77777777" w:rsidR="00512178" w:rsidRPr="00743E10" w:rsidRDefault="00512178" w:rsidP="002B3544">
            <w:pPr>
              <w:pStyle w:val="FRABodyText"/>
            </w:pPr>
          </w:p>
          <w:p w14:paraId="0C024E65" w14:textId="75BC732B" w:rsidR="001B6D41" w:rsidRPr="00743E10" w:rsidRDefault="001B6D41" w:rsidP="002B3544">
            <w:pPr>
              <w:pStyle w:val="FRABodyText"/>
              <w:rPr>
                <w:i/>
                <w:iCs/>
              </w:rPr>
            </w:pPr>
            <w:r w:rsidRPr="00743E10">
              <w:t xml:space="preserve">Digital media services are subject to the Digital Services Act </w:t>
            </w:r>
            <w:r w:rsidR="0076507E" w:rsidRPr="0076507E">
              <w:t>(</w:t>
            </w:r>
            <w:proofErr w:type="spellStart"/>
            <w:r w:rsidR="0076507E" w:rsidRPr="0076507E">
              <w:rPr>
                <w:i/>
                <w:iCs/>
              </w:rPr>
              <w:t>laki</w:t>
            </w:r>
            <w:proofErr w:type="spellEnd"/>
            <w:r w:rsidR="0076507E" w:rsidRPr="0076507E">
              <w:rPr>
                <w:i/>
                <w:iCs/>
              </w:rPr>
              <w:t xml:space="preserve"> </w:t>
            </w:r>
            <w:proofErr w:type="spellStart"/>
            <w:r w:rsidR="0076507E" w:rsidRPr="0076507E">
              <w:rPr>
                <w:i/>
                <w:iCs/>
              </w:rPr>
              <w:t>digitaalisten</w:t>
            </w:r>
            <w:proofErr w:type="spellEnd"/>
            <w:r w:rsidR="0076507E" w:rsidRPr="0076507E">
              <w:rPr>
                <w:i/>
                <w:iCs/>
              </w:rPr>
              <w:t xml:space="preserve"> </w:t>
            </w:r>
            <w:proofErr w:type="spellStart"/>
            <w:r w:rsidR="0076507E" w:rsidRPr="0076507E">
              <w:rPr>
                <w:i/>
                <w:iCs/>
              </w:rPr>
              <w:t>palvelujen</w:t>
            </w:r>
            <w:proofErr w:type="spellEnd"/>
            <w:r w:rsidR="0076507E" w:rsidRPr="0076507E">
              <w:rPr>
                <w:i/>
                <w:iCs/>
              </w:rPr>
              <w:t xml:space="preserve"> </w:t>
            </w:r>
            <w:proofErr w:type="spellStart"/>
            <w:r w:rsidR="0076507E" w:rsidRPr="0076507E">
              <w:rPr>
                <w:i/>
                <w:iCs/>
              </w:rPr>
              <w:t>tarjoamisesta</w:t>
            </w:r>
            <w:proofErr w:type="spellEnd"/>
            <w:r w:rsidR="0076507E" w:rsidRPr="0076507E">
              <w:t>/</w:t>
            </w:r>
            <w:r w:rsidR="0076507E" w:rsidRPr="0076507E">
              <w:rPr>
                <w:i/>
                <w:iCs/>
              </w:rPr>
              <w:t xml:space="preserve">lag om </w:t>
            </w:r>
            <w:proofErr w:type="spellStart"/>
            <w:r w:rsidR="0076507E" w:rsidRPr="0076507E">
              <w:rPr>
                <w:i/>
                <w:iCs/>
              </w:rPr>
              <w:t>tillhandahållande</w:t>
            </w:r>
            <w:proofErr w:type="spellEnd"/>
            <w:r w:rsidR="0076507E" w:rsidRPr="0076507E">
              <w:rPr>
                <w:i/>
                <w:iCs/>
              </w:rPr>
              <w:t xml:space="preserve"> </w:t>
            </w:r>
            <w:proofErr w:type="spellStart"/>
            <w:r w:rsidR="0076507E" w:rsidRPr="0076507E">
              <w:rPr>
                <w:i/>
                <w:iCs/>
              </w:rPr>
              <w:t>av</w:t>
            </w:r>
            <w:proofErr w:type="spellEnd"/>
            <w:r w:rsidR="0076507E" w:rsidRPr="0076507E">
              <w:rPr>
                <w:i/>
                <w:iCs/>
              </w:rPr>
              <w:t xml:space="preserve"> </w:t>
            </w:r>
            <w:proofErr w:type="spellStart"/>
            <w:r w:rsidR="0076507E" w:rsidRPr="0076507E">
              <w:rPr>
                <w:i/>
                <w:iCs/>
              </w:rPr>
              <w:t>digitala</w:t>
            </w:r>
            <w:proofErr w:type="spellEnd"/>
            <w:r w:rsidR="0076507E" w:rsidRPr="0076507E">
              <w:rPr>
                <w:i/>
                <w:iCs/>
              </w:rPr>
              <w:t xml:space="preserve"> </w:t>
            </w:r>
            <w:proofErr w:type="spellStart"/>
            <w:r w:rsidR="0076507E" w:rsidRPr="0076507E">
              <w:rPr>
                <w:i/>
                <w:iCs/>
              </w:rPr>
              <w:t>tjänster</w:t>
            </w:r>
            <w:proofErr w:type="spellEnd"/>
            <w:r w:rsidR="0076507E" w:rsidRPr="0076507E">
              <w:t>)</w:t>
            </w:r>
            <w:r w:rsidR="0076507E">
              <w:t xml:space="preserve"> </w:t>
            </w:r>
            <w:r w:rsidRPr="00743E10">
              <w:t>implementing the Web Accessibility Directive, which primarily concerns public service providers. However, the Digital Act does not apply to the digital services of public service broadcasters (section 3</w:t>
            </w:r>
            <w:r>
              <w:t>[</w:t>
            </w:r>
            <w:r w:rsidRPr="00743E10">
              <w:t>3</w:t>
            </w:r>
            <w:r>
              <w:t>]</w:t>
            </w:r>
            <w:r w:rsidRPr="00743E10">
              <w:t>).</w:t>
            </w:r>
          </w:p>
          <w:p w14:paraId="4AFCFD86" w14:textId="2902DB6A" w:rsidR="005E3C48" w:rsidRPr="00743E10" w:rsidRDefault="005E3C48" w:rsidP="002B3544">
            <w:pPr>
              <w:pStyle w:val="FRABodyText"/>
            </w:pPr>
          </w:p>
        </w:tc>
      </w:tr>
      <w:tr w:rsidR="00CC2CCC" w:rsidRPr="006E5B7F" w14:paraId="519C0F3A"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4A5D1AD" w14:textId="00389646" w:rsidR="00566A68" w:rsidRPr="001573D2" w:rsidRDefault="00566A68" w:rsidP="002B3544">
            <w:pPr>
              <w:pStyle w:val="FRABodyText"/>
              <w:rPr>
                <w:i/>
                <w:iCs/>
                <w:highlight w:val="yellow"/>
              </w:rPr>
            </w:pPr>
            <w:r w:rsidRPr="00FD5508">
              <w:lastRenderedPageBreak/>
              <w:t>Are there mandatory accessibility standards for national and local authority buildings</w:t>
            </w:r>
            <w:r w:rsidR="007B71AE" w:rsidRPr="00FD5508">
              <w:t xml:space="preserve"> in the election context</w:t>
            </w:r>
            <w:r w:rsidRPr="00FD5508">
              <w:t>?</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A8D57DA" w14:textId="5E60FB29" w:rsidR="00566A68" w:rsidRPr="0076507E" w:rsidRDefault="00566A68" w:rsidP="002B3544">
            <w:pPr>
              <w:pStyle w:val="FRABodyText"/>
              <w:rPr>
                <w:i/>
                <w:iCs/>
              </w:rPr>
            </w:pPr>
            <w:r w:rsidRPr="00017BC0">
              <w:t xml:space="preserve">Partially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4049E9B" w14:textId="3A3B561E" w:rsidR="0028154D" w:rsidRPr="00743E10" w:rsidRDefault="002C3261" w:rsidP="002B3544">
            <w:pPr>
              <w:pStyle w:val="FRABodyText"/>
              <w:rPr>
                <w:i/>
                <w:iCs/>
              </w:rPr>
            </w:pPr>
            <w:r w:rsidRPr="00743E10">
              <w:t xml:space="preserve">In </w:t>
            </w:r>
            <w:r w:rsidRPr="00743E10">
              <w:rPr>
                <w:b/>
                <w:bCs/>
              </w:rPr>
              <w:t>Finland</w:t>
            </w:r>
            <w:r w:rsidRPr="00743E10">
              <w:t>,</w:t>
            </w:r>
            <w:r w:rsidR="00632B2F" w:rsidRPr="00743E10">
              <w:t xml:space="preserve"> </w:t>
            </w:r>
            <w:r w:rsidR="0028154D" w:rsidRPr="00743E10">
              <w:t xml:space="preserve">there are no </w:t>
            </w:r>
            <w:r w:rsidR="00D919EB">
              <w:t xml:space="preserve">mandatory </w:t>
            </w:r>
            <w:r w:rsidR="0028154D" w:rsidRPr="00743E10">
              <w:t>accessibility standards specifically con</w:t>
            </w:r>
            <w:r w:rsidR="00BB4EC6">
              <w:softHyphen/>
            </w:r>
            <w:r w:rsidR="0028154D" w:rsidRPr="00743E10">
              <w:t xml:space="preserve">cerning authority buildings or authority buildings in the election context. </w:t>
            </w:r>
            <w:r w:rsidR="001F3AE5" w:rsidRPr="001F3AE5">
              <w:t>However, the Government Premises Strategy</w:t>
            </w:r>
            <w:r w:rsidR="001F3AE5">
              <w:t xml:space="preserve"> (</w:t>
            </w:r>
            <w:proofErr w:type="spellStart"/>
            <w:r w:rsidR="001F3AE5" w:rsidRPr="0076507E">
              <w:rPr>
                <w:i/>
                <w:iCs/>
              </w:rPr>
              <w:t>valtion</w:t>
            </w:r>
            <w:proofErr w:type="spellEnd"/>
            <w:r w:rsidR="001F3AE5" w:rsidRPr="0076507E">
              <w:rPr>
                <w:i/>
                <w:iCs/>
              </w:rPr>
              <w:t xml:space="preserve"> </w:t>
            </w:r>
            <w:proofErr w:type="spellStart"/>
            <w:r w:rsidR="001F3AE5" w:rsidRPr="0076507E">
              <w:rPr>
                <w:i/>
                <w:iCs/>
              </w:rPr>
              <w:t>toimitilastrategia</w:t>
            </w:r>
            <w:proofErr w:type="spellEnd"/>
            <w:r w:rsidR="001F3AE5">
              <w:t>)</w:t>
            </w:r>
            <w:r w:rsidR="001F3AE5" w:rsidRPr="001F3AE5">
              <w:t>, adopted as a Government Resolution in 2021, requires that state premises are accessible</w:t>
            </w:r>
            <w:r w:rsidR="00FD5508" w:rsidRPr="001F3AE5">
              <w:t>.</w:t>
            </w:r>
            <w:r w:rsidR="00FD5508" w:rsidRPr="00AA3A1F">
              <w:rPr>
                <w:rStyle w:val="FootnoteReference"/>
                <w:color w:val="2E74B5" w:themeColor="accent5" w:themeShade="BF"/>
              </w:rPr>
              <w:footnoteReference w:id="71"/>
            </w:r>
          </w:p>
          <w:p w14:paraId="29739B8A" w14:textId="77777777" w:rsidR="0028154D" w:rsidRPr="00743E10" w:rsidRDefault="0028154D" w:rsidP="002B3544">
            <w:pPr>
              <w:pStyle w:val="FRABodyText"/>
            </w:pPr>
          </w:p>
          <w:p w14:paraId="6C1AA648" w14:textId="598DC97E" w:rsidR="0028154D" w:rsidRPr="00743E10" w:rsidRDefault="0028154D" w:rsidP="002B3544">
            <w:pPr>
              <w:pStyle w:val="FRABodyText"/>
              <w:rPr>
                <w:i/>
                <w:iCs/>
              </w:rPr>
            </w:pPr>
            <w:r w:rsidRPr="00743E10">
              <w:t>A</w:t>
            </w:r>
            <w:r w:rsidR="002C3261" w:rsidRPr="00743E10">
              <w:t>ccessibility of buildings is</w:t>
            </w:r>
            <w:r w:rsidR="00363B70" w:rsidRPr="00743E10">
              <w:t xml:space="preserve"> currently </w:t>
            </w:r>
            <w:r w:rsidR="00926061" w:rsidRPr="00743E10">
              <w:t xml:space="preserve">mainly </w:t>
            </w:r>
            <w:r w:rsidR="00363B70" w:rsidRPr="00743E10">
              <w:t>regulated</w:t>
            </w:r>
            <w:r w:rsidR="002C3261" w:rsidRPr="00743E10">
              <w:t xml:space="preserve"> by the </w:t>
            </w:r>
            <w:bookmarkStart w:id="43" w:name="_Hlk153538771"/>
            <w:r w:rsidR="002C3261" w:rsidRPr="00743E10">
              <w:t xml:space="preserve">Land Use and Building Act </w:t>
            </w:r>
            <w:r w:rsidR="00601D17" w:rsidRPr="00743E10">
              <w:t>(</w:t>
            </w:r>
            <w:proofErr w:type="spellStart"/>
            <w:r w:rsidR="00601D17" w:rsidRPr="00AA3A1F">
              <w:rPr>
                <w:i/>
                <w:iCs/>
              </w:rPr>
              <w:t>maankäyttö</w:t>
            </w:r>
            <w:proofErr w:type="spellEnd"/>
            <w:r w:rsidR="00601D17" w:rsidRPr="00AA3A1F">
              <w:rPr>
                <w:i/>
                <w:iCs/>
              </w:rPr>
              <w:t xml:space="preserve">- </w:t>
            </w:r>
            <w:proofErr w:type="spellStart"/>
            <w:r w:rsidR="00601D17" w:rsidRPr="00AA3A1F">
              <w:rPr>
                <w:i/>
                <w:iCs/>
              </w:rPr>
              <w:t>ja</w:t>
            </w:r>
            <w:proofErr w:type="spellEnd"/>
            <w:r w:rsidR="00601D17" w:rsidRPr="00AA3A1F">
              <w:rPr>
                <w:i/>
                <w:iCs/>
              </w:rPr>
              <w:t xml:space="preserve"> </w:t>
            </w:r>
            <w:proofErr w:type="spellStart"/>
            <w:r w:rsidR="00601D17" w:rsidRPr="00AA3A1F">
              <w:rPr>
                <w:i/>
                <w:iCs/>
              </w:rPr>
              <w:t>rakennuslaki</w:t>
            </w:r>
            <w:proofErr w:type="spellEnd"/>
            <w:r w:rsidR="00601D17" w:rsidRPr="00743E10">
              <w:t>/</w:t>
            </w:r>
            <w:proofErr w:type="spellStart"/>
            <w:r w:rsidR="00601D17" w:rsidRPr="00AA3A1F">
              <w:rPr>
                <w:i/>
                <w:iCs/>
              </w:rPr>
              <w:t>markanvändings</w:t>
            </w:r>
            <w:proofErr w:type="spellEnd"/>
            <w:r w:rsidR="00601D17" w:rsidRPr="00AA3A1F">
              <w:rPr>
                <w:i/>
                <w:iCs/>
              </w:rPr>
              <w:t xml:space="preserve">- </w:t>
            </w:r>
            <w:proofErr w:type="spellStart"/>
            <w:r w:rsidR="00601D17" w:rsidRPr="00AA3A1F">
              <w:rPr>
                <w:i/>
                <w:iCs/>
              </w:rPr>
              <w:t>och</w:t>
            </w:r>
            <w:proofErr w:type="spellEnd"/>
            <w:r w:rsidR="00601D17" w:rsidRPr="00AA3A1F">
              <w:rPr>
                <w:i/>
                <w:iCs/>
              </w:rPr>
              <w:t xml:space="preserve"> </w:t>
            </w:r>
            <w:proofErr w:type="spellStart"/>
            <w:r w:rsidR="00601D17" w:rsidRPr="00AA3A1F">
              <w:rPr>
                <w:i/>
                <w:iCs/>
              </w:rPr>
              <w:t>bygglag</w:t>
            </w:r>
            <w:proofErr w:type="spellEnd"/>
            <w:r w:rsidR="00601D17" w:rsidRPr="00743E10">
              <w:t>)</w:t>
            </w:r>
            <w:r w:rsidR="00AA3A1F">
              <w:t xml:space="preserve"> </w:t>
            </w:r>
            <w:r w:rsidR="002C3261" w:rsidRPr="00743E10">
              <w:t>(Act No. 132/1999)</w:t>
            </w:r>
            <w:bookmarkEnd w:id="43"/>
            <w:r w:rsidR="002C3261" w:rsidRPr="00743E10">
              <w:t>,</w:t>
            </w:r>
            <w:r w:rsidR="00AA3A1F">
              <w:rPr>
                <w:rStyle w:val="FootnoteReference"/>
              </w:rPr>
              <w:footnoteReference w:id="72"/>
            </w:r>
            <w:r w:rsidR="002C3261" w:rsidRPr="00743E10">
              <w:t xml:space="preserve"> which requires builders to take accessibility into account especially from the perspective of children, the elderly and persons with disabilities</w:t>
            </w:r>
            <w:r w:rsidR="00601D17" w:rsidRPr="00743E10">
              <w:t xml:space="preserve"> (section 117[e])</w:t>
            </w:r>
            <w:r w:rsidR="002C3261" w:rsidRPr="00743E10">
              <w:t>. Th</w:t>
            </w:r>
            <w:r w:rsidR="00601D17" w:rsidRPr="00743E10">
              <w:t>is</w:t>
            </w:r>
            <w:r w:rsidR="002C3261" w:rsidRPr="00743E10">
              <w:t xml:space="preserve"> obligation</w:t>
            </w:r>
            <w:r w:rsidR="00601D17" w:rsidRPr="00743E10">
              <w:t xml:space="preserve"> is</w:t>
            </w:r>
            <w:r w:rsidR="002C3261" w:rsidRPr="00743E10">
              <w:t xml:space="preserve"> specified in the </w:t>
            </w:r>
            <w:r w:rsidR="00601D17" w:rsidRPr="00743E10">
              <w:t xml:space="preserve">Government </w:t>
            </w:r>
            <w:r w:rsidR="002C3261" w:rsidRPr="00743E10">
              <w:t>Decree on the Accessibility of Buildings</w:t>
            </w:r>
            <w:r w:rsidR="00AA3A1F">
              <w:t xml:space="preserve"> (</w:t>
            </w:r>
            <w:proofErr w:type="spellStart"/>
            <w:r w:rsidR="00AA3A1F" w:rsidRPr="00AA3A1F">
              <w:rPr>
                <w:i/>
                <w:iCs/>
              </w:rPr>
              <w:t>valtioneuvoston</w:t>
            </w:r>
            <w:proofErr w:type="spellEnd"/>
            <w:r w:rsidR="00AA3A1F" w:rsidRPr="00AA3A1F">
              <w:rPr>
                <w:i/>
                <w:iCs/>
              </w:rPr>
              <w:t xml:space="preserve"> </w:t>
            </w:r>
            <w:proofErr w:type="spellStart"/>
            <w:r w:rsidR="00AA3A1F" w:rsidRPr="00AA3A1F">
              <w:rPr>
                <w:i/>
                <w:iCs/>
              </w:rPr>
              <w:t>asetus</w:t>
            </w:r>
            <w:proofErr w:type="spellEnd"/>
            <w:r w:rsidR="00AA3A1F" w:rsidRPr="00AA3A1F">
              <w:rPr>
                <w:i/>
                <w:iCs/>
              </w:rPr>
              <w:t xml:space="preserve"> </w:t>
            </w:r>
            <w:proofErr w:type="spellStart"/>
            <w:r w:rsidR="00AA3A1F" w:rsidRPr="00AA3A1F">
              <w:rPr>
                <w:i/>
                <w:iCs/>
              </w:rPr>
              <w:t>rakennuksen</w:t>
            </w:r>
            <w:proofErr w:type="spellEnd"/>
            <w:r w:rsidR="00AA3A1F" w:rsidRPr="00AA3A1F">
              <w:rPr>
                <w:i/>
                <w:iCs/>
              </w:rPr>
              <w:t xml:space="preserve"> </w:t>
            </w:r>
            <w:proofErr w:type="spellStart"/>
            <w:r w:rsidR="00AA3A1F" w:rsidRPr="00AA3A1F">
              <w:rPr>
                <w:i/>
                <w:iCs/>
              </w:rPr>
              <w:t>esteettömyydestä</w:t>
            </w:r>
            <w:proofErr w:type="spellEnd"/>
            <w:r w:rsidR="00AA3A1F">
              <w:t>/</w:t>
            </w:r>
            <w:proofErr w:type="spellStart"/>
            <w:r w:rsidR="00AA3A1F" w:rsidRPr="00AA3A1F">
              <w:rPr>
                <w:i/>
                <w:iCs/>
              </w:rPr>
              <w:t>statsrådets</w:t>
            </w:r>
            <w:proofErr w:type="spellEnd"/>
            <w:r w:rsidR="00AA3A1F" w:rsidRPr="00AA3A1F">
              <w:rPr>
                <w:i/>
                <w:iCs/>
              </w:rPr>
              <w:t xml:space="preserve"> </w:t>
            </w:r>
            <w:proofErr w:type="spellStart"/>
            <w:r w:rsidR="00AA3A1F" w:rsidRPr="00AA3A1F">
              <w:rPr>
                <w:i/>
                <w:iCs/>
              </w:rPr>
              <w:t>förordning</w:t>
            </w:r>
            <w:proofErr w:type="spellEnd"/>
            <w:r w:rsidR="00AA3A1F" w:rsidRPr="00AA3A1F">
              <w:rPr>
                <w:i/>
                <w:iCs/>
              </w:rPr>
              <w:t xml:space="preserve"> om </w:t>
            </w:r>
            <w:proofErr w:type="spellStart"/>
            <w:r w:rsidR="00AA3A1F" w:rsidRPr="00AA3A1F">
              <w:rPr>
                <w:i/>
                <w:iCs/>
              </w:rPr>
              <w:t>byggnaders</w:t>
            </w:r>
            <w:proofErr w:type="spellEnd"/>
            <w:r w:rsidR="00AA3A1F" w:rsidRPr="00AA3A1F">
              <w:rPr>
                <w:i/>
                <w:iCs/>
              </w:rPr>
              <w:t xml:space="preserve"> </w:t>
            </w:r>
            <w:proofErr w:type="spellStart"/>
            <w:r w:rsidR="00AA3A1F" w:rsidRPr="00AA3A1F">
              <w:rPr>
                <w:i/>
                <w:iCs/>
              </w:rPr>
              <w:t>tillgänglighet</w:t>
            </w:r>
            <w:proofErr w:type="spellEnd"/>
            <w:r w:rsidR="00AA3A1F">
              <w:t>)</w:t>
            </w:r>
            <w:r w:rsidR="002C3261" w:rsidRPr="00743E10">
              <w:t xml:space="preserve"> (</w:t>
            </w:r>
            <w:r w:rsidR="00AA3A1F">
              <w:t xml:space="preserve">Decree No. </w:t>
            </w:r>
            <w:r w:rsidR="002C3261" w:rsidRPr="00743E10">
              <w:t>241/2017),</w:t>
            </w:r>
            <w:r w:rsidR="00AA3A1F">
              <w:rPr>
                <w:rStyle w:val="FootnoteReference"/>
              </w:rPr>
              <w:footnoteReference w:id="73"/>
            </w:r>
            <w:r w:rsidR="002C3261" w:rsidRPr="00743E10">
              <w:t xml:space="preserve"> which contains detailed provisions concern</w:t>
            </w:r>
            <w:r w:rsidR="0007182F" w:rsidRPr="00743E10">
              <w:softHyphen/>
            </w:r>
            <w:r w:rsidR="002C3261" w:rsidRPr="00743E10">
              <w:t>ing, for example, building entrances, doors, passageways inside the build</w:t>
            </w:r>
            <w:r w:rsidR="0007182F" w:rsidRPr="00743E10">
              <w:softHyphen/>
            </w:r>
            <w:r w:rsidR="002C3261" w:rsidRPr="00743E10">
              <w:t xml:space="preserve">ing, lifts, toilets and washing facilities. </w:t>
            </w:r>
            <w:r w:rsidR="00632B2F" w:rsidRPr="00743E10">
              <w:t>In addition, the</w:t>
            </w:r>
            <w:r w:rsidR="002C3261" w:rsidRPr="00743E10">
              <w:t xml:space="preserve"> Ministry of the Environment </w:t>
            </w:r>
            <w:r w:rsidR="0007182F" w:rsidRPr="00743E10">
              <w:t>(</w:t>
            </w:r>
            <w:proofErr w:type="spellStart"/>
            <w:r w:rsidR="0007182F" w:rsidRPr="00AA3A1F">
              <w:rPr>
                <w:i/>
                <w:iCs/>
              </w:rPr>
              <w:t>ympäristöministeriö</w:t>
            </w:r>
            <w:proofErr w:type="spellEnd"/>
            <w:r w:rsidR="0007182F" w:rsidRPr="00743E10">
              <w:t>/</w:t>
            </w:r>
            <w:proofErr w:type="spellStart"/>
            <w:r w:rsidR="0007182F" w:rsidRPr="00AA3A1F">
              <w:rPr>
                <w:i/>
                <w:iCs/>
              </w:rPr>
              <w:t>miljö</w:t>
            </w:r>
            <w:r w:rsidR="00632B2F" w:rsidRPr="00AA3A1F">
              <w:rPr>
                <w:i/>
                <w:iCs/>
              </w:rPr>
              <w:softHyphen/>
            </w:r>
            <w:r w:rsidR="0007182F" w:rsidRPr="00AA3A1F">
              <w:rPr>
                <w:i/>
                <w:iCs/>
              </w:rPr>
              <w:lastRenderedPageBreak/>
              <w:t>ministeriet</w:t>
            </w:r>
            <w:proofErr w:type="spellEnd"/>
            <w:r w:rsidR="0007182F" w:rsidRPr="00743E10">
              <w:t xml:space="preserve">) </w:t>
            </w:r>
            <w:r w:rsidR="002C3261" w:rsidRPr="00743E10">
              <w:t>has published guide</w:t>
            </w:r>
            <w:r w:rsidR="0007182F" w:rsidRPr="00743E10">
              <w:softHyphen/>
            </w:r>
            <w:r w:rsidR="002C3261" w:rsidRPr="00743E10">
              <w:t xml:space="preserve">lines that specify the contents of the decree and </w:t>
            </w:r>
            <w:r w:rsidR="00E26A9E" w:rsidRPr="00743E10">
              <w:t>include</w:t>
            </w:r>
            <w:r w:rsidR="002C3261" w:rsidRPr="00743E10">
              <w:t xml:space="preserve"> recommendations on them.</w:t>
            </w:r>
            <w:r w:rsidR="003F3A99" w:rsidRPr="00FB4D85">
              <w:rPr>
                <w:rStyle w:val="FootnoteReference"/>
                <w:color w:val="2E74B5" w:themeColor="accent5" w:themeShade="BF"/>
              </w:rPr>
              <w:footnoteReference w:id="74"/>
            </w:r>
            <w:r w:rsidR="002C3261" w:rsidRPr="00743E10">
              <w:t xml:space="preserve"> </w:t>
            </w:r>
          </w:p>
          <w:p w14:paraId="5DA367BA" w14:textId="77777777" w:rsidR="0028154D" w:rsidRPr="00743E10" w:rsidRDefault="0028154D" w:rsidP="002B3544">
            <w:pPr>
              <w:pStyle w:val="FRABodyText"/>
            </w:pPr>
          </w:p>
          <w:p w14:paraId="0A659BDF" w14:textId="5569F9DD" w:rsidR="00632B2F" w:rsidRPr="00743E10" w:rsidRDefault="004F2756" w:rsidP="002B3544">
            <w:pPr>
              <w:pStyle w:val="FRABodyText"/>
              <w:rPr>
                <w:i/>
                <w:iCs/>
              </w:rPr>
            </w:pPr>
            <w:r w:rsidRPr="00743E10">
              <w:t>These regulations</w:t>
            </w:r>
            <w:r w:rsidR="00926061" w:rsidRPr="00743E10">
              <w:t>, however,</w:t>
            </w:r>
            <w:r w:rsidRPr="00743E10">
              <w:t xml:space="preserve"> apply </w:t>
            </w:r>
            <w:r w:rsidR="00926061" w:rsidRPr="00743E10">
              <w:t xml:space="preserve">only </w:t>
            </w:r>
            <w:r w:rsidRPr="00743E10">
              <w:t>to new buildings and renovation of buildings</w:t>
            </w:r>
            <w:r w:rsidR="00926061" w:rsidRPr="00743E10">
              <w:t xml:space="preserve"> that are subject to licence</w:t>
            </w:r>
            <w:r w:rsidRPr="00743E10">
              <w:t xml:space="preserve">. </w:t>
            </w:r>
            <w:r w:rsidR="0028154D" w:rsidRPr="00743E10">
              <w:t>There is no obligation to start making the building more accessible if no alteration or repair project is being undertaken otherwise.</w:t>
            </w:r>
            <w:r w:rsidR="0028154D" w:rsidRPr="006D53E0">
              <w:rPr>
                <w:rStyle w:val="FootnoteReference"/>
                <w:color w:val="2E74B5" w:themeColor="accent5" w:themeShade="BF"/>
              </w:rPr>
              <w:footnoteReference w:id="75"/>
            </w:r>
            <w:r w:rsidR="0028154D" w:rsidRPr="006D53E0">
              <w:rPr>
                <w:color w:val="2E74B5" w:themeColor="accent5" w:themeShade="BF"/>
              </w:rPr>
              <w:t xml:space="preserve"> </w:t>
            </w:r>
          </w:p>
          <w:p w14:paraId="251A0B21" w14:textId="77777777" w:rsidR="00632B2F" w:rsidRPr="00743E10" w:rsidRDefault="00632B2F" w:rsidP="002B3544">
            <w:pPr>
              <w:pStyle w:val="FRABodyText"/>
            </w:pPr>
          </w:p>
          <w:p w14:paraId="1913B819" w14:textId="2A2884DE" w:rsidR="00E26A9E" w:rsidRPr="00743E10" w:rsidRDefault="00363B70" w:rsidP="002B3544">
            <w:pPr>
              <w:pStyle w:val="FRABodyText"/>
            </w:pPr>
            <w:r w:rsidRPr="00743E10">
              <w:t xml:space="preserve">The </w:t>
            </w:r>
            <w:r w:rsidR="00632B2F" w:rsidRPr="00743E10">
              <w:t>Land Use and Building Act</w:t>
            </w:r>
            <w:r w:rsidRPr="00743E10">
              <w:t xml:space="preserve"> will be replaced by </w:t>
            </w:r>
            <w:r w:rsidR="00632B2F" w:rsidRPr="00743E10">
              <w:t xml:space="preserve">new legislation, including </w:t>
            </w:r>
            <w:r w:rsidRPr="00743E10">
              <w:t>a</w:t>
            </w:r>
            <w:r w:rsidR="00632B2F" w:rsidRPr="00743E10">
              <w:t>n</w:t>
            </w:r>
            <w:r w:rsidRPr="00743E10">
              <w:t xml:space="preserve"> Act on Building</w:t>
            </w:r>
            <w:r w:rsidR="008B301C" w:rsidRPr="00743E10">
              <w:t xml:space="preserve"> (</w:t>
            </w:r>
            <w:proofErr w:type="spellStart"/>
            <w:r w:rsidR="00DE604A">
              <w:fldChar w:fldCharType="begin"/>
            </w:r>
            <w:r w:rsidR="00DE604A">
              <w:instrText>HYPERLINK "https://finlex.fi/fi/laki/alkup/2023/20230751" \l "Pidm46434447537680"</w:instrText>
            </w:r>
            <w:r w:rsidR="00DE604A">
              <w:fldChar w:fldCharType="separate"/>
            </w:r>
            <w:r w:rsidR="008B301C" w:rsidRPr="006D53E0">
              <w:rPr>
                <w:rStyle w:val="Hyperlink"/>
                <w:i/>
                <w:iCs/>
                <w:color w:val="auto"/>
                <w:u w:val="none"/>
              </w:rPr>
              <w:t>rakentamislaki</w:t>
            </w:r>
            <w:proofErr w:type="spellEnd"/>
            <w:r w:rsidR="00DE604A">
              <w:rPr>
                <w:rStyle w:val="Hyperlink"/>
                <w:i/>
                <w:iCs/>
                <w:color w:val="auto"/>
                <w:u w:val="none"/>
              </w:rPr>
              <w:fldChar w:fldCharType="end"/>
            </w:r>
            <w:r w:rsidR="008B301C" w:rsidRPr="00743E10">
              <w:t>/</w:t>
            </w:r>
            <w:proofErr w:type="spellStart"/>
            <w:r w:rsidR="00DE604A">
              <w:fldChar w:fldCharType="begin"/>
            </w:r>
            <w:r w:rsidR="00DE604A">
              <w:instrText>HYPERLINK "https://finlex.fi/sv/laki/alkup/2023/20230751"</w:instrText>
            </w:r>
            <w:r w:rsidR="00DE604A">
              <w:fldChar w:fldCharType="separate"/>
            </w:r>
            <w:r w:rsidR="008B301C" w:rsidRPr="006D53E0">
              <w:rPr>
                <w:rStyle w:val="Hyperlink"/>
                <w:i/>
                <w:iCs/>
                <w:color w:val="auto"/>
                <w:u w:val="none"/>
              </w:rPr>
              <w:t>bygglag</w:t>
            </w:r>
            <w:proofErr w:type="spellEnd"/>
            <w:r w:rsidR="00DE604A">
              <w:rPr>
                <w:rStyle w:val="Hyperlink"/>
                <w:i/>
                <w:iCs/>
                <w:color w:val="auto"/>
                <w:u w:val="none"/>
              </w:rPr>
              <w:fldChar w:fldCharType="end"/>
            </w:r>
            <w:r w:rsidR="008B301C" w:rsidRPr="00743E10">
              <w:t>) (Act No. 751/2023)</w:t>
            </w:r>
            <w:r w:rsidRPr="00743E10">
              <w:t xml:space="preserve">, which Parliament approved on </w:t>
            </w:r>
            <w:r w:rsidR="008B301C" w:rsidRPr="00743E10">
              <w:t>21 April 2023</w:t>
            </w:r>
            <w:r w:rsidR="00485E91" w:rsidRPr="00743E10">
              <w:t>,</w:t>
            </w:r>
            <w:r w:rsidR="002C3261" w:rsidRPr="00743E10">
              <w:t xml:space="preserve"> </w:t>
            </w:r>
            <w:r w:rsidR="008B301C" w:rsidRPr="00743E10">
              <w:t>and which will enter into force on 1 January 2025.</w:t>
            </w:r>
            <w:r w:rsidR="001B5F95" w:rsidRPr="00743E10">
              <w:t xml:space="preserve"> </w:t>
            </w:r>
            <w:r w:rsidR="00E26A9E" w:rsidRPr="00743E10">
              <w:t xml:space="preserve">Provisions on accessibility are laid down in section 35 of the Act. Compared to before, the scope of the groups of persons to be </w:t>
            </w:r>
            <w:r w:rsidR="00E353FA" w:rsidRPr="00743E10">
              <w:t>considered</w:t>
            </w:r>
            <w:r w:rsidR="00E26A9E" w:rsidRPr="00743E10">
              <w:t xml:space="preserve"> in terms of accessibility has been expanded to cover not only children, the elderly</w:t>
            </w:r>
            <w:r w:rsidR="0031548F" w:rsidRPr="00743E10">
              <w:t>,</w:t>
            </w:r>
            <w:r w:rsidR="00E26A9E" w:rsidRPr="00743E10">
              <w:t xml:space="preserve"> and people with disabilities, but also persons with reduced mobility and functional impairments. The second subsection includes the power to issue decrees, the purpose of which is to enable the further development of accessibility regulation. In this respect, the provisions correspond to the current content of the Government </w:t>
            </w:r>
            <w:r w:rsidR="00E26A9E" w:rsidRPr="00743E10">
              <w:lastRenderedPageBreak/>
              <w:t>Decree on Accessibility</w:t>
            </w:r>
            <w:r w:rsidR="00A711C5" w:rsidRPr="00743E10">
              <w:t xml:space="preserve"> </w:t>
            </w:r>
            <w:r w:rsidR="00275023" w:rsidRPr="00743E10">
              <w:t xml:space="preserve">of Buildings </w:t>
            </w:r>
            <w:r w:rsidR="00A711C5" w:rsidRPr="00743E10">
              <w:t>referred to above</w:t>
            </w:r>
            <w:r w:rsidR="00E26A9E" w:rsidRPr="00743E10">
              <w:t>.</w:t>
            </w:r>
            <w:r w:rsidR="00E26A9E" w:rsidRPr="006D53E0">
              <w:rPr>
                <w:rStyle w:val="FootnoteReference"/>
                <w:color w:val="2E74B5" w:themeColor="accent5" w:themeShade="BF"/>
              </w:rPr>
              <w:footnoteReference w:id="76"/>
            </w:r>
            <w:r w:rsidR="00E353FA" w:rsidRPr="00743E10">
              <w:t xml:space="preserve"> According to the Ministry of the Environment, a review of the Decree </w:t>
            </w:r>
            <w:r w:rsidR="00275023" w:rsidRPr="00743E10">
              <w:t xml:space="preserve">on Accessibility of Buildings </w:t>
            </w:r>
            <w:r w:rsidR="00E353FA" w:rsidRPr="00743E10">
              <w:t xml:space="preserve">is scheduled for spring 2024, and </w:t>
            </w:r>
            <w:r w:rsidR="00275023" w:rsidRPr="00743E10">
              <w:t xml:space="preserve">potential </w:t>
            </w:r>
            <w:r w:rsidR="00DB54A7" w:rsidRPr="00743E10">
              <w:t>measures</w:t>
            </w:r>
            <w:r w:rsidR="00275023" w:rsidRPr="00743E10">
              <w:t xml:space="preserve"> </w:t>
            </w:r>
            <w:r w:rsidR="00DB54A7" w:rsidRPr="00743E10">
              <w:t>to</w:t>
            </w:r>
            <w:r w:rsidR="00275023" w:rsidRPr="00743E10">
              <w:t xml:space="preserve"> reform </w:t>
            </w:r>
            <w:r w:rsidR="00DB54A7" w:rsidRPr="00743E10">
              <w:t>the</w:t>
            </w:r>
            <w:r w:rsidR="00275023" w:rsidRPr="00743E10">
              <w:t xml:space="preserve"> legislation will be assessed in that context.</w:t>
            </w:r>
            <w:r w:rsidR="00275023" w:rsidRPr="006D53E0">
              <w:rPr>
                <w:rStyle w:val="FootnoteReference"/>
                <w:color w:val="2E74B5" w:themeColor="accent5" w:themeShade="BF"/>
              </w:rPr>
              <w:footnoteReference w:id="77"/>
            </w:r>
          </w:p>
          <w:p w14:paraId="3DE62753" w14:textId="248A5F8A" w:rsidR="00485E91" w:rsidRPr="00743E10" w:rsidRDefault="00485E91" w:rsidP="002B3544">
            <w:pPr>
              <w:pStyle w:val="FRABodyText"/>
            </w:pPr>
          </w:p>
          <w:p w14:paraId="114C4680" w14:textId="02E7EAD8" w:rsidR="000B52B3" w:rsidRPr="00743E10" w:rsidRDefault="00DB54A7" w:rsidP="002B3544">
            <w:pPr>
              <w:pStyle w:val="FRABodyText"/>
              <w:rPr>
                <w:i/>
                <w:iCs/>
              </w:rPr>
            </w:pPr>
            <w:r w:rsidRPr="00743E10">
              <w:t>A working group on accessibility of buildings set up by the Ministry of the Environment published its end report in April 2023.</w:t>
            </w:r>
            <w:r w:rsidR="005A1791" w:rsidRPr="00187FA7">
              <w:rPr>
                <w:rStyle w:val="FootnoteReference"/>
                <w:color w:val="2E74B5" w:themeColor="accent5" w:themeShade="BF"/>
              </w:rPr>
              <w:footnoteReference w:id="78"/>
            </w:r>
            <w:r w:rsidRPr="00187FA7">
              <w:rPr>
                <w:color w:val="2E74B5" w:themeColor="accent5" w:themeShade="BF"/>
              </w:rPr>
              <w:t xml:space="preserve"> </w:t>
            </w:r>
            <w:r w:rsidR="003F3A99" w:rsidRPr="00743E10">
              <w:t xml:space="preserve">The working group identified a need to strengthen a human rights based </w:t>
            </w:r>
            <w:r w:rsidR="00660B34" w:rsidRPr="00743E10">
              <w:t xml:space="preserve">approach to </w:t>
            </w:r>
            <w:r w:rsidR="003F3A99" w:rsidRPr="00743E10">
              <w:t xml:space="preserve">accessibility and to </w:t>
            </w:r>
            <w:r w:rsidR="00660B34" w:rsidRPr="00743E10">
              <w:t xml:space="preserve">undertake a </w:t>
            </w:r>
            <w:r w:rsidR="003F3A99" w:rsidRPr="00743E10">
              <w:t xml:space="preserve">comprehensive </w:t>
            </w:r>
            <w:r w:rsidR="00660B34" w:rsidRPr="00743E10">
              <w:t xml:space="preserve">constitutional law based analysis of the </w:t>
            </w:r>
            <w:r w:rsidR="003F3A99" w:rsidRPr="00743E10">
              <w:t xml:space="preserve">needs for legislative reform </w:t>
            </w:r>
            <w:r w:rsidR="00660B34" w:rsidRPr="00743E10">
              <w:t xml:space="preserve">that </w:t>
            </w:r>
            <w:r w:rsidR="00D919EB">
              <w:t xml:space="preserve">covers </w:t>
            </w:r>
            <w:r w:rsidR="00660B34" w:rsidRPr="00743E10">
              <w:t>all administrative sectors.</w:t>
            </w:r>
            <w:r w:rsidR="00660B34" w:rsidRPr="00823DC9">
              <w:rPr>
                <w:rStyle w:val="FootnoteReference"/>
                <w:color w:val="2E74B5" w:themeColor="accent5" w:themeShade="BF"/>
              </w:rPr>
              <w:footnoteReference w:id="79"/>
            </w:r>
            <w:r w:rsidR="00660B34" w:rsidRPr="00823DC9">
              <w:rPr>
                <w:color w:val="2E74B5" w:themeColor="accent5" w:themeShade="BF"/>
              </w:rPr>
              <w:t xml:space="preserve"> </w:t>
            </w:r>
          </w:p>
          <w:p w14:paraId="3B6FF879" w14:textId="5213312F" w:rsidR="00926061" w:rsidRPr="00743E10" w:rsidRDefault="00926061" w:rsidP="002B3544">
            <w:pPr>
              <w:pStyle w:val="FRABodyText"/>
            </w:pPr>
          </w:p>
        </w:tc>
      </w:tr>
      <w:tr w:rsidR="00CC2CCC" w:rsidRPr="006E5B7F" w14:paraId="41AD407C"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B00F2AB" w14:textId="15E9AE02" w:rsidR="00566A68" w:rsidRPr="003D7638" w:rsidRDefault="00566A68" w:rsidP="002B3544">
            <w:pPr>
              <w:pStyle w:val="FRABodyText"/>
              <w:rPr>
                <w:i/>
                <w:iCs/>
              </w:rPr>
            </w:pPr>
            <w:r w:rsidRPr="003D7638">
              <w:lastRenderedPageBreak/>
              <w:t>Are there legal accessibility standards for polling stations in place?</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9AE27BA" w14:textId="5AE67836" w:rsidR="00566A68" w:rsidRPr="00E05196" w:rsidRDefault="00566A68" w:rsidP="002B3544">
            <w:pPr>
              <w:pStyle w:val="FRABodyText"/>
              <w:rPr>
                <w:i/>
                <w:iCs/>
              </w:rPr>
            </w:pPr>
            <w:r w:rsidRPr="00017BC0">
              <w:t>No legal standards</w:t>
            </w:r>
            <w:r w:rsidRPr="003D7638">
              <w:t xml:space="preserve">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8D3AD63" w14:textId="10250716" w:rsidR="003F23A3" w:rsidRPr="00743E10" w:rsidRDefault="0007182F" w:rsidP="002B3544">
            <w:pPr>
              <w:pStyle w:val="FRABodyText"/>
              <w:rPr>
                <w:i/>
                <w:iCs/>
              </w:rPr>
            </w:pPr>
            <w:r w:rsidRPr="00743E10">
              <w:t xml:space="preserve">In </w:t>
            </w:r>
            <w:r w:rsidRPr="00743E10">
              <w:rPr>
                <w:b/>
                <w:bCs/>
              </w:rPr>
              <w:t>Finland</w:t>
            </w:r>
            <w:r w:rsidRPr="00743E10">
              <w:t>, there are n</w:t>
            </w:r>
            <w:r w:rsidR="00D342D1" w:rsidRPr="00743E10">
              <w:t xml:space="preserve">o polling stations specific legal </w:t>
            </w:r>
            <w:r w:rsidR="001C175B" w:rsidRPr="00743E10">
              <w:t>accessibility</w:t>
            </w:r>
            <w:r w:rsidR="00D342D1" w:rsidRPr="00743E10">
              <w:t xml:space="preserve"> standards</w:t>
            </w:r>
            <w:r w:rsidR="002E758D" w:rsidRPr="00743E10">
              <w:t>. T</w:t>
            </w:r>
            <w:r w:rsidR="00AB7B4A" w:rsidRPr="00743E10">
              <w:t>he Ministry of Justice</w:t>
            </w:r>
            <w:r w:rsidR="00146C1A">
              <w:t>’</w:t>
            </w:r>
            <w:r w:rsidR="00AB7B4A" w:rsidRPr="00743E10">
              <w:t xml:space="preserve">s above-mentioned </w:t>
            </w:r>
            <w:r w:rsidR="00A711C5" w:rsidRPr="00743E10">
              <w:t>instructions</w:t>
            </w:r>
            <w:r w:rsidR="00AB7B4A" w:rsidRPr="00743E10">
              <w:t xml:space="preserve"> </w:t>
            </w:r>
            <w:r w:rsidR="00823DC9">
              <w:t xml:space="preserve">sent to the central election boards </w:t>
            </w:r>
            <w:r w:rsidR="00AB7B4A" w:rsidRPr="00743E10">
              <w:t xml:space="preserve">on the accessibility of polling stations are not legally binding. </w:t>
            </w:r>
          </w:p>
          <w:p w14:paraId="1EAFF5B9" w14:textId="77777777" w:rsidR="00506366" w:rsidRPr="00743E10" w:rsidRDefault="00506366" w:rsidP="002B3544">
            <w:pPr>
              <w:pStyle w:val="FRABodyText"/>
            </w:pPr>
          </w:p>
          <w:p w14:paraId="56098BE7" w14:textId="142D0AEC" w:rsidR="00937073" w:rsidRPr="00743E10" w:rsidRDefault="00937073" w:rsidP="002B3544">
            <w:pPr>
              <w:pStyle w:val="FRABodyText"/>
              <w:rPr>
                <w:i/>
                <w:iCs/>
              </w:rPr>
            </w:pPr>
            <w:r w:rsidRPr="00743E10">
              <w:lastRenderedPageBreak/>
              <w:t>On 23 November 2023, the Government appointed a parliamentary working group to develop practices in elections and voting. The task of the working group is to prepare legislation to ensure the accessibility of polling stations and council chambers.</w:t>
            </w:r>
            <w:r w:rsidRPr="00823DC9">
              <w:rPr>
                <w:color w:val="2E74B5" w:themeColor="accent5" w:themeShade="BF"/>
                <w:vertAlign w:val="superscript"/>
              </w:rPr>
              <w:footnoteReference w:id="80"/>
            </w:r>
            <w:r w:rsidR="00660B34" w:rsidRPr="00743E10">
              <w:t xml:space="preserve"> The mandate period of the working group ends on </w:t>
            </w:r>
            <w:r w:rsidR="00F55B3F" w:rsidRPr="00743E10">
              <w:t>31 December 2025.</w:t>
            </w:r>
          </w:p>
          <w:p w14:paraId="7936AD8F" w14:textId="3AB1BE86" w:rsidR="00937073" w:rsidRPr="00743E10" w:rsidRDefault="00937073" w:rsidP="002B3544">
            <w:pPr>
              <w:pStyle w:val="FRABodyText"/>
            </w:pPr>
          </w:p>
        </w:tc>
      </w:tr>
      <w:tr w:rsidR="00CC2CCC" w:rsidRPr="006E5B7F" w14:paraId="77507614"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E969F77" w14:textId="1310B884" w:rsidR="00566A68" w:rsidRPr="003D7638" w:rsidRDefault="00566A68" w:rsidP="002B3544">
            <w:pPr>
              <w:pStyle w:val="FRABodyText"/>
              <w:rPr>
                <w:i/>
                <w:iCs/>
              </w:rPr>
            </w:pPr>
            <w:r w:rsidRPr="003D7638">
              <w:lastRenderedPageBreak/>
              <w:t>Is data available on the proportion of polling stations that are accessible to persons with disabilities?</w:t>
            </w:r>
          </w:p>
          <w:p w14:paraId="4370427D" w14:textId="77777777" w:rsidR="00566A68" w:rsidRPr="003D7638" w:rsidRDefault="00566A68" w:rsidP="002B3544">
            <w:pPr>
              <w:pStyle w:val="FRABodyText"/>
            </w:pP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A1ABE70" w14:textId="77777777" w:rsidR="00566A68" w:rsidRPr="003D7638" w:rsidRDefault="00566A68" w:rsidP="002B3544">
            <w:pPr>
              <w:pStyle w:val="FRABodyText"/>
              <w:rPr>
                <w:i/>
                <w:iCs/>
              </w:rPr>
            </w:pPr>
            <w:r w:rsidRPr="00017BC0">
              <w:t>No data identified</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F089532" w14:textId="04E9DCE7" w:rsidR="00566A68" w:rsidRPr="00743E10" w:rsidRDefault="00F76AC4" w:rsidP="002B3544">
            <w:pPr>
              <w:pStyle w:val="FRABodyText"/>
              <w:rPr>
                <w:i/>
                <w:iCs/>
              </w:rPr>
            </w:pPr>
            <w:r w:rsidRPr="00743E10">
              <w:t xml:space="preserve">In </w:t>
            </w:r>
            <w:r w:rsidRPr="00743E10">
              <w:rPr>
                <w:b/>
                <w:bCs/>
              </w:rPr>
              <w:t>Finland</w:t>
            </w:r>
            <w:r w:rsidRPr="00743E10">
              <w:t>, there is no data available on the proportion of polling stations that are accessible to persons with disabilities</w:t>
            </w:r>
            <w:r w:rsidR="008E0BBA" w:rsidRPr="00743E10">
              <w:t>.</w:t>
            </w:r>
            <w:r w:rsidR="001573D2">
              <w:rPr>
                <w:rStyle w:val="FootnoteReference"/>
              </w:rPr>
              <w:footnoteReference w:id="81"/>
            </w:r>
          </w:p>
        </w:tc>
      </w:tr>
      <w:tr w:rsidR="00CC2CCC" w:rsidRPr="006E5B7F" w14:paraId="67249585"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4CED214" w14:textId="03835E73" w:rsidR="00566A68" w:rsidRPr="003D7638" w:rsidRDefault="00566A68" w:rsidP="002B3544">
            <w:pPr>
              <w:pStyle w:val="FRABodyText"/>
              <w:rPr>
                <w:i/>
                <w:iCs/>
              </w:rPr>
            </w:pPr>
            <w:r w:rsidRPr="003D7638">
              <w:t xml:space="preserve">Is data available on the </w:t>
            </w:r>
            <w:r w:rsidRPr="0095178A">
              <w:t>proportion</w:t>
            </w:r>
            <w:r w:rsidRPr="003D7638">
              <w:t xml:space="preserve"> of public buildings that are accessible for persons with disabilities?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07E0895" w14:textId="2A36FE61" w:rsidR="00566A68" w:rsidRPr="00065EA5" w:rsidRDefault="00566A68" w:rsidP="002B3544">
            <w:pPr>
              <w:pStyle w:val="FRABodyText"/>
              <w:rPr>
                <w:bCs/>
                <w:i/>
                <w:iCs/>
              </w:rPr>
            </w:pPr>
            <w:r w:rsidRPr="00017BC0">
              <w:t>Some official data available</w:t>
            </w:r>
            <w:r w:rsidRPr="00D042F2">
              <w:t xml:space="preserve">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D58F43E" w14:textId="50684FA7" w:rsidR="007D1D3E" w:rsidRDefault="0031548F" w:rsidP="002B3544">
            <w:pPr>
              <w:pStyle w:val="FRABodyText"/>
              <w:rPr>
                <w:i/>
                <w:iCs/>
              </w:rPr>
            </w:pPr>
            <w:r w:rsidRPr="00743E10">
              <w:t xml:space="preserve">In </w:t>
            </w:r>
            <w:r w:rsidRPr="00743E10">
              <w:rPr>
                <w:b/>
                <w:bCs/>
              </w:rPr>
              <w:t>Finland</w:t>
            </w:r>
            <w:r w:rsidRPr="00743E10">
              <w:t xml:space="preserve">, there is no data available on the proportion of public buildings that are accessible for persons with disabilities. </w:t>
            </w:r>
            <w:r w:rsidR="00605370" w:rsidRPr="009A7F95">
              <w:t>However, the</w:t>
            </w:r>
            <w:r w:rsidR="007D1D3E" w:rsidRPr="009A7F95">
              <w:t xml:space="preserve"> Prime Minister</w:t>
            </w:r>
            <w:r w:rsidR="00065EA5">
              <w:t>’</w:t>
            </w:r>
            <w:r w:rsidR="007D1D3E" w:rsidRPr="009A7F95">
              <w:t>s Office</w:t>
            </w:r>
            <w:r w:rsidR="007D1D3E" w:rsidRPr="007D1D3E">
              <w:rPr>
                <w:i/>
                <w:iCs/>
              </w:rPr>
              <w:t xml:space="preserve"> </w:t>
            </w:r>
            <w:r w:rsidR="00605370">
              <w:rPr>
                <w:i/>
                <w:iCs/>
              </w:rPr>
              <w:t>(</w:t>
            </w:r>
            <w:proofErr w:type="spellStart"/>
            <w:r w:rsidR="00605370" w:rsidRPr="009A7F95">
              <w:rPr>
                <w:i/>
                <w:iCs/>
              </w:rPr>
              <w:t>valtioneuvoston</w:t>
            </w:r>
            <w:proofErr w:type="spellEnd"/>
            <w:r w:rsidR="00605370" w:rsidRPr="009A7F95">
              <w:rPr>
                <w:i/>
                <w:iCs/>
              </w:rPr>
              <w:t xml:space="preserve"> </w:t>
            </w:r>
            <w:proofErr w:type="spellStart"/>
            <w:r w:rsidR="00605370" w:rsidRPr="009A7F95">
              <w:rPr>
                <w:i/>
                <w:iCs/>
              </w:rPr>
              <w:t>kanslia</w:t>
            </w:r>
            <w:proofErr w:type="spellEnd"/>
            <w:r w:rsidR="00605370">
              <w:rPr>
                <w:i/>
                <w:iCs/>
              </w:rPr>
              <w:t>/</w:t>
            </w:r>
            <w:proofErr w:type="spellStart"/>
            <w:r w:rsidR="00605370" w:rsidRPr="009A7F95">
              <w:rPr>
                <w:i/>
                <w:iCs/>
              </w:rPr>
              <w:t>statsrådets</w:t>
            </w:r>
            <w:proofErr w:type="spellEnd"/>
            <w:r w:rsidR="00605370" w:rsidRPr="009A7F95">
              <w:rPr>
                <w:i/>
                <w:iCs/>
              </w:rPr>
              <w:t xml:space="preserve"> </w:t>
            </w:r>
            <w:proofErr w:type="spellStart"/>
            <w:r w:rsidR="00605370" w:rsidRPr="009A7F95">
              <w:rPr>
                <w:i/>
                <w:iCs/>
              </w:rPr>
              <w:t>kansli</w:t>
            </w:r>
            <w:proofErr w:type="spellEnd"/>
            <w:r w:rsidR="00605370" w:rsidRPr="009A7F95">
              <w:t xml:space="preserve">) </w:t>
            </w:r>
            <w:r w:rsidR="007D1D3E" w:rsidRPr="009A7F95">
              <w:t>and/or Senate Properties</w:t>
            </w:r>
            <w:r w:rsidR="00605370">
              <w:rPr>
                <w:i/>
                <w:iCs/>
              </w:rPr>
              <w:t xml:space="preserve"> (</w:t>
            </w:r>
            <w:proofErr w:type="spellStart"/>
            <w:r w:rsidR="00605370" w:rsidRPr="00065EA5">
              <w:rPr>
                <w:i/>
                <w:iCs/>
              </w:rPr>
              <w:t>Senaattikiinteistöt</w:t>
            </w:r>
            <w:proofErr w:type="spellEnd"/>
            <w:r w:rsidR="00605370">
              <w:rPr>
                <w:i/>
                <w:iCs/>
              </w:rPr>
              <w:t>/</w:t>
            </w:r>
            <w:proofErr w:type="spellStart"/>
            <w:r w:rsidR="00605370" w:rsidRPr="00065EA5">
              <w:rPr>
                <w:i/>
                <w:iCs/>
              </w:rPr>
              <w:t>Senatfastigheter</w:t>
            </w:r>
            <w:proofErr w:type="spellEnd"/>
            <w:r w:rsidR="00605370" w:rsidRPr="009A7F95">
              <w:t xml:space="preserve">), which manages </w:t>
            </w:r>
            <w:r w:rsidR="00605370" w:rsidRPr="009A7F95">
              <w:lastRenderedPageBreak/>
              <w:t>the state owned buildings,</w:t>
            </w:r>
            <w:r w:rsidR="007D1D3E" w:rsidRPr="009A7F95">
              <w:t xml:space="preserve"> maintain information on the accessibility of the premises in </w:t>
            </w:r>
            <w:r w:rsidR="00605370" w:rsidRPr="009A7F95">
              <w:t xml:space="preserve">the service portal </w:t>
            </w:r>
            <w:r w:rsidR="007D1D3E" w:rsidRPr="009A7F95">
              <w:t>Sena</w:t>
            </w:r>
            <w:r w:rsidR="00605370" w:rsidRPr="009A7F95">
              <w:t>attila.fi</w:t>
            </w:r>
            <w:r w:rsidR="007D1D3E" w:rsidRPr="007D1D3E">
              <w:rPr>
                <w:i/>
                <w:iCs/>
              </w:rPr>
              <w:t>.</w:t>
            </w:r>
            <w:r w:rsidR="007D1D3E">
              <w:rPr>
                <w:rStyle w:val="FootnoteReference"/>
                <w:i/>
                <w:iCs/>
              </w:rPr>
              <w:footnoteReference w:id="82"/>
            </w:r>
          </w:p>
          <w:p w14:paraId="64C8E0D9" w14:textId="77777777" w:rsidR="007D1D3E" w:rsidRDefault="007D1D3E" w:rsidP="002B3544">
            <w:pPr>
              <w:pStyle w:val="FRABodyText"/>
            </w:pPr>
          </w:p>
          <w:p w14:paraId="0E1C1A2B" w14:textId="589EF279" w:rsidR="008E0BBA" w:rsidRPr="0095178A" w:rsidRDefault="00943F30" w:rsidP="002B3544">
            <w:pPr>
              <w:pStyle w:val="FRABodyText"/>
              <w:rPr>
                <w:rFonts w:eastAsia="Times New Roman"/>
                <w:i/>
                <w:iCs/>
                <w:lang w:eastAsia="en-GB" w:bidi="ar-SA"/>
              </w:rPr>
            </w:pPr>
            <w:r w:rsidRPr="00743E10">
              <w:t>A</w:t>
            </w:r>
            <w:r w:rsidR="0031548F" w:rsidRPr="00743E10">
              <w:t xml:space="preserve"> relatively recent research report that was commissioned by the Government, dr</w:t>
            </w:r>
            <w:r w:rsidRPr="00743E10">
              <w:t>aws</w:t>
            </w:r>
            <w:r w:rsidR="0031548F" w:rsidRPr="00743E10">
              <w:t xml:space="preserve"> attention to the fact that data on accessibility </w:t>
            </w:r>
            <w:r w:rsidR="00E56238" w:rsidRPr="00743E10">
              <w:t>of buil</w:t>
            </w:r>
            <w:r w:rsidR="00B25E78" w:rsidRPr="00743E10">
              <w:t>t environment</w:t>
            </w:r>
            <w:r w:rsidR="00E56238" w:rsidRPr="00743E10">
              <w:t xml:space="preserve"> </w:t>
            </w:r>
            <w:r w:rsidR="0031548F" w:rsidRPr="00743E10">
              <w:t xml:space="preserve">is </w:t>
            </w:r>
            <w:r w:rsidR="00B25E78" w:rsidRPr="00743E10">
              <w:t>scattered and not comprehensive</w:t>
            </w:r>
            <w:r w:rsidR="0031548F" w:rsidRPr="00743E10">
              <w:t xml:space="preserve">, and </w:t>
            </w:r>
            <w:r w:rsidRPr="00743E10">
              <w:t xml:space="preserve">that </w:t>
            </w:r>
            <w:r w:rsidR="0031548F" w:rsidRPr="00743E10">
              <w:t xml:space="preserve">data collected in municipalities, for example, is not </w:t>
            </w:r>
            <w:r w:rsidR="00A711C5" w:rsidRPr="00743E10">
              <w:t xml:space="preserve">presented </w:t>
            </w:r>
            <w:r w:rsidR="0031548F" w:rsidRPr="00743E10">
              <w:t>in a statistically proces</w:t>
            </w:r>
            <w:r w:rsidRPr="00743E10">
              <w:t>sable</w:t>
            </w:r>
            <w:r w:rsidR="0031548F" w:rsidRPr="00743E10">
              <w:t xml:space="preserve"> format.</w:t>
            </w:r>
            <w:r w:rsidRPr="00065EA5">
              <w:rPr>
                <w:rStyle w:val="FootnoteReference"/>
                <w:color w:val="2E74B5" w:themeColor="accent5" w:themeShade="BF"/>
              </w:rPr>
              <w:footnoteReference w:id="83"/>
            </w:r>
            <w:r w:rsidR="00E56238" w:rsidRPr="00743E10">
              <w:rPr>
                <w:rFonts w:eastAsia="Times New Roman"/>
                <w:lang w:eastAsia="en-GB" w:bidi="ar-SA"/>
              </w:rPr>
              <w:t xml:space="preserve"> </w:t>
            </w:r>
            <w:r w:rsidR="001573D2">
              <w:rPr>
                <w:rFonts w:eastAsia="Times New Roman"/>
                <w:lang w:eastAsia="en-GB" w:bidi="ar-SA"/>
              </w:rPr>
              <w:t xml:space="preserve">The need to collect data is recognised </w:t>
            </w:r>
            <w:r w:rsidR="0095178A">
              <w:rPr>
                <w:rFonts w:eastAsia="Times New Roman"/>
                <w:lang w:eastAsia="en-GB" w:bidi="ar-SA"/>
              </w:rPr>
              <w:t xml:space="preserve">also </w:t>
            </w:r>
            <w:r w:rsidR="001573D2">
              <w:rPr>
                <w:rFonts w:eastAsia="Times New Roman"/>
                <w:lang w:eastAsia="en-GB" w:bidi="ar-SA"/>
              </w:rPr>
              <w:t>in the recommendations issued by the working group on accessibility.</w:t>
            </w:r>
            <w:r w:rsidR="001573D2" w:rsidRPr="00065EA5">
              <w:rPr>
                <w:rStyle w:val="FootnoteReference"/>
                <w:rFonts w:eastAsia="Times New Roman"/>
                <w:color w:val="2E74B5" w:themeColor="accent5" w:themeShade="BF"/>
                <w:lang w:eastAsia="en-GB" w:bidi="ar-SA"/>
              </w:rPr>
              <w:footnoteReference w:id="84"/>
            </w:r>
            <w:r w:rsidR="001573D2">
              <w:rPr>
                <w:rFonts w:eastAsia="Times New Roman"/>
                <w:lang w:eastAsia="en-GB" w:bidi="ar-SA"/>
              </w:rPr>
              <w:t xml:space="preserve"> </w:t>
            </w:r>
          </w:p>
        </w:tc>
      </w:tr>
    </w:tbl>
    <w:p w14:paraId="372A1A60" w14:textId="49233046" w:rsidR="00F64505" w:rsidRPr="006E5B7F" w:rsidRDefault="00F64505" w:rsidP="00F64505">
      <w:pPr>
        <w:tabs>
          <w:tab w:val="left" w:pos="4584"/>
        </w:tabs>
        <w:rPr>
          <w:b/>
          <w:color w:val="006FB4"/>
          <w:kern w:val="24"/>
          <w:sz w:val="52"/>
        </w:rPr>
      </w:pPr>
    </w:p>
    <w:p w14:paraId="17C860E5" w14:textId="0D36F70A" w:rsidR="00F64505" w:rsidRPr="006E5B7F" w:rsidRDefault="00F64505" w:rsidP="00F64505">
      <w:pPr>
        <w:tabs>
          <w:tab w:val="left" w:pos="4584"/>
        </w:tabs>
        <w:sectPr w:rsidR="00F64505" w:rsidRPr="006E5B7F" w:rsidSect="00054135">
          <w:pgSz w:w="16838" w:h="11906" w:orient="landscape" w:code="9"/>
          <w:pgMar w:top="1701" w:right="1701" w:bottom="1701" w:left="1134" w:header="851" w:footer="567" w:gutter="0"/>
          <w:cols w:space="708"/>
          <w:docGrid w:linePitch="360"/>
        </w:sectPr>
      </w:pPr>
      <w:r w:rsidRPr="006E5B7F">
        <w:tab/>
      </w:r>
    </w:p>
    <w:p w14:paraId="2C3CD295" w14:textId="70413A82" w:rsidR="00713152" w:rsidRPr="006E5B7F" w:rsidRDefault="00713152" w:rsidP="00713152">
      <w:pPr>
        <w:pStyle w:val="HeadingNumbered1"/>
      </w:pPr>
      <w:bookmarkStart w:id="47" w:name="_Toc1607741523"/>
      <w:r w:rsidRPr="006E5B7F">
        <w:lastRenderedPageBreak/>
        <w:t xml:space="preserve">Political participation of persons with disabilities </w:t>
      </w:r>
      <w:r w:rsidR="00A652A4" w:rsidRPr="006E5B7F">
        <w:t>in practice</w:t>
      </w:r>
      <w:bookmarkEnd w:id="47"/>
    </w:p>
    <w:p w14:paraId="629878B7" w14:textId="248A0E7B" w:rsidR="007361B4" w:rsidRPr="006E5B7F" w:rsidRDefault="007361B4" w:rsidP="0074155B">
      <w:pPr>
        <w:pStyle w:val="HeadingNumbered2"/>
      </w:pPr>
      <w:bookmarkStart w:id="48" w:name="_Toc1363565999"/>
      <w:r w:rsidRPr="006E5B7F">
        <w:t>Positive and negative key development as regards political participation of persons with disabilities</w:t>
      </w:r>
      <w:bookmarkEnd w:id="48"/>
    </w:p>
    <w:p w14:paraId="0EC00A4A" w14:textId="45E93C00" w:rsidR="005A7D09" w:rsidRPr="006E5B7F" w:rsidRDefault="005A7D09" w:rsidP="0074155B">
      <w:pPr>
        <w:rPr>
          <w:sz w:val="22"/>
          <w:szCs w:val="22"/>
        </w:rPr>
      </w:pPr>
    </w:p>
    <w:p w14:paraId="59E3F4B7" w14:textId="308AC708" w:rsidR="00080D8B" w:rsidRDefault="009C46E1" w:rsidP="00FD1236">
      <w:pPr>
        <w:jc w:val="both"/>
        <w:rPr>
          <w:sz w:val="22"/>
          <w:szCs w:val="22"/>
        </w:rPr>
      </w:pPr>
      <w:r w:rsidRPr="006E5B7F">
        <w:rPr>
          <w:b/>
          <w:bCs/>
          <w:sz w:val="22"/>
          <w:szCs w:val="22"/>
        </w:rPr>
        <w:t>Positi</w:t>
      </w:r>
      <w:r w:rsidR="0072504E" w:rsidRPr="006E5B7F">
        <w:rPr>
          <w:b/>
          <w:bCs/>
          <w:sz w:val="22"/>
          <w:szCs w:val="22"/>
        </w:rPr>
        <w:t>ve key development</w:t>
      </w:r>
      <w:r w:rsidR="0072504E" w:rsidRPr="006E5B7F">
        <w:rPr>
          <w:sz w:val="22"/>
          <w:szCs w:val="22"/>
        </w:rPr>
        <w:t>:</w:t>
      </w:r>
      <w:r w:rsidR="00482BBD" w:rsidRPr="006E5B7F">
        <w:rPr>
          <w:sz w:val="22"/>
          <w:szCs w:val="22"/>
        </w:rPr>
        <w:t xml:space="preserve"> </w:t>
      </w:r>
      <w:r w:rsidR="00D26757" w:rsidRPr="006E5B7F">
        <w:rPr>
          <w:sz w:val="22"/>
          <w:szCs w:val="22"/>
        </w:rPr>
        <w:t>As regards the promotion of the political participat</w:t>
      </w:r>
      <w:r w:rsidR="00E623CA" w:rsidRPr="006E5B7F">
        <w:rPr>
          <w:sz w:val="22"/>
          <w:szCs w:val="22"/>
        </w:rPr>
        <w:t>ory</w:t>
      </w:r>
      <w:r w:rsidR="00D26757" w:rsidRPr="006E5B7F">
        <w:rPr>
          <w:sz w:val="22"/>
          <w:szCs w:val="22"/>
        </w:rPr>
        <w:t xml:space="preserve"> rights of persons with disabilities, the </w:t>
      </w:r>
      <w:r w:rsidR="00E86076" w:rsidRPr="006E5B7F">
        <w:rPr>
          <w:sz w:val="22"/>
          <w:szCs w:val="22"/>
        </w:rPr>
        <w:t xml:space="preserve">Parliamentary </w:t>
      </w:r>
      <w:r w:rsidR="00D26757" w:rsidRPr="006E5B7F">
        <w:rPr>
          <w:sz w:val="22"/>
          <w:szCs w:val="22"/>
        </w:rPr>
        <w:t xml:space="preserve">Ombudsman’s complaint-based </w:t>
      </w:r>
      <w:r w:rsidR="00237C1B" w:rsidRPr="006E5B7F">
        <w:rPr>
          <w:sz w:val="22"/>
          <w:szCs w:val="22"/>
        </w:rPr>
        <w:t>decisions</w:t>
      </w:r>
      <w:r w:rsidR="00D26757" w:rsidRPr="006E5B7F">
        <w:rPr>
          <w:sz w:val="22"/>
          <w:szCs w:val="22"/>
        </w:rPr>
        <w:t xml:space="preserve"> and </w:t>
      </w:r>
      <w:r w:rsidR="00237C1B" w:rsidRPr="006E5B7F">
        <w:rPr>
          <w:sz w:val="22"/>
          <w:szCs w:val="22"/>
        </w:rPr>
        <w:t xml:space="preserve">active role </w:t>
      </w:r>
      <w:r w:rsidR="00D26757" w:rsidRPr="006E5B7F">
        <w:rPr>
          <w:sz w:val="22"/>
          <w:szCs w:val="22"/>
        </w:rPr>
        <w:t xml:space="preserve">in </w:t>
      </w:r>
      <w:r w:rsidR="00237C1B" w:rsidRPr="006E5B7F">
        <w:rPr>
          <w:sz w:val="22"/>
          <w:szCs w:val="22"/>
        </w:rPr>
        <w:t>carrying out</w:t>
      </w:r>
      <w:r w:rsidR="00D26757" w:rsidRPr="006E5B7F">
        <w:rPr>
          <w:sz w:val="22"/>
          <w:szCs w:val="22"/>
        </w:rPr>
        <w:t xml:space="preserve"> regular inspections of polling stations and </w:t>
      </w:r>
      <w:r w:rsidR="00237C1B" w:rsidRPr="006E5B7F">
        <w:rPr>
          <w:sz w:val="22"/>
          <w:szCs w:val="22"/>
        </w:rPr>
        <w:t xml:space="preserve">undertaking </w:t>
      </w:r>
      <w:r w:rsidR="00D26757" w:rsidRPr="006E5B7F">
        <w:rPr>
          <w:sz w:val="22"/>
          <w:szCs w:val="22"/>
        </w:rPr>
        <w:t>so-called own</w:t>
      </w:r>
      <w:r w:rsidR="008C08D2" w:rsidRPr="006E5B7F">
        <w:rPr>
          <w:sz w:val="22"/>
          <w:szCs w:val="22"/>
        </w:rPr>
        <w:t>-</w:t>
      </w:r>
      <w:r w:rsidR="00D26757" w:rsidRPr="006E5B7F">
        <w:rPr>
          <w:sz w:val="22"/>
          <w:szCs w:val="22"/>
        </w:rPr>
        <w:t>initiative</w:t>
      </w:r>
      <w:r w:rsidR="008C08D2" w:rsidRPr="006E5B7F">
        <w:rPr>
          <w:sz w:val="22"/>
          <w:szCs w:val="22"/>
        </w:rPr>
        <w:t xml:space="preserve"> </w:t>
      </w:r>
      <w:r w:rsidR="0035696D" w:rsidRPr="006E5B7F">
        <w:rPr>
          <w:sz w:val="22"/>
          <w:szCs w:val="22"/>
        </w:rPr>
        <w:t>investigations</w:t>
      </w:r>
      <w:r w:rsidR="00D26757" w:rsidRPr="006E5B7F">
        <w:rPr>
          <w:sz w:val="22"/>
          <w:szCs w:val="22"/>
        </w:rPr>
        <w:t xml:space="preserve"> should be highlighted. The Parliamentary Ombudsman is part of the national structure referred to in Article 33(2) of the UN Convention on the Rights of Persons with Disabilities (CRPD), which is tasked with promoting, protecting and monitoring the realisation of the rights of persons with disabilities.</w:t>
      </w:r>
      <w:r w:rsidR="0035696D" w:rsidRPr="006E5B7F">
        <w:rPr>
          <w:rStyle w:val="FootnoteReference"/>
          <w:sz w:val="22"/>
          <w:szCs w:val="22"/>
        </w:rPr>
        <w:footnoteReference w:id="85"/>
      </w:r>
      <w:r w:rsidR="00D26757" w:rsidRPr="006E5B7F">
        <w:rPr>
          <w:sz w:val="22"/>
          <w:szCs w:val="22"/>
        </w:rPr>
        <w:t xml:space="preserve"> The Ombudsman has carried out inspections of polling stations in connection with elections since 2015</w:t>
      </w:r>
      <w:r w:rsidR="00F14179">
        <w:rPr>
          <w:sz w:val="22"/>
          <w:szCs w:val="22"/>
        </w:rPr>
        <w:t>, when</w:t>
      </w:r>
      <w:r w:rsidR="0004281A">
        <w:rPr>
          <w:sz w:val="22"/>
          <w:szCs w:val="22"/>
        </w:rPr>
        <w:t xml:space="preserve"> </w:t>
      </w:r>
      <w:r w:rsidR="00F14179" w:rsidRPr="00F14179">
        <w:rPr>
          <w:sz w:val="22"/>
          <w:szCs w:val="22"/>
        </w:rPr>
        <w:t>the rights of persons with disabilities ha</w:t>
      </w:r>
      <w:r w:rsidR="00C16F6F">
        <w:rPr>
          <w:sz w:val="22"/>
          <w:szCs w:val="22"/>
        </w:rPr>
        <w:t>d</w:t>
      </w:r>
      <w:r w:rsidR="00F14179" w:rsidRPr="00F14179">
        <w:rPr>
          <w:sz w:val="22"/>
          <w:szCs w:val="22"/>
        </w:rPr>
        <w:t xml:space="preserve"> been selected </w:t>
      </w:r>
      <w:r w:rsidR="00C16F6F">
        <w:rPr>
          <w:sz w:val="22"/>
          <w:szCs w:val="22"/>
        </w:rPr>
        <w:t>as the</w:t>
      </w:r>
      <w:r w:rsidR="00F14179" w:rsidRPr="00F14179">
        <w:rPr>
          <w:sz w:val="22"/>
          <w:szCs w:val="22"/>
        </w:rPr>
        <w:t xml:space="preserve"> Ombudsman</w:t>
      </w:r>
      <w:r w:rsidR="00C16F6F">
        <w:rPr>
          <w:sz w:val="22"/>
          <w:szCs w:val="22"/>
        </w:rPr>
        <w:t xml:space="preserve">’s Office’s </w:t>
      </w:r>
      <w:r w:rsidR="00F14179" w:rsidRPr="00F14179">
        <w:rPr>
          <w:sz w:val="22"/>
          <w:szCs w:val="22"/>
        </w:rPr>
        <w:t>theme</w:t>
      </w:r>
      <w:r w:rsidR="00C16F6F">
        <w:rPr>
          <w:sz w:val="22"/>
          <w:szCs w:val="22"/>
        </w:rPr>
        <w:t xml:space="preserve"> of the year</w:t>
      </w:r>
      <w:r w:rsidR="0004281A">
        <w:rPr>
          <w:sz w:val="22"/>
          <w:szCs w:val="22"/>
        </w:rPr>
        <w:t>.</w:t>
      </w:r>
      <w:r w:rsidR="00C15A23" w:rsidRPr="006E5B7F">
        <w:rPr>
          <w:rStyle w:val="FootnoteReference"/>
          <w:sz w:val="22"/>
          <w:szCs w:val="22"/>
        </w:rPr>
        <w:footnoteReference w:id="86"/>
      </w:r>
      <w:r w:rsidR="00C15A23">
        <w:rPr>
          <w:sz w:val="22"/>
          <w:szCs w:val="22"/>
        </w:rPr>
        <w:t xml:space="preserve"> </w:t>
      </w:r>
      <w:r w:rsidR="0004281A">
        <w:rPr>
          <w:sz w:val="22"/>
          <w:szCs w:val="22"/>
        </w:rPr>
        <w:t xml:space="preserve"> During the first inspections</w:t>
      </w:r>
      <w:r w:rsidR="00F14179">
        <w:rPr>
          <w:sz w:val="22"/>
          <w:szCs w:val="22"/>
        </w:rPr>
        <w:t xml:space="preserve"> several deficiencies were found at the polling stations in three different cities</w:t>
      </w:r>
      <w:r w:rsidR="00C16F6F">
        <w:rPr>
          <w:sz w:val="22"/>
          <w:szCs w:val="22"/>
        </w:rPr>
        <w:t>, which prompted the Ombudsman to conduct an own-initiative investigation into these cities</w:t>
      </w:r>
      <w:r w:rsidR="00080D8B">
        <w:rPr>
          <w:sz w:val="22"/>
          <w:szCs w:val="22"/>
        </w:rPr>
        <w:t>’</w:t>
      </w:r>
      <w:r w:rsidR="00C16F6F">
        <w:rPr>
          <w:sz w:val="22"/>
          <w:szCs w:val="22"/>
        </w:rPr>
        <w:t xml:space="preserve"> voting arrange</w:t>
      </w:r>
      <w:r w:rsidR="00080D8B">
        <w:rPr>
          <w:sz w:val="22"/>
          <w:szCs w:val="22"/>
        </w:rPr>
        <w:softHyphen/>
      </w:r>
      <w:r w:rsidR="00C16F6F">
        <w:rPr>
          <w:sz w:val="22"/>
          <w:szCs w:val="22"/>
        </w:rPr>
        <w:t>ments</w:t>
      </w:r>
      <w:r w:rsidR="00D26757" w:rsidRPr="006E5B7F">
        <w:rPr>
          <w:sz w:val="22"/>
          <w:szCs w:val="22"/>
        </w:rPr>
        <w:t xml:space="preserve">. </w:t>
      </w:r>
      <w:r w:rsidR="00080D8B">
        <w:rPr>
          <w:sz w:val="22"/>
          <w:szCs w:val="22"/>
        </w:rPr>
        <w:t xml:space="preserve">With inspections the Ombudsman has sought to </w:t>
      </w:r>
      <w:r w:rsidR="00F14179" w:rsidRPr="00F14179">
        <w:rPr>
          <w:sz w:val="22"/>
          <w:szCs w:val="22"/>
        </w:rPr>
        <w:t>draw attention to access</w:t>
      </w:r>
      <w:r w:rsidR="00C15A23">
        <w:rPr>
          <w:sz w:val="22"/>
          <w:szCs w:val="22"/>
        </w:rPr>
        <w:t>ibility</w:t>
      </w:r>
      <w:r w:rsidR="00D26757" w:rsidRPr="006E5B7F">
        <w:rPr>
          <w:sz w:val="22"/>
          <w:szCs w:val="22"/>
        </w:rPr>
        <w:t xml:space="preserve"> </w:t>
      </w:r>
      <w:r w:rsidR="00C15A23">
        <w:rPr>
          <w:sz w:val="22"/>
          <w:szCs w:val="22"/>
        </w:rPr>
        <w:t>and</w:t>
      </w:r>
      <w:r w:rsidR="00D26757" w:rsidRPr="006E5B7F">
        <w:rPr>
          <w:sz w:val="22"/>
          <w:szCs w:val="22"/>
        </w:rPr>
        <w:t xml:space="preserve"> </w:t>
      </w:r>
      <w:r w:rsidR="00C15A23">
        <w:rPr>
          <w:sz w:val="22"/>
          <w:szCs w:val="22"/>
        </w:rPr>
        <w:t xml:space="preserve">the </w:t>
      </w:r>
      <w:r w:rsidR="00D26757" w:rsidRPr="006E5B7F">
        <w:rPr>
          <w:sz w:val="22"/>
          <w:szCs w:val="22"/>
        </w:rPr>
        <w:t xml:space="preserve">general order of the premises and the functionality of the voting event from the perspective of the realisation of the rights of persons with disabilities. </w:t>
      </w:r>
    </w:p>
    <w:p w14:paraId="0A083C8B" w14:textId="1748AB65" w:rsidR="00D97F0E" w:rsidRPr="006E5B7F" w:rsidRDefault="00D26757" w:rsidP="00FD1236">
      <w:pPr>
        <w:jc w:val="both"/>
        <w:rPr>
          <w:sz w:val="22"/>
          <w:szCs w:val="22"/>
        </w:rPr>
      </w:pPr>
      <w:r w:rsidRPr="006E5B7F">
        <w:rPr>
          <w:sz w:val="22"/>
          <w:szCs w:val="22"/>
        </w:rPr>
        <w:t>A positive finding of the Ombudsman’s inspections carried out in connection with the 2021 municipal elections was that advance polling stations are increasingly becoming accessible.</w:t>
      </w:r>
      <w:r w:rsidRPr="006E5B7F">
        <w:rPr>
          <w:rStyle w:val="FootnoteReference"/>
          <w:sz w:val="22"/>
          <w:szCs w:val="22"/>
        </w:rPr>
        <w:footnoteReference w:id="87"/>
      </w:r>
      <w:r w:rsidRPr="006E5B7F">
        <w:rPr>
          <w:sz w:val="22"/>
          <w:szCs w:val="22"/>
        </w:rPr>
        <w:t xml:space="preserve"> </w:t>
      </w:r>
      <w:r w:rsidR="00E623CA" w:rsidRPr="006E5B7F">
        <w:rPr>
          <w:sz w:val="22"/>
          <w:szCs w:val="22"/>
        </w:rPr>
        <w:t>Also</w:t>
      </w:r>
      <w:r w:rsidRPr="006E5B7F">
        <w:rPr>
          <w:sz w:val="22"/>
          <w:szCs w:val="22"/>
        </w:rPr>
        <w:t xml:space="preserve"> accessible polling booths or </w:t>
      </w:r>
      <w:r w:rsidR="003374C7" w:rsidRPr="006E5B7F">
        <w:rPr>
          <w:sz w:val="22"/>
          <w:szCs w:val="22"/>
        </w:rPr>
        <w:t>spaces</w:t>
      </w:r>
      <w:r w:rsidRPr="006E5B7F">
        <w:rPr>
          <w:sz w:val="22"/>
          <w:szCs w:val="22"/>
        </w:rPr>
        <w:t>, where voters using wheelchairs or other mobility aids can make their voting entries while maintaining the secrecy of the election</w:t>
      </w:r>
      <w:r w:rsidR="00DF6620" w:rsidRPr="006E5B7F">
        <w:rPr>
          <w:sz w:val="22"/>
          <w:szCs w:val="22"/>
        </w:rPr>
        <w:t>,</w:t>
      </w:r>
      <w:r w:rsidRPr="006E5B7F">
        <w:rPr>
          <w:sz w:val="22"/>
          <w:szCs w:val="22"/>
        </w:rPr>
        <w:t xml:space="preserve"> and as independently as possible</w:t>
      </w:r>
      <w:r w:rsidR="003374C7" w:rsidRPr="006E5B7F">
        <w:rPr>
          <w:sz w:val="22"/>
          <w:szCs w:val="22"/>
        </w:rPr>
        <w:t>, were found at polling stations more than before</w:t>
      </w:r>
      <w:r w:rsidRPr="006E5B7F">
        <w:rPr>
          <w:sz w:val="22"/>
          <w:szCs w:val="22"/>
        </w:rPr>
        <w:t xml:space="preserve">. However, the </w:t>
      </w:r>
      <w:r w:rsidRPr="006E5B7F">
        <w:rPr>
          <w:sz w:val="22"/>
          <w:szCs w:val="22"/>
        </w:rPr>
        <w:lastRenderedPageBreak/>
        <w:t xml:space="preserve">general observation was that there was still room for improvement </w:t>
      </w:r>
      <w:r w:rsidR="009C42EA" w:rsidRPr="006E5B7F">
        <w:rPr>
          <w:sz w:val="22"/>
          <w:szCs w:val="22"/>
        </w:rPr>
        <w:t xml:space="preserve">as regards </w:t>
      </w:r>
      <w:r w:rsidR="00DF6620" w:rsidRPr="006E5B7F">
        <w:rPr>
          <w:sz w:val="22"/>
          <w:szCs w:val="22"/>
        </w:rPr>
        <w:t>inform</w:t>
      </w:r>
      <w:r w:rsidR="00481CE9" w:rsidRPr="006E5B7F">
        <w:rPr>
          <w:sz w:val="22"/>
          <w:szCs w:val="22"/>
        </w:rPr>
        <w:t>ing</w:t>
      </w:r>
      <w:r w:rsidR="00DF6620" w:rsidRPr="006E5B7F">
        <w:rPr>
          <w:sz w:val="22"/>
          <w:szCs w:val="22"/>
        </w:rPr>
        <w:t xml:space="preserve"> about</w:t>
      </w:r>
      <w:r w:rsidR="009C42EA" w:rsidRPr="006E5B7F">
        <w:rPr>
          <w:sz w:val="22"/>
          <w:szCs w:val="22"/>
        </w:rPr>
        <w:t xml:space="preserve"> advance polling stations and th</w:t>
      </w:r>
      <w:r w:rsidR="00DF6620" w:rsidRPr="006E5B7F">
        <w:rPr>
          <w:sz w:val="22"/>
          <w:szCs w:val="22"/>
        </w:rPr>
        <w:t>eir signage</w:t>
      </w:r>
      <w:r w:rsidR="009C42EA" w:rsidRPr="006E5B7F">
        <w:rPr>
          <w:sz w:val="22"/>
          <w:szCs w:val="22"/>
        </w:rPr>
        <w:t>.</w:t>
      </w:r>
      <w:r w:rsidRPr="006E5B7F">
        <w:rPr>
          <w:sz w:val="22"/>
          <w:szCs w:val="22"/>
        </w:rPr>
        <w:t xml:space="preserve"> During the </w:t>
      </w:r>
      <w:r w:rsidR="00FF5B8A" w:rsidRPr="006E5B7F">
        <w:rPr>
          <w:sz w:val="22"/>
          <w:szCs w:val="22"/>
        </w:rPr>
        <w:t xml:space="preserve">unannounced </w:t>
      </w:r>
      <w:r w:rsidRPr="006E5B7F">
        <w:rPr>
          <w:sz w:val="22"/>
          <w:szCs w:val="22"/>
        </w:rPr>
        <w:t xml:space="preserve">inspections carried out </w:t>
      </w:r>
      <w:r w:rsidR="00FF5B8A" w:rsidRPr="006E5B7F">
        <w:rPr>
          <w:sz w:val="22"/>
          <w:szCs w:val="22"/>
        </w:rPr>
        <w:t>ahead of</w:t>
      </w:r>
      <w:r w:rsidRPr="006E5B7F">
        <w:rPr>
          <w:sz w:val="22"/>
          <w:szCs w:val="22"/>
        </w:rPr>
        <w:t xml:space="preserve"> the 2023 parliamentary elections, it was found that some of the inspected general polling stations could not be accessed independently by wheelchair.</w:t>
      </w:r>
      <w:r w:rsidR="00E3756B" w:rsidRPr="006E5B7F">
        <w:rPr>
          <w:rStyle w:val="FootnoteReference"/>
          <w:sz w:val="22"/>
          <w:szCs w:val="22"/>
        </w:rPr>
        <w:footnoteReference w:id="88"/>
      </w:r>
      <w:r w:rsidRPr="006E5B7F">
        <w:rPr>
          <w:sz w:val="22"/>
          <w:szCs w:val="22"/>
        </w:rPr>
        <w:t xml:space="preserve"> </w:t>
      </w:r>
      <w:r w:rsidR="00657857" w:rsidRPr="006E5B7F">
        <w:rPr>
          <w:sz w:val="22"/>
          <w:szCs w:val="22"/>
        </w:rPr>
        <w:t>T</w:t>
      </w:r>
      <w:r w:rsidRPr="006E5B7F">
        <w:rPr>
          <w:sz w:val="22"/>
          <w:szCs w:val="22"/>
        </w:rPr>
        <w:t xml:space="preserve">he arrangements </w:t>
      </w:r>
      <w:r w:rsidR="002824BA" w:rsidRPr="006E5B7F">
        <w:rPr>
          <w:sz w:val="22"/>
          <w:szCs w:val="22"/>
        </w:rPr>
        <w:t xml:space="preserve">at advance polling stations </w:t>
      </w:r>
      <w:r w:rsidRPr="006E5B7F">
        <w:rPr>
          <w:sz w:val="22"/>
          <w:szCs w:val="22"/>
        </w:rPr>
        <w:t xml:space="preserve">were </w:t>
      </w:r>
      <w:r w:rsidR="002824BA" w:rsidRPr="006E5B7F">
        <w:rPr>
          <w:sz w:val="22"/>
          <w:szCs w:val="22"/>
        </w:rPr>
        <w:t xml:space="preserve">mainly </w:t>
      </w:r>
      <w:r w:rsidRPr="006E5B7F">
        <w:rPr>
          <w:sz w:val="22"/>
          <w:szCs w:val="22"/>
        </w:rPr>
        <w:t>in order</w:t>
      </w:r>
      <w:r w:rsidR="00657857" w:rsidRPr="006E5B7F">
        <w:rPr>
          <w:sz w:val="22"/>
          <w:szCs w:val="22"/>
        </w:rPr>
        <w:t>, however</w:t>
      </w:r>
      <w:r w:rsidRPr="006E5B7F">
        <w:rPr>
          <w:sz w:val="22"/>
          <w:szCs w:val="22"/>
        </w:rPr>
        <w:t>.</w:t>
      </w:r>
    </w:p>
    <w:p w14:paraId="457D4005" w14:textId="6393E15C" w:rsidR="00657857" w:rsidRPr="006E5B7F" w:rsidRDefault="00BE0725" w:rsidP="00407733">
      <w:pPr>
        <w:jc w:val="both"/>
        <w:rPr>
          <w:sz w:val="22"/>
          <w:szCs w:val="22"/>
        </w:rPr>
      </w:pPr>
      <w:r w:rsidRPr="006E5B7F">
        <w:rPr>
          <w:sz w:val="22"/>
          <w:szCs w:val="22"/>
        </w:rPr>
        <w:t>In the context</w:t>
      </w:r>
      <w:r w:rsidR="0072504E" w:rsidRPr="006E5B7F">
        <w:rPr>
          <w:sz w:val="22"/>
          <w:szCs w:val="22"/>
        </w:rPr>
        <w:t xml:space="preserve"> of the 2023 Parliamentary elections</w:t>
      </w:r>
      <w:r w:rsidR="00846AF3" w:rsidRPr="006E5B7F">
        <w:rPr>
          <w:sz w:val="22"/>
          <w:szCs w:val="22"/>
        </w:rPr>
        <w:t>, further,</w:t>
      </w:r>
      <w:r w:rsidR="00657857" w:rsidRPr="006E5B7F">
        <w:rPr>
          <w:sz w:val="22"/>
          <w:szCs w:val="22"/>
        </w:rPr>
        <w:t xml:space="preserve"> the office of the Parliamentary </w:t>
      </w:r>
      <w:r w:rsidR="0072504E" w:rsidRPr="006E5B7F">
        <w:rPr>
          <w:sz w:val="22"/>
          <w:szCs w:val="22"/>
        </w:rPr>
        <w:t xml:space="preserve">Ombudsman visited </w:t>
      </w:r>
      <w:r w:rsidR="008E0AE5">
        <w:rPr>
          <w:sz w:val="22"/>
          <w:szCs w:val="22"/>
        </w:rPr>
        <w:t xml:space="preserve">voting facilities </w:t>
      </w:r>
      <w:r w:rsidR="0072504E" w:rsidRPr="006E5B7F">
        <w:rPr>
          <w:sz w:val="22"/>
          <w:szCs w:val="22"/>
        </w:rPr>
        <w:t>at institutions for the first time.</w:t>
      </w:r>
      <w:r w:rsidR="00D03AF6" w:rsidRPr="006E5B7F">
        <w:rPr>
          <w:rStyle w:val="FootnoteReference"/>
          <w:sz w:val="22"/>
          <w:szCs w:val="22"/>
        </w:rPr>
        <w:footnoteReference w:id="89"/>
      </w:r>
      <w:r w:rsidR="0072504E" w:rsidRPr="006E5B7F">
        <w:rPr>
          <w:sz w:val="22"/>
          <w:szCs w:val="22"/>
        </w:rPr>
        <w:t xml:space="preserve"> </w:t>
      </w:r>
      <w:r w:rsidRPr="006E5B7F">
        <w:rPr>
          <w:sz w:val="22"/>
          <w:szCs w:val="22"/>
        </w:rPr>
        <w:t xml:space="preserve">The aim was to inspect the functioning of voting arrangements and events and the safeguarding of election secrecy in institutional voting </w:t>
      </w:r>
      <w:r w:rsidR="002334D2" w:rsidRPr="006E5B7F">
        <w:rPr>
          <w:sz w:val="22"/>
          <w:szCs w:val="22"/>
        </w:rPr>
        <w:t>in</w:t>
      </w:r>
      <w:r w:rsidRPr="006E5B7F">
        <w:rPr>
          <w:sz w:val="22"/>
          <w:szCs w:val="22"/>
        </w:rPr>
        <w:t xml:space="preserve"> social welfare units. </w:t>
      </w:r>
      <w:r w:rsidR="000B0B29" w:rsidRPr="006E5B7F">
        <w:rPr>
          <w:sz w:val="22"/>
          <w:szCs w:val="22"/>
        </w:rPr>
        <w:t>Following the inspections</w:t>
      </w:r>
      <w:r w:rsidR="00657857" w:rsidRPr="006E5B7F">
        <w:rPr>
          <w:sz w:val="22"/>
          <w:szCs w:val="22"/>
        </w:rPr>
        <w:t xml:space="preserve">, the Deputy </w:t>
      </w:r>
      <w:r w:rsidR="00FF5B8A" w:rsidRPr="006E5B7F">
        <w:rPr>
          <w:sz w:val="22"/>
          <w:szCs w:val="22"/>
        </w:rPr>
        <w:t xml:space="preserve">Parliamentary </w:t>
      </w:r>
      <w:r w:rsidR="00657857" w:rsidRPr="006E5B7F">
        <w:rPr>
          <w:sz w:val="22"/>
          <w:szCs w:val="22"/>
        </w:rPr>
        <w:t xml:space="preserve">Ombudsman decided to investigate municipal institutional voting practices </w:t>
      </w:r>
      <w:r w:rsidR="000B0B29" w:rsidRPr="006E5B7F">
        <w:rPr>
          <w:sz w:val="22"/>
          <w:szCs w:val="22"/>
        </w:rPr>
        <w:t>as an</w:t>
      </w:r>
      <w:r w:rsidR="00657857" w:rsidRPr="006E5B7F">
        <w:rPr>
          <w:sz w:val="22"/>
          <w:szCs w:val="22"/>
        </w:rPr>
        <w:t xml:space="preserve"> own</w:t>
      </w:r>
      <w:r w:rsidR="000B0B29" w:rsidRPr="006E5B7F">
        <w:rPr>
          <w:sz w:val="22"/>
          <w:szCs w:val="22"/>
        </w:rPr>
        <w:t>-</w:t>
      </w:r>
      <w:r w:rsidR="00657857" w:rsidRPr="006E5B7F">
        <w:rPr>
          <w:sz w:val="22"/>
          <w:szCs w:val="22"/>
        </w:rPr>
        <w:t>initiative</w:t>
      </w:r>
      <w:r w:rsidR="00632DF4" w:rsidRPr="006E5B7F">
        <w:rPr>
          <w:sz w:val="22"/>
          <w:szCs w:val="22"/>
        </w:rPr>
        <w:t>,</w:t>
      </w:r>
      <w:r w:rsidR="00657857" w:rsidRPr="006E5B7F">
        <w:rPr>
          <w:sz w:val="22"/>
          <w:szCs w:val="22"/>
        </w:rPr>
        <w:t xml:space="preserve"> </w:t>
      </w:r>
      <w:r w:rsidR="008C08D2" w:rsidRPr="006E5B7F">
        <w:rPr>
          <w:sz w:val="22"/>
          <w:szCs w:val="22"/>
        </w:rPr>
        <w:t>and</w:t>
      </w:r>
      <w:r w:rsidR="00FF5B8A" w:rsidRPr="006E5B7F">
        <w:rPr>
          <w:sz w:val="22"/>
          <w:szCs w:val="22"/>
        </w:rPr>
        <w:t xml:space="preserve"> </w:t>
      </w:r>
      <w:r w:rsidR="008C08D2" w:rsidRPr="006E5B7F">
        <w:rPr>
          <w:sz w:val="22"/>
          <w:szCs w:val="22"/>
        </w:rPr>
        <w:t xml:space="preserve">at </w:t>
      </w:r>
      <w:r w:rsidR="00FF5B8A" w:rsidRPr="006E5B7F">
        <w:rPr>
          <w:sz w:val="22"/>
          <w:szCs w:val="22"/>
        </w:rPr>
        <w:t>the same time</w:t>
      </w:r>
      <w:r w:rsidR="0064513B" w:rsidRPr="006E5B7F">
        <w:rPr>
          <w:sz w:val="22"/>
          <w:szCs w:val="22"/>
        </w:rPr>
        <w:t>,</w:t>
      </w:r>
      <w:r w:rsidR="008C08D2" w:rsidRPr="006E5B7F">
        <w:rPr>
          <w:sz w:val="22"/>
          <w:szCs w:val="22"/>
        </w:rPr>
        <w:t xml:space="preserve"> </w:t>
      </w:r>
      <w:r w:rsidR="00657857" w:rsidRPr="006E5B7F">
        <w:rPr>
          <w:sz w:val="22"/>
          <w:szCs w:val="22"/>
        </w:rPr>
        <w:t xml:space="preserve">to </w:t>
      </w:r>
      <w:r w:rsidR="00632DF4" w:rsidRPr="006E5B7F">
        <w:rPr>
          <w:sz w:val="22"/>
          <w:szCs w:val="22"/>
        </w:rPr>
        <w:t>look into the</w:t>
      </w:r>
      <w:r w:rsidR="00657857" w:rsidRPr="006E5B7F">
        <w:rPr>
          <w:sz w:val="22"/>
          <w:szCs w:val="22"/>
        </w:rPr>
        <w:t xml:space="preserve"> procedure</w:t>
      </w:r>
      <w:r w:rsidR="00632DF4" w:rsidRPr="006E5B7F">
        <w:rPr>
          <w:sz w:val="22"/>
          <w:szCs w:val="22"/>
        </w:rPr>
        <w:t>s</w:t>
      </w:r>
      <w:r w:rsidR="00657857" w:rsidRPr="006E5B7F">
        <w:rPr>
          <w:sz w:val="22"/>
          <w:szCs w:val="22"/>
        </w:rPr>
        <w:t xml:space="preserve"> </w:t>
      </w:r>
      <w:r w:rsidR="00D03AF6" w:rsidRPr="006E5B7F">
        <w:rPr>
          <w:sz w:val="22"/>
          <w:szCs w:val="22"/>
        </w:rPr>
        <w:t xml:space="preserve">for </w:t>
      </w:r>
      <w:r w:rsidR="008C08D2" w:rsidRPr="006E5B7F">
        <w:rPr>
          <w:sz w:val="22"/>
          <w:szCs w:val="22"/>
        </w:rPr>
        <w:t>determining</w:t>
      </w:r>
      <w:r w:rsidR="00632DF4" w:rsidRPr="006E5B7F">
        <w:rPr>
          <w:sz w:val="22"/>
          <w:szCs w:val="22"/>
        </w:rPr>
        <w:t xml:space="preserve"> the voter’s situation-specific capacity to vote.</w:t>
      </w:r>
      <w:r w:rsidR="00657857" w:rsidRPr="006E5B7F">
        <w:rPr>
          <w:sz w:val="22"/>
          <w:szCs w:val="22"/>
        </w:rPr>
        <w:t xml:space="preserve"> </w:t>
      </w:r>
      <w:r w:rsidR="00443C5E" w:rsidRPr="006E5B7F">
        <w:rPr>
          <w:sz w:val="22"/>
          <w:szCs w:val="22"/>
        </w:rPr>
        <w:t>[</w:t>
      </w:r>
      <w:r w:rsidR="00D03AF6" w:rsidRPr="006E5B7F">
        <w:rPr>
          <w:sz w:val="22"/>
          <w:szCs w:val="22"/>
        </w:rPr>
        <w:t>The c</w:t>
      </w:r>
      <w:r w:rsidR="00657857" w:rsidRPr="006E5B7F">
        <w:rPr>
          <w:sz w:val="22"/>
          <w:szCs w:val="22"/>
        </w:rPr>
        <w:t>onsideration of th</w:t>
      </w:r>
      <w:r w:rsidR="00B762E2" w:rsidRPr="006E5B7F">
        <w:rPr>
          <w:sz w:val="22"/>
          <w:szCs w:val="22"/>
        </w:rPr>
        <w:t>is</w:t>
      </w:r>
      <w:r w:rsidR="00657857" w:rsidRPr="006E5B7F">
        <w:rPr>
          <w:sz w:val="22"/>
          <w:szCs w:val="22"/>
        </w:rPr>
        <w:t xml:space="preserve"> own</w:t>
      </w:r>
      <w:r w:rsidR="008C08D2" w:rsidRPr="006E5B7F">
        <w:rPr>
          <w:sz w:val="22"/>
          <w:szCs w:val="22"/>
        </w:rPr>
        <w:t>-</w:t>
      </w:r>
      <w:r w:rsidR="00657857" w:rsidRPr="006E5B7F">
        <w:rPr>
          <w:sz w:val="22"/>
          <w:szCs w:val="22"/>
        </w:rPr>
        <w:t xml:space="preserve">initiative </w:t>
      </w:r>
      <w:r w:rsidR="008C08D2" w:rsidRPr="006E5B7F">
        <w:rPr>
          <w:sz w:val="22"/>
          <w:szCs w:val="22"/>
        </w:rPr>
        <w:t xml:space="preserve">investigation </w:t>
      </w:r>
      <w:r w:rsidR="00657857" w:rsidRPr="006E5B7F">
        <w:rPr>
          <w:sz w:val="22"/>
          <w:szCs w:val="22"/>
        </w:rPr>
        <w:t xml:space="preserve">is </w:t>
      </w:r>
      <w:r w:rsidR="008E0AE5">
        <w:rPr>
          <w:sz w:val="22"/>
          <w:szCs w:val="22"/>
        </w:rPr>
        <w:t xml:space="preserve">still </w:t>
      </w:r>
      <w:r w:rsidR="00657857" w:rsidRPr="006E5B7F">
        <w:rPr>
          <w:sz w:val="22"/>
          <w:szCs w:val="22"/>
        </w:rPr>
        <w:t>pending..</w:t>
      </w:r>
      <w:r w:rsidR="00D03AF6" w:rsidRPr="006E5B7F">
        <w:rPr>
          <w:sz w:val="22"/>
          <w:szCs w:val="22"/>
        </w:rPr>
        <w:t>]</w:t>
      </w:r>
      <w:r w:rsidR="00C15A23">
        <w:rPr>
          <w:rStyle w:val="FootnoteReference"/>
          <w:sz w:val="22"/>
          <w:szCs w:val="22"/>
        </w:rPr>
        <w:footnoteReference w:id="90"/>
      </w:r>
      <w:r w:rsidR="00657857" w:rsidRPr="006E5B7F">
        <w:rPr>
          <w:sz w:val="22"/>
          <w:szCs w:val="22"/>
        </w:rPr>
        <w:t xml:space="preserve"> </w:t>
      </w:r>
      <w:r w:rsidR="0079697C">
        <w:rPr>
          <w:sz w:val="22"/>
          <w:szCs w:val="22"/>
        </w:rPr>
        <w:t>Several u</w:t>
      </w:r>
      <w:r w:rsidR="008E0AE5">
        <w:rPr>
          <w:sz w:val="22"/>
          <w:szCs w:val="22"/>
        </w:rPr>
        <w:t xml:space="preserve">nannounced inspections were made to </w:t>
      </w:r>
      <w:r w:rsidR="0079697C">
        <w:rPr>
          <w:sz w:val="22"/>
          <w:szCs w:val="22"/>
        </w:rPr>
        <w:t xml:space="preserve">special </w:t>
      </w:r>
      <w:r w:rsidR="008E0AE5">
        <w:rPr>
          <w:sz w:val="22"/>
          <w:szCs w:val="22"/>
        </w:rPr>
        <w:t>advance voting faci</w:t>
      </w:r>
      <w:r w:rsidR="00B7677C">
        <w:rPr>
          <w:sz w:val="22"/>
          <w:szCs w:val="22"/>
        </w:rPr>
        <w:t>lities</w:t>
      </w:r>
      <w:r w:rsidR="008E0AE5">
        <w:rPr>
          <w:sz w:val="22"/>
          <w:szCs w:val="22"/>
        </w:rPr>
        <w:t xml:space="preserve"> at institutions </w:t>
      </w:r>
      <w:r w:rsidR="0079697C">
        <w:rPr>
          <w:sz w:val="22"/>
          <w:szCs w:val="22"/>
        </w:rPr>
        <w:t xml:space="preserve">also </w:t>
      </w:r>
      <w:r w:rsidR="008E0AE5">
        <w:rPr>
          <w:sz w:val="22"/>
          <w:szCs w:val="22"/>
        </w:rPr>
        <w:t>in the context of the 2024 presidential election.</w:t>
      </w:r>
      <w:r w:rsidR="0079697C">
        <w:rPr>
          <w:rStyle w:val="FootnoteReference"/>
          <w:sz w:val="22"/>
          <w:szCs w:val="22"/>
        </w:rPr>
        <w:footnoteReference w:id="91"/>
      </w:r>
    </w:p>
    <w:p w14:paraId="08945178" w14:textId="1567EC30" w:rsidR="00F83E4B" w:rsidRPr="006E5B7F" w:rsidRDefault="008C08D2" w:rsidP="00407733">
      <w:pPr>
        <w:jc w:val="both"/>
        <w:rPr>
          <w:sz w:val="22"/>
          <w:szCs w:val="22"/>
        </w:rPr>
      </w:pPr>
      <w:r w:rsidRPr="006E5B7F">
        <w:rPr>
          <w:sz w:val="22"/>
          <w:szCs w:val="22"/>
        </w:rPr>
        <w:t>In the decisions undertaken due to complaints</w:t>
      </w:r>
      <w:r w:rsidR="0064513B" w:rsidRPr="006E5B7F">
        <w:rPr>
          <w:sz w:val="22"/>
          <w:szCs w:val="22"/>
        </w:rPr>
        <w:t>,</w:t>
      </w:r>
      <w:r w:rsidRPr="006E5B7F">
        <w:rPr>
          <w:sz w:val="22"/>
          <w:szCs w:val="22"/>
        </w:rPr>
        <w:t xml:space="preserve"> inspections</w:t>
      </w:r>
      <w:r w:rsidR="0064513B" w:rsidRPr="006E5B7F">
        <w:rPr>
          <w:sz w:val="22"/>
          <w:szCs w:val="22"/>
        </w:rPr>
        <w:t xml:space="preserve"> and own-initiative investigation</w:t>
      </w:r>
      <w:r w:rsidR="00B762E2" w:rsidRPr="006E5B7F">
        <w:rPr>
          <w:sz w:val="22"/>
          <w:szCs w:val="22"/>
        </w:rPr>
        <w:t xml:space="preserve">, the </w:t>
      </w:r>
      <w:r w:rsidR="0064513B" w:rsidRPr="006E5B7F">
        <w:rPr>
          <w:sz w:val="22"/>
          <w:szCs w:val="22"/>
        </w:rPr>
        <w:t xml:space="preserve">Parliamentary </w:t>
      </w:r>
      <w:r w:rsidR="00B762E2" w:rsidRPr="006E5B7F">
        <w:rPr>
          <w:sz w:val="22"/>
          <w:szCs w:val="22"/>
        </w:rPr>
        <w:t xml:space="preserve">Ombudsman </w:t>
      </w:r>
      <w:r w:rsidR="00DD1604" w:rsidRPr="006E5B7F">
        <w:rPr>
          <w:sz w:val="22"/>
          <w:szCs w:val="22"/>
        </w:rPr>
        <w:t>often</w:t>
      </w:r>
      <w:r w:rsidR="000434E2" w:rsidRPr="006E5B7F">
        <w:rPr>
          <w:sz w:val="22"/>
          <w:szCs w:val="22"/>
        </w:rPr>
        <w:t xml:space="preserve"> give</w:t>
      </w:r>
      <w:r w:rsidR="00DD1604" w:rsidRPr="006E5B7F">
        <w:rPr>
          <w:sz w:val="22"/>
          <w:szCs w:val="22"/>
        </w:rPr>
        <w:t>s</w:t>
      </w:r>
      <w:r w:rsidR="000434E2" w:rsidRPr="006E5B7F">
        <w:rPr>
          <w:sz w:val="22"/>
          <w:szCs w:val="22"/>
        </w:rPr>
        <w:t xml:space="preserve"> guiding opinions for better implementation of fundamental and human rights</w:t>
      </w:r>
      <w:r w:rsidR="00B762E2" w:rsidRPr="006E5B7F">
        <w:rPr>
          <w:sz w:val="22"/>
          <w:szCs w:val="22"/>
        </w:rPr>
        <w:t xml:space="preserve"> to the authorities</w:t>
      </w:r>
      <w:r w:rsidR="00632DF4" w:rsidRPr="006E5B7F">
        <w:rPr>
          <w:sz w:val="22"/>
          <w:szCs w:val="22"/>
        </w:rPr>
        <w:t>.</w:t>
      </w:r>
      <w:r w:rsidR="00325E1E" w:rsidRPr="006E5B7F">
        <w:rPr>
          <w:rStyle w:val="FootnoteReference"/>
          <w:sz w:val="22"/>
          <w:szCs w:val="22"/>
        </w:rPr>
        <w:footnoteReference w:id="92"/>
      </w:r>
      <w:r w:rsidR="00632DF4" w:rsidRPr="006E5B7F">
        <w:rPr>
          <w:sz w:val="22"/>
          <w:szCs w:val="22"/>
        </w:rPr>
        <w:t xml:space="preserve"> </w:t>
      </w:r>
      <w:r w:rsidR="0064513B" w:rsidRPr="006E5B7F">
        <w:rPr>
          <w:sz w:val="22"/>
          <w:szCs w:val="22"/>
        </w:rPr>
        <w:t>C</w:t>
      </w:r>
      <w:r w:rsidR="00B762E2" w:rsidRPr="006E5B7F">
        <w:rPr>
          <w:sz w:val="22"/>
          <w:szCs w:val="22"/>
        </w:rPr>
        <w:t xml:space="preserve">oncerning </w:t>
      </w:r>
      <w:r w:rsidR="00EB3FEB" w:rsidRPr="006E5B7F">
        <w:rPr>
          <w:sz w:val="22"/>
          <w:szCs w:val="22"/>
        </w:rPr>
        <w:t>electoral practices</w:t>
      </w:r>
      <w:r w:rsidR="0064513B" w:rsidRPr="006E5B7F">
        <w:rPr>
          <w:sz w:val="22"/>
          <w:szCs w:val="22"/>
        </w:rPr>
        <w:t xml:space="preserve">, </w:t>
      </w:r>
      <w:r w:rsidR="00C63723" w:rsidRPr="006E5B7F">
        <w:rPr>
          <w:sz w:val="22"/>
          <w:szCs w:val="22"/>
        </w:rPr>
        <w:t>t</w:t>
      </w:r>
      <w:r w:rsidR="002852F7" w:rsidRPr="006E5B7F">
        <w:rPr>
          <w:sz w:val="22"/>
          <w:szCs w:val="22"/>
        </w:rPr>
        <w:t xml:space="preserve">he Ombudsman has </w:t>
      </w:r>
      <w:r w:rsidR="00F83E4B" w:rsidRPr="006E5B7F">
        <w:rPr>
          <w:sz w:val="22"/>
          <w:szCs w:val="22"/>
        </w:rPr>
        <w:t>recommended</w:t>
      </w:r>
      <w:r w:rsidR="002852F7" w:rsidRPr="006E5B7F">
        <w:rPr>
          <w:sz w:val="22"/>
          <w:szCs w:val="22"/>
        </w:rPr>
        <w:t>, for example,</w:t>
      </w:r>
      <w:r w:rsidR="00F83E4B" w:rsidRPr="006E5B7F">
        <w:rPr>
          <w:sz w:val="22"/>
          <w:szCs w:val="22"/>
        </w:rPr>
        <w:t xml:space="preserve"> that municipal election authorities </w:t>
      </w:r>
      <w:r w:rsidR="00D47EE9" w:rsidRPr="006E5B7F">
        <w:rPr>
          <w:sz w:val="22"/>
          <w:szCs w:val="22"/>
        </w:rPr>
        <w:t xml:space="preserve">should </w:t>
      </w:r>
      <w:r w:rsidR="00F83E4B" w:rsidRPr="006E5B7F">
        <w:rPr>
          <w:sz w:val="22"/>
          <w:szCs w:val="22"/>
        </w:rPr>
        <w:t>consult municipal disability councils and disability organisations on accessibility issues.</w:t>
      </w:r>
      <w:r w:rsidR="0035696D" w:rsidRPr="006E5B7F">
        <w:rPr>
          <w:rStyle w:val="FootnoteReference"/>
          <w:sz w:val="22"/>
          <w:szCs w:val="22"/>
        </w:rPr>
        <w:footnoteReference w:id="93"/>
      </w:r>
      <w:r w:rsidR="00B762E2" w:rsidRPr="006E5B7F">
        <w:rPr>
          <w:sz w:val="22"/>
          <w:szCs w:val="22"/>
        </w:rPr>
        <w:t xml:space="preserve"> </w:t>
      </w:r>
      <w:r w:rsidR="00EB3FEB" w:rsidRPr="006E5B7F">
        <w:rPr>
          <w:sz w:val="22"/>
          <w:szCs w:val="22"/>
        </w:rPr>
        <w:t xml:space="preserve">In </w:t>
      </w:r>
      <w:r w:rsidR="002852F7" w:rsidRPr="006E5B7F">
        <w:rPr>
          <w:sz w:val="22"/>
          <w:szCs w:val="22"/>
        </w:rPr>
        <w:t>a</w:t>
      </w:r>
      <w:r w:rsidR="00EB3FEB" w:rsidRPr="006E5B7F">
        <w:rPr>
          <w:sz w:val="22"/>
          <w:szCs w:val="22"/>
        </w:rPr>
        <w:t xml:space="preserve"> </w:t>
      </w:r>
      <w:r w:rsidR="00726546" w:rsidRPr="006E5B7F">
        <w:rPr>
          <w:sz w:val="22"/>
          <w:szCs w:val="22"/>
        </w:rPr>
        <w:t xml:space="preserve">recent </w:t>
      </w:r>
      <w:r w:rsidR="00EB3FEB" w:rsidRPr="006E5B7F">
        <w:rPr>
          <w:sz w:val="22"/>
          <w:szCs w:val="22"/>
        </w:rPr>
        <w:t>decision</w:t>
      </w:r>
      <w:r w:rsidR="002852F7" w:rsidRPr="006E5B7F">
        <w:rPr>
          <w:sz w:val="22"/>
          <w:szCs w:val="22"/>
        </w:rPr>
        <w:t xml:space="preserve"> on a complaint</w:t>
      </w:r>
      <w:r w:rsidR="00EB3FEB" w:rsidRPr="006E5B7F">
        <w:rPr>
          <w:sz w:val="22"/>
          <w:szCs w:val="22"/>
        </w:rPr>
        <w:t xml:space="preserve">, </w:t>
      </w:r>
      <w:r w:rsidR="002852F7" w:rsidRPr="006E5B7F">
        <w:rPr>
          <w:sz w:val="22"/>
          <w:szCs w:val="22"/>
        </w:rPr>
        <w:t>the Ombudsman</w:t>
      </w:r>
      <w:r w:rsidR="00EB3FEB" w:rsidRPr="006E5B7F">
        <w:rPr>
          <w:sz w:val="22"/>
          <w:szCs w:val="22"/>
        </w:rPr>
        <w:t xml:space="preserve"> noted with satisfaction that the </w:t>
      </w:r>
      <w:r w:rsidR="00D35B5F">
        <w:rPr>
          <w:sz w:val="22"/>
          <w:szCs w:val="22"/>
        </w:rPr>
        <w:t xml:space="preserve">City of Helsinki central </w:t>
      </w:r>
      <w:r w:rsidR="00EB3FEB" w:rsidRPr="006E5B7F">
        <w:rPr>
          <w:sz w:val="22"/>
          <w:szCs w:val="22"/>
        </w:rPr>
        <w:t xml:space="preserve">election </w:t>
      </w:r>
      <w:r w:rsidR="00D35B5F">
        <w:rPr>
          <w:sz w:val="22"/>
          <w:szCs w:val="22"/>
        </w:rPr>
        <w:t>board</w:t>
      </w:r>
      <w:r w:rsidR="00EB3FEB" w:rsidRPr="006E5B7F">
        <w:rPr>
          <w:sz w:val="22"/>
          <w:szCs w:val="22"/>
        </w:rPr>
        <w:t xml:space="preserve"> </w:t>
      </w:r>
      <w:r w:rsidR="00D35B5F">
        <w:rPr>
          <w:sz w:val="22"/>
          <w:szCs w:val="22"/>
        </w:rPr>
        <w:t>had</w:t>
      </w:r>
      <w:r w:rsidR="002852F7" w:rsidRPr="006E5B7F">
        <w:rPr>
          <w:sz w:val="22"/>
          <w:szCs w:val="22"/>
        </w:rPr>
        <w:t xml:space="preserve"> </w:t>
      </w:r>
      <w:r w:rsidR="00726546" w:rsidRPr="006E5B7F">
        <w:rPr>
          <w:sz w:val="22"/>
          <w:szCs w:val="22"/>
        </w:rPr>
        <w:t>involved the</w:t>
      </w:r>
      <w:r w:rsidR="002852F7" w:rsidRPr="006E5B7F">
        <w:rPr>
          <w:sz w:val="22"/>
          <w:szCs w:val="22"/>
        </w:rPr>
        <w:t xml:space="preserve"> </w:t>
      </w:r>
      <w:r w:rsidR="00325E1E" w:rsidRPr="006E5B7F">
        <w:rPr>
          <w:sz w:val="22"/>
          <w:szCs w:val="22"/>
        </w:rPr>
        <w:t>City</w:t>
      </w:r>
      <w:r w:rsidR="00D35B5F">
        <w:rPr>
          <w:sz w:val="22"/>
          <w:szCs w:val="22"/>
        </w:rPr>
        <w:t>’s</w:t>
      </w:r>
      <w:r w:rsidR="00325E1E" w:rsidRPr="006E5B7F">
        <w:rPr>
          <w:sz w:val="22"/>
          <w:szCs w:val="22"/>
        </w:rPr>
        <w:t xml:space="preserve"> Accessibility Ombudsman and disability organisations in </w:t>
      </w:r>
      <w:r w:rsidR="00325E1E" w:rsidRPr="006E5B7F">
        <w:rPr>
          <w:sz w:val="22"/>
          <w:szCs w:val="22"/>
        </w:rPr>
        <w:lastRenderedPageBreak/>
        <w:t xml:space="preserve">designing </w:t>
      </w:r>
      <w:r w:rsidR="00726546" w:rsidRPr="006E5B7F">
        <w:rPr>
          <w:sz w:val="22"/>
          <w:szCs w:val="22"/>
        </w:rPr>
        <w:t>an</w:t>
      </w:r>
      <w:r w:rsidR="00325E1E" w:rsidRPr="006E5B7F">
        <w:rPr>
          <w:sz w:val="22"/>
          <w:szCs w:val="22"/>
        </w:rPr>
        <w:t xml:space="preserve"> accessible </w:t>
      </w:r>
      <w:r w:rsidR="00726546" w:rsidRPr="006E5B7F">
        <w:rPr>
          <w:sz w:val="22"/>
          <w:szCs w:val="22"/>
        </w:rPr>
        <w:t>polling</w:t>
      </w:r>
      <w:r w:rsidR="00325E1E" w:rsidRPr="006E5B7F">
        <w:rPr>
          <w:sz w:val="22"/>
          <w:szCs w:val="22"/>
        </w:rPr>
        <w:t xml:space="preserve"> booth</w:t>
      </w:r>
      <w:r w:rsidR="00EB3FEB" w:rsidRPr="006E5B7F">
        <w:rPr>
          <w:sz w:val="22"/>
          <w:szCs w:val="22"/>
        </w:rPr>
        <w:t>.</w:t>
      </w:r>
      <w:r w:rsidR="00443C5E" w:rsidRPr="006E5B7F">
        <w:rPr>
          <w:rStyle w:val="FootnoteReference"/>
          <w:sz w:val="22"/>
          <w:szCs w:val="22"/>
        </w:rPr>
        <w:footnoteReference w:id="94"/>
      </w:r>
      <w:r w:rsidR="00EB3FEB" w:rsidRPr="006E5B7F">
        <w:rPr>
          <w:sz w:val="22"/>
          <w:szCs w:val="22"/>
        </w:rPr>
        <w:t xml:space="preserve"> </w:t>
      </w:r>
      <w:r w:rsidR="00443C5E" w:rsidRPr="006E5B7F">
        <w:rPr>
          <w:sz w:val="22"/>
          <w:szCs w:val="22"/>
        </w:rPr>
        <w:t xml:space="preserve">The Ombudsman has several times also shared its decisions with the Ministry of Justice, the supreme electoral authority in Finland. </w:t>
      </w:r>
      <w:r w:rsidR="00C81F43">
        <w:rPr>
          <w:sz w:val="22"/>
          <w:szCs w:val="22"/>
        </w:rPr>
        <w:t xml:space="preserve">In a decision concerning </w:t>
      </w:r>
      <w:r w:rsidR="00CB213F">
        <w:rPr>
          <w:sz w:val="22"/>
          <w:szCs w:val="22"/>
        </w:rPr>
        <w:t xml:space="preserve">advance </w:t>
      </w:r>
      <w:r w:rsidR="00C81F43">
        <w:rPr>
          <w:sz w:val="22"/>
          <w:szCs w:val="22"/>
        </w:rPr>
        <w:t xml:space="preserve">voting </w:t>
      </w:r>
      <w:r w:rsidR="00CB213F">
        <w:rPr>
          <w:sz w:val="22"/>
          <w:szCs w:val="22"/>
        </w:rPr>
        <w:t xml:space="preserve">at </w:t>
      </w:r>
      <w:r w:rsidR="00C81F43">
        <w:rPr>
          <w:sz w:val="22"/>
          <w:szCs w:val="22"/>
        </w:rPr>
        <w:t xml:space="preserve">a psychiatric hospital, the Ombudsman </w:t>
      </w:r>
      <w:r w:rsidR="00665411">
        <w:rPr>
          <w:sz w:val="22"/>
          <w:szCs w:val="22"/>
        </w:rPr>
        <w:t>offered the Ministry to consider adoption of legislative</w:t>
      </w:r>
      <w:r w:rsidR="00DA58F3">
        <w:rPr>
          <w:sz w:val="22"/>
          <w:szCs w:val="22"/>
        </w:rPr>
        <w:t xml:space="preserve"> measures </w:t>
      </w:r>
      <w:r w:rsidR="00CB213F">
        <w:rPr>
          <w:sz w:val="22"/>
          <w:szCs w:val="22"/>
        </w:rPr>
        <w:t>to regulate the tasks and obligations of institutions in institutional voting.</w:t>
      </w:r>
      <w:r w:rsidR="00CB213F">
        <w:rPr>
          <w:rStyle w:val="FootnoteReference"/>
          <w:sz w:val="22"/>
          <w:szCs w:val="22"/>
        </w:rPr>
        <w:footnoteReference w:id="95"/>
      </w:r>
      <w:r w:rsidR="00665411">
        <w:rPr>
          <w:sz w:val="22"/>
          <w:szCs w:val="22"/>
        </w:rPr>
        <w:t xml:space="preserve"> </w:t>
      </w:r>
      <w:r w:rsidR="00443C5E" w:rsidRPr="006E5B7F">
        <w:rPr>
          <w:sz w:val="22"/>
          <w:szCs w:val="22"/>
        </w:rPr>
        <w:t>Although the Ombudsman’s decision are not legally binding, Finnish authorities generally comply with them very well.</w:t>
      </w:r>
      <w:r w:rsidR="00443C5E" w:rsidRPr="006E5B7F">
        <w:rPr>
          <w:rStyle w:val="FootnoteReference"/>
          <w:sz w:val="22"/>
          <w:szCs w:val="22"/>
        </w:rPr>
        <w:footnoteReference w:id="96"/>
      </w:r>
      <w:r w:rsidR="00443C5E" w:rsidRPr="006E5B7F">
        <w:rPr>
          <w:sz w:val="22"/>
          <w:szCs w:val="22"/>
        </w:rPr>
        <w:t xml:space="preserve"> </w:t>
      </w:r>
      <w:r w:rsidR="00EB3FEB" w:rsidRPr="006E5B7F">
        <w:rPr>
          <w:sz w:val="22"/>
          <w:szCs w:val="22"/>
        </w:rPr>
        <w:t xml:space="preserve">The decisions </w:t>
      </w:r>
      <w:r w:rsidR="009341C7" w:rsidRPr="006E5B7F">
        <w:rPr>
          <w:sz w:val="22"/>
          <w:szCs w:val="22"/>
        </w:rPr>
        <w:t xml:space="preserve">of the Ombudsman </w:t>
      </w:r>
      <w:r w:rsidR="00726546" w:rsidRPr="006E5B7F">
        <w:rPr>
          <w:sz w:val="22"/>
          <w:szCs w:val="22"/>
        </w:rPr>
        <w:t>as well as</w:t>
      </w:r>
      <w:r w:rsidR="00EB3FEB" w:rsidRPr="006E5B7F">
        <w:rPr>
          <w:sz w:val="22"/>
          <w:szCs w:val="22"/>
        </w:rPr>
        <w:t xml:space="preserve"> the inspection records are published on the Ombudsman’s website, which gives them broad </w:t>
      </w:r>
      <w:r w:rsidR="002852F7" w:rsidRPr="006E5B7F">
        <w:rPr>
          <w:sz w:val="22"/>
          <w:szCs w:val="22"/>
        </w:rPr>
        <w:t>visibility</w:t>
      </w:r>
      <w:r w:rsidR="00EB3FEB" w:rsidRPr="006E5B7F">
        <w:rPr>
          <w:sz w:val="22"/>
          <w:szCs w:val="22"/>
        </w:rPr>
        <w:t xml:space="preserve">, </w:t>
      </w:r>
      <w:r w:rsidR="002852F7" w:rsidRPr="006E5B7F">
        <w:rPr>
          <w:sz w:val="22"/>
          <w:szCs w:val="22"/>
        </w:rPr>
        <w:t>further</w:t>
      </w:r>
      <w:r w:rsidR="00EB3FEB" w:rsidRPr="006E5B7F">
        <w:rPr>
          <w:sz w:val="22"/>
          <w:szCs w:val="22"/>
        </w:rPr>
        <w:t xml:space="preserve"> </w:t>
      </w:r>
      <w:r w:rsidR="002852F7" w:rsidRPr="006E5B7F">
        <w:rPr>
          <w:sz w:val="22"/>
          <w:szCs w:val="22"/>
        </w:rPr>
        <w:t>contributing to</w:t>
      </w:r>
      <w:r w:rsidR="00EB3FEB" w:rsidRPr="006E5B7F">
        <w:rPr>
          <w:sz w:val="22"/>
          <w:szCs w:val="22"/>
        </w:rPr>
        <w:t xml:space="preserve"> the authorities</w:t>
      </w:r>
      <w:r w:rsidR="002852F7" w:rsidRPr="006E5B7F">
        <w:rPr>
          <w:sz w:val="22"/>
          <w:szCs w:val="22"/>
        </w:rPr>
        <w:t>’</w:t>
      </w:r>
      <w:r w:rsidR="00EB3FEB" w:rsidRPr="006E5B7F">
        <w:rPr>
          <w:sz w:val="22"/>
          <w:szCs w:val="22"/>
        </w:rPr>
        <w:t xml:space="preserve"> compliance with them.</w:t>
      </w:r>
      <w:r w:rsidR="000902FF">
        <w:rPr>
          <w:sz w:val="22"/>
          <w:szCs w:val="22"/>
        </w:rPr>
        <w:t xml:space="preserve"> </w:t>
      </w:r>
      <w:r w:rsidR="00A340E7">
        <w:rPr>
          <w:sz w:val="22"/>
          <w:szCs w:val="22"/>
        </w:rPr>
        <w:t>A selection of the</w:t>
      </w:r>
      <w:r w:rsidR="000902FF">
        <w:rPr>
          <w:sz w:val="22"/>
          <w:szCs w:val="22"/>
        </w:rPr>
        <w:t xml:space="preserve"> </w:t>
      </w:r>
      <w:r w:rsidR="00A340E7">
        <w:rPr>
          <w:sz w:val="22"/>
          <w:szCs w:val="22"/>
        </w:rPr>
        <w:t>O</w:t>
      </w:r>
      <w:r w:rsidR="000902FF">
        <w:rPr>
          <w:sz w:val="22"/>
          <w:szCs w:val="22"/>
        </w:rPr>
        <w:t>mbudsman’</w:t>
      </w:r>
      <w:r w:rsidR="00A340E7">
        <w:rPr>
          <w:sz w:val="22"/>
          <w:szCs w:val="22"/>
        </w:rPr>
        <w:t>s</w:t>
      </w:r>
      <w:r w:rsidR="000902FF">
        <w:rPr>
          <w:sz w:val="22"/>
          <w:szCs w:val="22"/>
        </w:rPr>
        <w:t xml:space="preserve"> elections related decisions </w:t>
      </w:r>
      <w:r w:rsidR="00812A8F">
        <w:rPr>
          <w:sz w:val="22"/>
          <w:szCs w:val="22"/>
        </w:rPr>
        <w:t>is</w:t>
      </w:r>
      <w:r w:rsidR="000902FF">
        <w:rPr>
          <w:sz w:val="22"/>
          <w:szCs w:val="22"/>
        </w:rPr>
        <w:t xml:space="preserve"> also </w:t>
      </w:r>
      <w:r w:rsidR="00A340E7">
        <w:rPr>
          <w:sz w:val="22"/>
          <w:szCs w:val="22"/>
        </w:rPr>
        <w:t>avail</w:t>
      </w:r>
      <w:r w:rsidR="00B736C4">
        <w:rPr>
          <w:sz w:val="22"/>
          <w:szCs w:val="22"/>
        </w:rPr>
        <w:t>able</w:t>
      </w:r>
      <w:r w:rsidR="000902FF">
        <w:rPr>
          <w:sz w:val="22"/>
          <w:szCs w:val="22"/>
        </w:rPr>
        <w:t xml:space="preserve"> on the elections website of the Ministry of Justice.</w:t>
      </w:r>
      <w:r w:rsidR="00DC38F8">
        <w:rPr>
          <w:rStyle w:val="FootnoteReference"/>
          <w:sz w:val="22"/>
          <w:szCs w:val="22"/>
        </w:rPr>
        <w:footnoteReference w:id="97"/>
      </w:r>
      <w:r w:rsidR="000902FF">
        <w:rPr>
          <w:sz w:val="22"/>
          <w:szCs w:val="22"/>
        </w:rPr>
        <w:t xml:space="preserve"> </w:t>
      </w:r>
      <w:r w:rsidR="007B3ABD">
        <w:rPr>
          <w:sz w:val="22"/>
          <w:szCs w:val="22"/>
        </w:rPr>
        <w:t>The positive</w:t>
      </w:r>
      <w:r w:rsidR="000902FF">
        <w:rPr>
          <w:sz w:val="22"/>
          <w:szCs w:val="22"/>
        </w:rPr>
        <w:t xml:space="preserve"> developments observed by the Ombudsman </w:t>
      </w:r>
      <w:r w:rsidR="007B3ABD">
        <w:rPr>
          <w:sz w:val="22"/>
          <w:szCs w:val="22"/>
        </w:rPr>
        <w:t xml:space="preserve">during the latest years, </w:t>
      </w:r>
      <w:r w:rsidR="000902FF">
        <w:rPr>
          <w:sz w:val="22"/>
          <w:szCs w:val="22"/>
        </w:rPr>
        <w:t>especially regarding accessibility of polling stations,</w:t>
      </w:r>
      <w:r w:rsidR="007B3ABD">
        <w:rPr>
          <w:sz w:val="22"/>
          <w:szCs w:val="22"/>
        </w:rPr>
        <w:t xml:space="preserve"> can thus</w:t>
      </w:r>
      <w:r w:rsidR="000902FF">
        <w:rPr>
          <w:sz w:val="22"/>
          <w:szCs w:val="22"/>
        </w:rPr>
        <w:t xml:space="preserve"> </w:t>
      </w:r>
      <w:r w:rsidR="007B3ABD">
        <w:rPr>
          <w:sz w:val="22"/>
          <w:szCs w:val="22"/>
        </w:rPr>
        <w:t xml:space="preserve">be assessed to be </w:t>
      </w:r>
      <w:r w:rsidR="000902FF">
        <w:rPr>
          <w:sz w:val="22"/>
          <w:szCs w:val="22"/>
        </w:rPr>
        <w:t>to a great part attributable to the activities of the office of the Ombudsman itself.</w:t>
      </w:r>
    </w:p>
    <w:p w14:paraId="56AB1B1E" w14:textId="60382A3E" w:rsidR="008B7A9E" w:rsidRPr="006E5B7F" w:rsidRDefault="00C25F6D" w:rsidP="00407733">
      <w:pPr>
        <w:jc w:val="both"/>
        <w:rPr>
          <w:sz w:val="22"/>
          <w:szCs w:val="22"/>
        </w:rPr>
      </w:pPr>
      <w:r w:rsidRPr="006E5B7F">
        <w:rPr>
          <w:b/>
          <w:bCs/>
          <w:sz w:val="22"/>
          <w:szCs w:val="22"/>
        </w:rPr>
        <w:t xml:space="preserve">Negative </w:t>
      </w:r>
      <w:r w:rsidR="0072504E" w:rsidRPr="006E5B7F">
        <w:rPr>
          <w:b/>
          <w:bCs/>
          <w:sz w:val="22"/>
          <w:szCs w:val="22"/>
        </w:rPr>
        <w:t>key</w:t>
      </w:r>
      <w:r w:rsidRPr="006E5B7F">
        <w:rPr>
          <w:b/>
          <w:bCs/>
          <w:sz w:val="22"/>
          <w:szCs w:val="22"/>
        </w:rPr>
        <w:t xml:space="preserve"> development</w:t>
      </w:r>
      <w:r w:rsidRPr="006E5B7F">
        <w:rPr>
          <w:sz w:val="22"/>
          <w:szCs w:val="22"/>
        </w:rPr>
        <w:t xml:space="preserve">: </w:t>
      </w:r>
      <w:r w:rsidR="008B7A9E" w:rsidRPr="006E5B7F">
        <w:rPr>
          <w:sz w:val="22"/>
          <w:szCs w:val="22"/>
        </w:rPr>
        <w:t xml:space="preserve">In </w:t>
      </w:r>
      <w:r w:rsidR="00B431F5" w:rsidRPr="006E5B7F">
        <w:rPr>
          <w:b/>
          <w:bCs/>
          <w:sz w:val="22"/>
          <w:szCs w:val="22"/>
        </w:rPr>
        <w:t>Finland</w:t>
      </w:r>
      <w:r w:rsidR="00B431F5" w:rsidRPr="006E5B7F">
        <w:rPr>
          <w:sz w:val="22"/>
          <w:szCs w:val="22"/>
        </w:rPr>
        <w:t>,</w:t>
      </w:r>
      <w:r w:rsidR="008B7A9E" w:rsidRPr="006E5B7F">
        <w:rPr>
          <w:sz w:val="22"/>
          <w:szCs w:val="22"/>
        </w:rPr>
        <w:t xml:space="preserve"> </w:t>
      </w:r>
      <w:r w:rsidR="00A30D61" w:rsidRPr="006E5B7F">
        <w:rPr>
          <w:sz w:val="22"/>
          <w:szCs w:val="22"/>
        </w:rPr>
        <w:t xml:space="preserve">attention is drawn to </w:t>
      </w:r>
      <w:r w:rsidR="009341C7" w:rsidRPr="006E5B7F">
        <w:rPr>
          <w:sz w:val="22"/>
          <w:szCs w:val="22"/>
        </w:rPr>
        <w:t xml:space="preserve">the </w:t>
      </w:r>
      <w:r w:rsidR="008B7A9E" w:rsidRPr="006E5B7F">
        <w:rPr>
          <w:sz w:val="22"/>
          <w:szCs w:val="22"/>
        </w:rPr>
        <w:t>under-representation of persons with disabilities in Parliament and in local and regional councils, and at the same time the lack of systematic data collection on disabled persons</w:t>
      </w:r>
      <w:r w:rsidR="003D3061">
        <w:rPr>
          <w:sz w:val="22"/>
          <w:szCs w:val="22"/>
        </w:rPr>
        <w:t>’</w:t>
      </w:r>
      <w:r w:rsidR="008B7A9E" w:rsidRPr="006E5B7F">
        <w:rPr>
          <w:sz w:val="22"/>
          <w:szCs w:val="22"/>
        </w:rPr>
        <w:t xml:space="preserve"> political participation</w:t>
      </w:r>
      <w:r w:rsidR="00B431F5" w:rsidRPr="006E5B7F">
        <w:rPr>
          <w:sz w:val="22"/>
          <w:szCs w:val="22"/>
        </w:rPr>
        <w:t xml:space="preserve"> (see </w:t>
      </w:r>
      <w:r w:rsidR="006E5B7F" w:rsidRPr="006E5B7F">
        <w:rPr>
          <w:sz w:val="22"/>
          <w:szCs w:val="22"/>
        </w:rPr>
        <w:t xml:space="preserve">Table 1 </w:t>
      </w:r>
      <w:r w:rsidR="00B431F5" w:rsidRPr="006E5B7F">
        <w:rPr>
          <w:sz w:val="22"/>
          <w:szCs w:val="22"/>
        </w:rPr>
        <w:t>above)</w:t>
      </w:r>
      <w:r w:rsidR="008B7A9E" w:rsidRPr="006E5B7F">
        <w:rPr>
          <w:sz w:val="22"/>
          <w:szCs w:val="22"/>
        </w:rPr>
        <w:t>. Despite this, political participatory rights of persons with disabilities ha</w:t>
      </w:r>
      <w:r w:rsidR="00793630">
        <w:rPr>
          <w:sz w:val="22"/>
          <w:szCs w:val="22"/>
        </w:rPr>
        <w:t>ve</w:t>
      </w:r>
      <w:r w:rsidR="008B7A9E" w:rsidRPr="006E5B7F">
        <w:rPr>
          <w:sz w:val="22"/>
          <w:szCs w:val="22"/>
        </w:rPr>
        <w:t xml:space="preserve"> re</w:t>
      </w:r>
      <w:r w:rsidR="00EA405E">
        <w:rPr>
          <w:sz w:val="22"/>
          <w:szCs w:val="22"/>
        </w:rPr>
        <w:t>ceived</w:t>
      </w:r>
      <w:r w:rsidR="008B7A9E" w:rsidRPr="006E5B7F">
        <w:rPr>
          <w:sz w:val="22"/>
          <w:szCs w:val="22"/>
        </w:rPr>
        <w:t xml:space="preserve"> </w:t>
      </w:r>
      <w:r w:rsidR="00B431F5" w:rsidRPr="006E5B7F">
        <w:rPr>
          <w:sz w:val="22"/>
          <w:szCs w:val="22"/>
        </w:rPr>
        <w:t>r</w:t>
      </w:r>
      <w:r w:rsidR="00E65E8A" w:rsidRPr="006E5B7F">
        <w:rPr>
          <w:sz w:val="22"/>
          <w:szCs w:val="22"/>
        </w:rPr>
        <w:t>ather</w:t>
      </w:r>
      <w:r w:rsidR="008B7A9E" w:rsidRPr="006E5B7F">
        <w:rPr>
          <w:sz w:val="22"/>
          <w:szCs w:val="22"/>
        </w:rPr>
        <w:t xml:space="preserve"> </w:t>
      </w:r>
      <w:r w:rsidR="00EA405E">
        <w:rPr>
          <w:sz w:val="22"/>
          <w:szCs w:val="22"/>
        </w:rPr>
        <w:t>limited attention</w:t>
      </w:r>
      <w:r w:rsidR="008B7A9E" w:rsidRPr="006E5B7F">
        <w:rPr>
          <w:sz w:val="22"/>
          <w:szCs w:val="22"/>
        </w:rPr>
        <w:t xml:space="preserve"> in key policy documents. Since Finland’s ratification of the CRPD in 20</w:t>
      </w:r>
      <w:r w:rsidR="001072F9" w:rsidRPr="006E5B7F">
        <w:rPr>
          <w:sz w:val="22"/>
          <w:szCs w:val="22"/>
        </w:rPr>
        <w:t>1</w:t>
      </w:r>
      <w:r w:rsidR="008B7A9E" w:rsidRPr="006E5B7F">
        <w:rPr>
          <w:sz w:val="22"/>
          <w:szCs w:val="22"/>
        </w:rPr>
        <w:t xml:space="preserve">6, two national action </w:t>
      </w:r>
      <w:r w:rsidR="00B431F5" w:rsidRPr="006E5B7F">
        <w:rPr>
          <w:sz w:val="22"/>
          <w:szCs w:val="22"/>
        </w:rPr>
        <w:t>plans</w:t>
      </w:r>
      <w:r w:rsidR="008B7A9E" w:rsidRPr="006E5B7F">
        <w:rPr>
          <w:sz w:val="22"/>
          <w:szCs w:val="22"/>
        </w:rPr>
        <w:t xml:space="preserve"> </w:t>
      </w:r>
      <w:r w:rsidR="00B431F5" w:rsidRPr="006E5B7F">
        <w:rPr>
          <w:sz w:val="22"/>
          <w:szCs w:val="22"/>
        </w:rPr>
        <w:t>on</w:t>
      </w:r>
      <w:r w:rsidR="008B7A9E" w:rsidRPr="006E5B7F">
        <w:rPr>
          <w:sz w:val="22"/>
          <w:szCs w:val="22"/>
        </w:rPr>
        <w:t xml:space="preserve"> the implementation of the Convention have been adopted. The first of these, which concerned the years 2018−2019, </w:t>
      </w:r>
      <w:r w:rsidR="00D514C3">
        <w:rPr>
          <w:sz w:val="22"/>
          <w:szCs w:val="22"/>
        </w:rPr>
        <w:t>recognised</w:t>
      </w:r>
      <w:r w:rsidR="006E5B7F" w:rsidRPr="006E5B7F">
        <w:rPr>
          <w:sz w:val="22"/>
          <w:szCs w:val="22"/>
        </w:rPr>
        <w:t xml:space="preserve"> disabled persons</w:t>
      </w:r>
      <w:r w:rsidR="00523D15">
        <w:rPr>
          <w:sz w:val="22"/>
          <w:szCs w:val="22"/>
        </w:rPr>
        <w:t>’</w:t>
      </w:r>
      <w:r w:rsidR="008B7A9E" w:rsidRPr="006E5B7F">
        <w:rPr>
          <w:sz w:val="22"/>
          <w:szCs w:val="22"/>
        </w:rPr>
        <w:t xml:space="preserve"> political participat</w:t>
      </w:r>
      <w:r w:rsidR="00CF496A">
        <w:rPr>
          <w:sz w:val="22"/>
          <w:szCs w:val="22"/>
        </w:rPr>
        <w:t>ion</w:t>
      </w:r>
      <w:r w:rsidR="00523D15">
        <w:rPr>
          <w:sz w:val="22"/>
          <w:szCs w:val="22"/>
        </w:rPr>
        <w:t xml:space="preserve"> by making</w:t>
      </w:r>
      <w:r w:rsidR="00B431F5" w:rsidRPr="006E5B7F">
        <w:rPr>
          <w:sz w:val="22"/>
          <w:szCs w:val="22"/>
        </w:rPr>
        <w:t xml:space="preserve"> reference</w:t>
      </w:r>
      <w:r w:rsidR="008B7A9E" w:rsidRPr="006E5B7F">
        <w:rPr>
          <w:sz w:val="22"/>
          <w:szCs w:val="22"/>
        </w:rPr>
        <w:t xml:space="preserve"> to the Ministry of Justice</w:t>
      </w:r>
      <w:r w:rsidR="00B431F5" w:rsidRPr="006E5B7F">
        <w:rPr>
          <w:sz w:val="22"/>
          <w:szCs w:val="22"/>
        </w:rPr>
        <w:t xml:space="preserve">’s actions </w:t>
      </w:r>
      <w:r w:rsidR="008B7A9E" w:rsidRPr="006E5B7F">
        <w:rPr>
          <w:sz w:val="22"/>
          <w:szCs w:val="22"/>
        </w:rPr>
        <w:t xml:space="preserve">to ensure the accessibility of polling stations and to provide </w:t>
      </w:r>
      <w:r w:rsidR="00D514C3">
        <w:rPr>
          <w:sz w:val="22"/>
          <w:szCs w:val="22"/>
        </w:rPr>
        <w:t xml:space="preserve">accessible election </w:t>
      </w:r>
      <w:r w:rsidR="008B7A9E" w:rsidRPr="006E5B7F">
        <w:rPr>
          <w:sz w:val="22"/>
          <w:szCs w:val="22"/>
        </w:rPr>
        <w:t>information for p</w:t>
      </w:r>
      <w:r w:rsidR="005D091A">
        <w:rPr>
          <w:sz w:val="22"/>
          <w:szCs w:val="22"/>
        </w:rPr>
        <w:t>ersons</w:t>
      </w:r>
      <w:r w:rsidR="008B7A9E" w:rsidRPr="006E5B7F">
        <w:rPr>
          <w:sz w:val="22"/>
          <w:szCs w:val="22"/>
        </w:rPr>
        <w:t xml:space="preserve"> with disabilities.</w:t>
      </w:r>
      <w:r w:rsidR="006E5B7F" w:rsidRPr="006E5B7F">
        <w:rPr>
          <w:rStyle w:val="FootnoteReference"/>
          <w:sz w:val="22"/>
          <w:szCs w:val="22"/>
        </w:rPr>
        <w:footnoteReference w:id="98"/>
      </w:r>
      <w:r w:rsidR="008B7A9E" w:rsidRPr="006E5B7F">
        <w:rPr>
          <w:sz w:val="22"/>
          <w:szCs w:val="22"/>
        </w:rPr>
        <w:t xml:space="preserve"> However, the action plan d</w:t>
      </w:r>
      <w:r w:rsidR="00C63723" w:rsidRPr="006E5B7F">
        <w:rPr>
          <w:sz w:val="22"/>
          <w:szCs w:val="22"/>
        </w:rPr>
        <w:t>id</w:t>
      </w:r>
      <w:r w:rsidR="008B7A9E" w:rsidRPr="006E5B7F">
        <w:rPr>
          <w:sz w:val="22"/>
          <w:szCs w:val="22"/>
        </w:rPr>
        <w:t xml:space="preserve"> not include </w:t>
      </w:r>
      <w:r w:rsidR="001072F9" w:rsidRPr="006E5B7F">
        <w:rPr>
          <w:sz w:val="22"/>
          <w:szCs w:val="22"/>
        </w:rPr>
        <w:t xml:space="preserve">a </w:t>
      </w:r>
      <w:r w:rsidR="008B7A9E" w:rsidRPr="006E5B7F">
        <w:rPr>
          <w:sz w:val="22"/>
          <w:szCs w:val="22"/>
        </w:rPr>
        <w:t xml:space="preserve">situational analysis or </w:t>
      </w:r>
      <w:r w:rsidR="00D514C3">
        <w:rPr>
          <w:sz w:val="22"/>
          <w:szCs w:val="22"/>
        </w:rPr>
        <w:t xml:space="preserve">set goals or define </w:t>
      </w:r>
      <w:r w:rsidR="00E2325E">
        <w:rPr>
          <w:sz w:val="22"/>
          <w:szCs w:val="22"/>
        </w:rPr>
        <w:t xml:space="preserve">specific </w:t>
      </w:r>
      <w:r w:rsidR="008B7A9E" w:rsidRPr="006E5B7F">
        <w:rPr>
          <w:sz w:val="22"/>
          <w:szCs w:val="22"/>
        </w:rPr>
        <w:t xml:space="preserve">measures to </w:t>
      </w:r>
      <w:r w:rsidR="00CF496A">
        <w:rPr>
          <w:sz w:val="22"/>
          <w:szCs w:val="22"/>
        </w:rPr>
        <w:t>further strengthen</w:t>
      </w:r>
      <w:r w:rsidR="008B7A9E" w:rsidRPr="006E5B7F">
        <w:rPr>
          <w:sz w:val="22"/>
          <w:szCs w:val="22"/>
        </w:rPr>
        <w:t xml:space="preserve"> </w:t>
      </w:r>
      <w:r w:rsidR="00523D15">
        <w:rPr>
          <w:sz w:val="22"/>
          <w:szCs w:val="22"/>
        </w:rPr>
        <w:t>disabled persons’ political participation</w:t>
      </w:r>
      <w:r w:rsidR="008B7A9E" w:rsidRPr="006E5B7F">
        <w:rPr>
          <w:sz w:val="22"/>
          <w:szCs w:val="22"/>
        </w:rPr>
        <w:t xml:space="preserve">. </w:t>
      </w:r>
      <w:r w:rsidR="001072F9" w:rsidRPr="006E5B7F">
        <w:rPr>
          <w:sz w:val="22"/>
          <w:szCs w:val="22"/>
        </w:rPr>
        <w:t>As regards the second national action plan adopted in 202</w:t>
      </w:r>
      <w:r w:rsidR="00E2325E">
        <w:rPr>
          <w:sz w:val="22"/>
          <w:szCs w:val="22"/>
        </w:rPr>
        <w:t>0</w:t>
      </w:r>
      <w:r w:rsidR="00523D15">
        <w:rPr>
          <w:sz w:val="22"/>
          <w:szCs w:val="22"/>
        </w:rPr>
        <w:t xml:space="preserve"> for the years </w:t>
      </w:r>
      <w:r w:rsidR="00E2325E">
        <w:rPr>
          <w:sz w:val="22"/>
          <w:szCs w:val="22"/>
        </w:rPr>
        <w:t>2021</w:t>
      </w:r>
      <w:r w:rsidR="00E2325E">
        <w:rPr>
          <w:rFonts w:cs="Calibri"/>
          <w:sz w:val="22"/>
          <w:szCs w:val="22"/>
        </w:rPr>
        <w:t>−</w:t>
      </w:r>
      <w:r w:rsidR="00E2325E">
        <w:rPr>
          <w:sz w:val="22"/>
          <w:szCs w:val="22"/>
        </w:rPr>
        <w:t>2023</w:t>
      </w:r>
      <w:r w:rsidR="008B7A9E" w:rsidRPr="006E5B7F">
        <w:rPr>
          <w:sz w:val="22"/>
          <w:szCs w:val="22"/>
        </w:rPr>
        <w:t xml:space="preserve">, it merely refers to the National Programme for Democracy, which </w:t>
      </w:r>
      <w:r w:rsidR="006E5B7F" w:rsidRPr="006E5B7F">
        <w:rPr>
          <w:sz w:val="22"/>
          <w:szCs w:val="22"/>
        </w:rPr>
        <w:t>recognises</w:t>
      </w:r>
      <w:r w:rsidR="008B7A9E" w:rsidRPr="006E5B7F">
        <w:rPr>
          <w:sz w:val="22"/>
          <w:szCs w:val="22"/>
        </w:rPr>
        <w:t xml:space="preserve"> the need to pay attention to the promotion of the </w:t>
      </w:r>
      <w:r w:rsidR="008B7A9E" w:rsidRPr="006E5B7F">
        <w:rPr>
          <w:sz w:val="22"/>
          <w:szCs w:val="22"/>
        </w:rPr>
        <w:lastRenderedPageBreak/>
        <w:t>right to vote for minority groups, including persons with disabilities.</w:t>
      </w:r>
      <w:r w:rsidR="00E2325E">
        <w:rPr>
          <w:rStyle w:val="FootnoteReference"/>
          <w:sz w:val="22"/>
          <w:szCs w:val="22"/>
        </w:rPr>
        <w:footnoteReference w:id="99"/>
      </w:r>
      <w:r w:rsidR="008B7A9E" w:rsidRPr="006E5B7F">
        <w:rPr>
          <w:sz w:val="22"/>
          <w:szCs w:val="22"/>
        </w:rPr>
        <w:t xml:space="preserve"> </w:t>
      </w:r>
      <w:r w:rsidR="005D091A">
        <w:rPr>
          <w:sz w:val="22"/>
          <w:szCs w:val="22"/>
        </w:rPr>
        <w:t>T</w:t>
      </w:r>
      <w:r w:rsidR="008B7A9E" w:rsidRPr="006E5B7F">
        <w:rPr>
          <w:sz w:val="22"/>
          <w:szCs w:val="22"/>
        </w:rPr>
        <w:t xml:space="preserve">he </w:t>
      </w:r>
      <w:r w:rsidR="005D091A">
        <w:rPr>
          <w:sz w:val="22"/>
          <w:szCs w:val="22"/>
        </w:rPr>
        <w:t xml:space="preserve">National </w:t>
      </w:r>
      <w:r w:rsidR="008B7A9E" w:rsidRPr="006E5B7F">
        <w:rPr>
          <w:sz w:val="22"/>
          <w:szCs w:val="22"/>
        </w:rPr>
        <w:t xml:space="preserve">Action Plan on Fundamental and Human Rights </w:t>
      </w:r>
      <w:r w:rsidR="005D091A">
        <w:rPr>
          <w:sz w:val="22"/>
          <w:szCs w:val="22"/>
        </w:rPr>
        <w:t>2020</w:t>
      </w:r>
      <w:r w:rsidR="005D091A">
        <w:rPr>
          <w:rFonts w:cs="Calibri"/>
          <w:sz w:val="22"/>
          <w:szCs w:val="22"/>
        </w:rPr>
        <w:t>−</w:t>
      </w:r>
      <w:r w:rsidR="005D091A">
        <w:rPr>
          <w:sz w:val="22"/>
          <w:szCs w:val="22"/>
        </w:rPr>
        <w:t>2023 includes accessibility of polling stations as an indicator for participation in political life.</w:t>
      </w:r>
      <w:r w:rsidR="00523D15">
        <w:rPr>
          <w:rStyle w:val="FootnoteReference"/>
          <w:sz w:val="22"/>
          <w:szCs w:val="22"/>
        </w:rPr>
        <w:footnoteReference w:id="100"/>
      </w:r>
      <w:r w:rsidR="008B7A9E" w:rsidRPr="006E5B7F">
        <w:rPr>
          <w:sz w:val="22"/>
          <w:szCs w:val="22"/>
        </w:rPr>
        <w:t xml:space="preserve"> The Ministry of Social Affairs and Health </w:t>
      </w:r>
      <w:r w:rsidR="00BB3711" w:rsidRPr="006E5B7F">
        <w:rPr>
          <w:sz w:val="22"/>
          <w:szCs w:val="22"/>
        </w:rPr>
        <w:t>has started</w:t>
      </w:r>
      <w:r w:rsidR="008B7A9E" w:rsidRPr="006E5B7F">
        <w:rPr>
          <w:sz w:val="22"/>
          <w:szCs w:val="22"/>
        </w:rPr>
        <w:t xml:space="preserve"> preparing </w:t>
      </w:r>
      <w:r w:rsidR="00BB3711" w:rsidRPr="006E5B7F">
        <w:rPr>
          <w:sz w:val="22"/>
          <w:szCs w:val="22"/>
        </w:rPr>
        <w:t>the third</w:t>
      </w:r>
      <w:r w:rsidR="008B7A9E" w:rsidRPr="006E5B7F">
        <w:rPr>
          <w:sz w:val="22"/>
          <w:szCs w:val="22"/>
        </w:rPr>
        <w:t xml:space="preserve"> national action plan </w:t>
      </w:r>
      <w:r w:rsidR="00BB3711" w:rsidRPr="006E5B7F">
        <w:rPr>
          <w:sz w:val="22"/>
          <w:szCs w:val="22"/>
        </w:rPr>
        <w:t>on</w:t>
      </w:r>
      <w:r w:rsidR="008B7A9E" w:rsidRPr="006E5B7F">
        <w:rPr>
          <w:sz w:val="22"/>
          <w:szCs w:val="22"/>
        </w:rPr>
        <w:t xml:space="preserve"> the CRPD, which will </w:t>
      </w:r>
      <w:r w:rsidR="00BB3711" w:rsidRPr="006E5B7F">
        <w:rPr>
          <w:sz w:val="22"/>
          <w:szCs w:val="22"/>
        </w:rPr>
        <w:t>be published in late spring of 2024.</w:t>
      </w:r>
      <w:r w:rsidR="00BB3711" w:rsidRPr="006E5B7F">
        <w:rPr>
          <w:rStyle w:val="FootnoteReference"/>
          <w:sz w:val="22"/>
          <w:szCs w:val="22"/>
        </w:rPr>
        <w:footnoteReference w:id="101"/>
      </w:r>
      <w:r w:rsidR="008B7A9E" w:rsidRPr="006E5B7F">
        <w:rPr>
          <w:sz w:val="22"/>
          <w:szCs w:val="22"/>
        </w:rPr>
        <w:t xml:space="preserve"> </w:t>
      </w:r>
    </w:p>
    <w:p w14:paraId="31D8A07E" w14:textId="251A5266" w:rsidR="6BE79646" w:rsidRPr="006E5B7F" w:rsidRDefault="00186B44" w:rsidP="2D031D61">
      <w:pPr>
        <w:pStyle w:val="HeadingNumbered2"/>
      </w:pPr>
      <w:bookmarkStart w:id="61" w:name="_Toc299275285"/>
      <w:r w:rsidRPr="006E5B7F">
        <w:t>Political participation: Promising practices</w:t>
      </w:r>
      <w:bookmarkEnd w:id="61"/>
    </w:p>
    <w:p w14:paraId="5C587064" w14:textId="3CC0517F" w:rsidR="00635EFA" w:rsidRPr="006E5B7F" w:rsidRDefault="00635EFA">
      <w:pPr>
        <w:pStyle w:val="FRABodyText"/>
      </w:pPr>
    </w:p>
    <w:p w14:paraId="78E1CCC2" w14:textId="4349E10B" w:rsidR="00363998" w:rsidRPr="006E5B7F" w:rsidRDefault="00363998">
      <w:pPr>
        <w:pStyle w:val="FRABodyText"/>
      </w:pPr>
    </w:p>
    <w:p w14:paraId="67D263E8" w14:textId="49812473" w:rsidR="00724A2F" w:rsidRPr="00F51784" w:rsidRDefault="00363998">
      <w:pPr>
        <w:pStyle w:val="FRABodyText"/>
        <w:rPr>
          <w:i/>
          <w:iCs/>
        </w:rPr>
      </w:pPr>
      <w:r w:rsidRPr="00F51784">
        <w:t xml:space="preserve">As a promising practice </w:t>
      </w:r>
      <w:r w:rsidR="00EF393A" w:rsidRPr="00F51784">
        <w:t xml:space="preserve">in </w:t>
      </w:r>
      <w:r w:rsidR="00EF393A" w:rsidRPr="00F51784">
        <w:rPr>
          <w:b/>
          <w:bCs/>
        </w:rPr>
        <w:t>Finland</w:t>
      </w:r>
      <w:r w:rsidR="00EF393A" w:rsidRPr="00F51784">
        <w:t xml:space="preserve">, </w:t>
      </w:r>
      <w:r w:rsidRPr="00F51784">
        <w:t xml:space="preserve">reference can be made to </w:t>
      </w:r>
      <w:r w:rsidR="005B18B1" w:rsidRPr="00F51784">
        <w:t xml:space="preserve">elections </w:t>
      </w:r>
      <w:r w:rsidR="0005495C" w:rsidRPr="00F51784">
        <w:t>specific</w:t>
      </w:r>
      <w:r w:rsidR="005B18B1" w:rsidRPr="00F51784">
        <w:t xml:space="preserve"> </w:t>
      </w:r>
      <w:r w:rsidR="00063856" w:rsidRPr="00F51784">
        <w:t xml:space="preserve">information and </w:t>
      </w:r>
      <w:r w:rsidR="00EF393A" w:rsidRPr="00F51784">
        <w:t xml:space="preserve">accessibility </w:t>
      </w:r>
      <w:r w:rsidR="00063856" w:rsidRPr="00F51784">
        <w:t>instructions</w:t>
      </w:r>
      <w:r w:rsidRPr="00F51784">
        <w:t xml:space="preserve"> provided by </w:t>
      </w:r>
      <w:r w:rsidR="0010313D" w:rsidRPr="00F51784">
        <w:t>the Finnish Association of Physical Disabilities</w:t>
      </w:r>
      <w:r w:rsidR="005B18B1" w:rsidRPr="00F51784">
        <w:t xml:space="preserve"> (</w:t>
      </w:r>
      <w:proofErr w:type="spellStart"/>
      <w:r w:rsidR="005B18B1" w:rsidRPr="00793630">
        <w:rPr>
          <w:i/>
          <w:iCs/>
        </w:rPr>
        <w:t>Invalidiliitto</w:t>
      </w:r>
      <w:proofErr w:type="spellEnd"/>
      <w:r w:rsidR="005B18B1" w:rsidRPr="00F51784">
        <w:t>/</w:t>
      </w:r>
      <w:proofErr w:type="spellStart"/>
      <w:r w:rsidR="005B18B1" w:rsidRPr="00793630">
        <w:rPr>
          <w:i/>
          <w:iCs/>
        </w:rPr>
        <w:t>Invalid</w:t>
      </w:r>
      <w:r w:rsidR="00EF393A" w:rsidRPr="00793630">
        <w:rPr>
          <w:i/>
          <w:iCs/>
        </w:rPr>
        <w:softHyphen/>
      </w:r>
      <w:r w:rsidR="005B18B1" w:rsidRPr="00793630">
        <w:rPr>
          <w:i/>
          <w:iCs/>
        </w:rPr>
        <w:t>för</w:t>
      </w:r>
      <w:r w:rsidR="00EF393A" w:rsidRPr="00793630">
        <w:rPr>
          <w:i/>
          <w:iCs/>
        </w:rPr>
        <w:softHyphen/>
      </w:r>
      <w:r w:rsidR="005B18B1" w:rsidRPr="00793630">
        <w:rPr>
          <w:i/>
          <w:iCs/>
        </w:rPr>
        <w:t>bundet</w:t>
      </w:r>
      <w:proofErr w:type="spellEnd"/>
      <w:r w:rsidR="005B18B1" w:rsidRPr="00F51784">
        <w:t>)</w:t>
      </w:r>
      <w:r w:rsidR="00251664" w:rsidRPr="00F51784">
        <w:t xml:space="preserve">. </w:t>
      </w:r>
      <w:r w:rsidR="00F83028" w:rsidRPr="00F51784">
        <w:t>In addition to general election</w:t>
      </w:r>
      <w:r w:rsidR="003D7326" w:rsidRPr="00F51784">
        <w:t>s</w:t>
      </w:r>
      <w:r w:rsidR="00F83028" w:rsidRPr="00F51784">
        <w:t xml:space="preserve"> </w:t>
      </w:r>
      <w:r w:rsidR="003D7326" w:rsidRPr="00F51784">
        <w:t xml:space="preserve">related </w:t>
      </w:r>
      <w:r w:rsidR="00F83028" w:rsidRPr="00F51784">
        <w:t xml:space="preserve">information </w:t>
      </w:r>
      <w:r w:rsidR="00724A2F" w:rsidRPr="00F51784">
        <w:t xml:space="preserve">provision </w:t>
      </w:r>
      <w:r w:rsidR="00F83028" w:rsidRPr="00F51784">
        <w:t>and advocacy work, the Finnish Association of People with Physical Disabilities has drawn up a checklist on the accessibility of polling stations, which is available on the organisation’s website in Finnish, Swedish and English.</w:t>
      </w:r>
      <w:r w:rsidR="00D912C4" w:rsidRPr="00793630">
        <w:rPr>
          <w:rStyle w:val="FootnoteReference"/>
          <w:color w:val="2E74B5" w:themeColor="accent5" w:themeShade="BF"/>
        </w:rPr>
        <w:footnoteReference w:id="102"/>
      </w:r>
      <w:r w:rsidR="00F83028" w:rsidRPr="00F51784">
        <w:t xml:space="preserve"> The Ministry of Justice </w:t>
      </w:r>
      <w:r w:rsidR="00D912C4" w:rsidRPr="00F51784">
        <w:t>(</w:t>
      </w:r>
      <w:proofErr w:type="spellStart"/>
      <w:r w:rsidR="00D912C4" w:rsidRPr="00793630">
        <w:rPr>
          <w:i/>
          <w:iCs/>
        </w:rPr>
        <w:t>oikeusministeriö</w:t>
      </w:r>
      <w:proofErr w:type="spellEnd"/>
      <w:r w:rsidR="00D912C4" w:rsidRPr="00F51784">
        <w:t>/</w:t>
      </w:r>
      <w:proofErr w:type="spellStart"/>
      <w:r w:rsidR="00D912C4" w:rsidRPr="00793630">
        <w:rPr>
          <w:i/>
          <w:iCs/>
        </w:rPr>
        <w:t>justitieministeriet</w:t>
      </w:r>
      <w:proofErr w:type="spellEnd"/>
      <w:r w:rsidR="00D912C4" w:rsidRPr="00F51784">
        <w:t xml:space="preserve">) </w:t>
      </w:r>
      <w:r w:rsidR="00F83028" w:rsidRPr="00F51784">
        <w:t xml:space="preserve">also </w:t>
      </w:r>
      <w:r w:rsidR="00BA1839" w:rsidRPr="00F51784">
        <w:t>uses</w:t>
      </w:r>
      <w:r w:rsidR="00F83028" w:rsidRPr="00F51784">
        <w:t xml:space="preserve"> th</w:t>
      </w:r>
      <w:r w:rsidR="00D912C4" w:rsidRPr="00F51784">
        <w:t>is</w:t>
      </w:r>
      <w:r w:rsidR="00F83028" w:rsidRPr="00F51784">
        <w:t xml:space="preserve"> checklist as an appendix in its instructions sent to the </w:t>
      </w:r>
      <w:r w:rsidR="00BC30F9" w:rsidRPr="00F51784">
        <w:t>municipal boards</w:t>
      </w:r>
      <w:r w:rsidR="00D912C4" w:rsidRPr="00F51784">
        <w:t xml:space="preserve"> before elections</w:t>
      </w:r>
      <w:r w:rsidR="00F83028" w:rsidRPr="00F51784">
        <w:t>.</w:t>
      </w:r>
      <w:r w:rsidR="00D912C4" w:rsidRPr="00793630">
        <w:rPr>
          <w:rStyle w:val="FootnoteReference"/>
          <w:color w:val="2E74B5" w:themeColor="accent5" w:themeShade="BF"/>
        </w:rPr>
        <w:footnoteReference w:id="103"/>
      </w:r>
      <w:r w:rsidR="00F83028" w:rsidRPr="00F51784">
        <w:t xml:space="preserve"> In addition, the Finnish Association of People with Disabilities offers training for election officials on accessibility of polling stations. </w:t>
      </w:r>
      <w:r w:rsidR="003D7326" w:rsidRPr="00F51784">
        <w:t>On its</w:t>
      </w:r>
      <w:r w:rsidR="00F83028" w:rsidRPr="00F51784">
        <w:t xml:space="preserve"> website</w:t>
      </w:r>
      <w:r w:rsidR="00D912C4" w:rsidRPr="00F51784">
        <w:t>,</w:t>
      </w:r>
      <w:r w:rsidR="00F83028" w:rsidRPr="00F51784">
        <w:t xml:space="preserve"> </w:t>
      </w:r>
      <w:r w:rsidR="00D912C4" w:rsidRPr="00F51784">
        <w:t>further,</w:t>
      </w:r>
      <w:r w:rsidR="00F83028" w:rsidRPr="00F51784">
        <w:t xml:space="preserve"> </w:t>
      </w:r>
      <w:r w:rsidR="003D7326" w:rsidRPr="00F51784">
        <w:t>it provides</w:t>
      </w:r>
      <w:r w:rsidR="00F83028" w:rsidRPr="00F51784">
        <w:t xml:space="preserve"> an online course </w:t>
      </w:r>
      <w:r w:rsidR="003D7326" w:rsidRPr="00F51784">
        <w:t>and</w:t>
      </w:r>
      <w:r w:rsidR="00D912C4" w:rsidRPr="00F51784">
        <w:t xml:space="preserve"> videos</w:t>
      </w:r>
      <w:r w:rsidR="00A62EA8" w:rsidRPr="00F51784">
        <w:t xml:space="preserve"> on accessibility</w:t>
      </w:r>
      <w:r w:rsidR="00F83028" w:rsidRPr="00F51784">
        <w:t>.</w:t>
      </w:r>
      <w:r w:rsidR="00F83028" w:rsidRPr="00793630">
        <w:rPr>
          <w:rStyle w:val="FootnoteReference"/>
          <w:color w:val="2E74B5" w:themeColor="accent5" w:themeShade="BF"/>
        </w:rPr>
        <w:footnoteReference w:id="104"/>
      </w:r>
      <w:r w:rsidR="00F83028" w:rsidRPr="00F51784">
        <w:t xml:space="preserve"> </w:t>
      </w:r>
    </w:p>
    <w:p w14:paraId="43321FC0" w14:textId="77777777" w:rsidR="00724A2F" w:rsidRPr="00F51784" w:rsidRDefault="00724A2F">
      <w:pPr>
        <w:pStyle w:val="FRABodyText"/>
      </w:pPr>
    </w:p>
    <w:p w14:paraId="013CEC83" w14:textId="28AAC0D1" w:rsidR="009D4558" w:rsidRPr="00F51784" w:rsidRDefault="00F83028">
      <w:pPr>
        <w:pStyle w:val="FRABodyText"/>
        <w:rPr>
          <w:i/>
          <w:iCs/>
        </w:rPr>
      </w:pPr>
      <w:r w:rsidRPr="00F51784">
        <w:t xml:space="preserve">In connection with the 2023 </w:t>
      </w:r>
      <w:r w:rsidR="00D912C4" w:rsidRPr="00F51784">
        <w:t>P</w:t>
      </w:r>
      <w:r w:rsidRPr="00F51784">
        <w:t>arliamentary elections</w:t>
      </w:r>
      <w:r w:rsidR="00724A2F" w:rsidRPr="00F51784">
        <w:t xml:space="preserve"> the Finnish Association of People with Disabilities collected feedback on the implementation of accessibility at the polling stations.</w:t>
      </w:r>
      <w:r w:rsidRPr="00F51784">
        <w:t xml:space="preserve"> </w:t>
      </w:r>
      <w:r w:rsidR="00D11FC3" w:rsidRPr="00F51784">
        <w:t xml:space="preserve">    </w:t>
      </w:r>
      <w:r w:rsidRPr="00F51784">
        <w:t>78</w:t>
      </w:r>
      <w:r w:rsidR="00D912C4" w:rsidRPr="00F51784">
        <w:t> </w:t>
      </w:r>
      <w:r w:rsidRPr="00F51784">
        <w:t xml:space="preserve">% of the respondents had voted in advance, and one third of them had experienced </w:t>
      </w:r>
      <w:r w:rsidR="0016580A" w:rsidRPr="00F51784">
        <w:lastRenderedPageBreak/>
        <w:t>shortcomings</w:t>
      </w:r>
      <w:r w:rsidRPr="00F51784">
        <w:t xml:space="preserve"> </w:t>
      </w:r>
      <w:r w:rsidR="0016580A" w:rsidRPr="00F51784">
        <w:t>in</w:t>
      </w:r>
      <w:r w:rsidRPr="00F51784">
        <w:t xml:space="preserve"> the accessibility of polling stations.</w:t>
      </w:r>
      <w:r w:rsidRPr="00793630">
        <w:rPr>
          <w:rStyle w:val="FootnoteReference"/>
          <w:color w:val="2E74B5" w:themeColor="accent5" w:themeShade="BF"/>
        </w:rPr>
        <w:footnoteReference w:id="105"/>
      </w:r>
      <w:r w:rsidRPr="00F51784">
        <w:t xml:space="preserve"> </w:t>
      </w:r>
      <w:r w:rsidR="009D4558" w:rsidRPr="00F51784">
        <w:t xml:space="preserve">Feedback was given, for example, on poorly ploughed parking spaces and slippery walkways, as well as on missing or insufficient guidance, which made it difficult to find accessible routes and entrances. In addition, </w:t>
      </w:r>
      <w:r w:rsidR="0005495C" w:rsidRPr="00F51784">
        <w:t xml:space="preserve">some </w:t>
      </w:r>
      <w:r w:rsidR="009D4558" w:rsidRPr="00F51784">
        <w:t xml:space="preserve">entrances to polling stations had </w:t>
      </w:r>
      <w:r w:rsidR="000D6054" w:rsidRPr="00F51784">
        <w:t xml:space="preserve">had </w:t>
      </w:r>
      <w:r w:rsidR="009D4558" w:rsidRPr="00F51784">
        <w:t xml:space="preserve">heavy doors and high thresholds that prevented independent access to the polling station. In terms of interior spaces, feedback was given on poor perceivability of the premises and insufficient guidance. </w:t>
      </w:r>
      <w:r w:rsidR="00E44F77" w:rsidRPr="00F51784">
        <w:t>L</w:t>
      </w:r>
      <w:r w:rsidR="009D4558" w:rsidRPr="00F51784">
        <w:t xml:space="preserve">ack of accessible polling booths or their incorrect placement </w:t>
      </w:r>
      <w:r w:rsidR="00A60F90" w:rsidRPr="00F51784">
        <w:t>that</w:t>
      </w:r>
      <w:r w:rsidR="009D4558" w:rsidRPr="00F51784">
        <w:t xml:space="preserve"> </w:t>
      </w:r>
      <w:r w:rsidR="000D6054" w:rsidRPr="00F51784">
        <w:t xml:space="preserve">had </w:t>
      </w:r>
      <w:r w:rsidR="009D4558" w:rsidRPr="00F51784">
        <w:t>made voting more difficult and jeopardised the secrecy of the election</w:t>
      </w:r>
      <w:r w:rsidR="00A60F90" w:rsidRPr="00F51784">
        <w:t>, were also mentioned</w:t>
      </w:r>
      <w:r w:rsidR="005E11EF" w:rsidRPr="00F51784">
        <w:t>, as well as poor placement of the</w:t>
      </w:r>
      <w:r w:rsidR="00A60F90" w:rsidRPr="00F51784">
        <w:t xml:space="preserve"> </w:t>
      </w:r>
      <w:r w:rsidR="009D4558" w:rsidRPr="00F51784">
        <w:t>list of candidates placed in the voting booth</w:t>
      </w:r>
      <w:r w:rsidR="005E11EF" w:rsidRPr="00F51784">
        <w:t>.</w:t>
      </w:r>
    </w:p>
    <w:p w14:paraId="556020FB" w14:textId="77777777" w:rsidR="009D4558" w:rsidRPr="00F51784" w:rsidRDefault="009D4558">
      <w:pPr>
        <w:pStyle w:val="FRABodyText"/>
      </w:pPr>
    </w:p>
    <w:p w14:paraId="35BCBE19" w14:textId="23CACD55" w:rsidR="007B2B08" w:rsidRPr="00F51784" w:rsidRDefault="00F83028">
      <w:pPr>
        <w:pStyle w:val="FRABodyText"/>
        <w:rPr>
          <w:i/>
          <w:iCs/>
        </w:rPr>
      </w:pPr>
      <w:r w:rsidRPr="00F51784">
        <w:t xml:space="preserve">According to the Finnish Association of People with Physical Disabilities, the popularity of advance voting may also indicate shortcomings in the accessibility of polling stations on the actual election </w:t>
      </w:r>
      <w:r w:rsidR="00D11FC3" w:rsidRPr="00F51784">
        <w:t>day</w:t>
      </w:r>
      <w:r w:rsidR="00225BAD" w:rsidRPr="00F51784">
        <w:t>,</w:t>
      </w:r>
      <w:r w:rsidR="00D11FC3" w:rsidRPr="00F51784">
        <w:t xml:space="preserve"> </w:t>
      </w:r>
      <w:r w:rsidR="00225BAD" w:rsidRPr="00F51784">
        <w:t>if p</w:t>
      </w:r>
      <w:r w:rsidR="003D7326" w:rsidRPr="00F51784">
        <w:t>rior e</w:t>
      </w:r>
      <w:r w:rsidRPr="00F51784">
        <w:t xml:space="preserve">xperiences </w:t>
      </w:r>
      <w:r w:rsidR="003D7326" w:rsidRPr="00F51784">
        <w:t xml:space="preserve">of problems </w:t>
      </w:r>
      <w:r w:rsidRPr="00F51784">
        <w:t>with accessibility of polling station</w:t>
      </w:r>
      <w:r w:rsidR="00D47B67" w:rsidRPr="00F51784">
        <w:t>s</w:t>
      </w:r>
      <w:r w:rsidRPr="00F51784">
        <w:t xml:space="preserve"> on the actual election day</w:t>
      </w:r>
      <w:r w:rsidR="00225BAD" w:rsidRPr="00F51784">
        <w:t>,</w:t>
      </w:r>
      <w:r w:rsidRPr="00F51784">
        <w:t xml:space="preserve"> or </w:t>
      </w:r>
      <w:r w:rsidR="00225BAD" w:rsidRPr="00F51784">
        <w:t xml:space="preserve">limited availability of information </w:t>
      </w:r>
      <w:r w:rsidRPr="00F51784">
        <w:t>in advance about the accessibility of polling station</w:t>
      </w:r>
      <w:r w:rsidR="00225BAD" w:rsidRPr="00F51784">
        <w:t>s contributes to a voter’s decision to vote in advance</w:t>
      </w:r>
      <w:r w:rsidRPr="00F51784">
        <w:t>.</w:t>
      </w:r>
      <w:r w:rsidR="00D47B67" w:rsidRPr="00793630">
        <w:rPr>
          <w:rStyle w:val="FootnoteReference"/>
          <w:color w:val="2E74B5" w:themeColor="accent5" w:themeShade="BF"/>
        </w:rPr>
        <w:footnoteReference w:id="106"/>
      </w:r>
      <w:r w:rsidRPr="00793630">
        <w:rPr>
          <w:color w:val="2E74B5" w:themeColor="accent5" w:themeShade="BF"/>
        </w:rPr>
        <w:t xml:space="preserve"> </w:t>
      </w:r>
      <w:r w:rsidRPr="00F51784">
        <w:t xml:space="preserve"> According to the Finnish Association of People with Physical Disabilities, some of the respondents were not aware of the possibility to vote at home, even if they were entitled to do so. </w:t>
      </w:r>
      <w:r w:rsidR="00D912C4" w:rsidRPr="00F51784">
        <w:t>Thus, o</w:t>
      </w:r>
      <w:r w:rsidRPr="00F51784">
        <w:t xml:space="preserve">nly two of the respondents had used the option to vote at home. </w:t>
      </w:r>
      <w:r w:rsidR="007B2B08" w:rsidRPr="00F51784">
        <w:t>The Finnish Association of People with Disabilities forwarded a summary of the survey feedback to the Democracy and Elections Unit of the Department for Democracy and Public Law of the Ministry of Justice and polling station-specific feedback to the central election committees of the municipalities in question.</w:t>
      </w:r>
    </w:p>
    <w:p w14:paraId="5DCF865A" w14:textId="24D5A19F" w:rsidR="00225BAD" w:rsidRPr="006E5B7F" w:rsidRDefault="00225BAD">
      <w:pPr>
        <w:pStyle w:val="FRABodyText"/>
      </w:pPr>
    </w:p>
    <w:p w14:paraId="68ACA65C" w14:textId="77777777" w:rsidR="00213432" w:rsidRPr="006E5B7F" w:rsidRDefault="00213432">
      <w:pPr>
        <w:pStyle w:val="FRABodyText"/>
      </w:pPr>
    </w:p>
    <w:p w14:paraId="7B0BD88A" w14:textId="77777777" w:rsidR="00213432" w:rsidRPr="006E5B7F" w:rsidRDefault="00213432">
      <w:pPr>
        <w:pStyle w:val="FRABodyText"/>
      </w:pPr>
    </w:p>
    <w:p w14:paraId="3F5E7E2B" w14:textId="5570E084" w:rsidR="00724A2F" w:rsidRPr="006E5B7F" w:rsidRDefault="00724A2F">
      <w:pPr>
        <w:pStyle w:val="FRABodyText"/>
      </w:pPr>
    </w:p>
    <w:p w14:paraId="706C73B5" w14:textId="77777777" w:rsidR="00470E5F" w:rsidRPr="006E5B7F" w:rsidRDefault="00470E5F" w:rsidP="00C468EA"/>
    <w:p w14:paraId="70D9B540" w14:textId="77777777" w:rsidR="00470E5F" w:rsidRPr="006E5B7F" w:rsidRDefault="00470E5F" w:rsidP="00C468EA"/>
    <w:p w14:paraId="670F66D3" w14:textId="77777777" w:rsidR="00586AB9" w:rsidRPr="006E5B7F" w:rsidRDefault="00586AB9" w:rsidP="004512DA"/>
    <w:sectPr w:rsidR="00586AB9" w:rsidRPr="006E5B7F" w:rsidSect="00F64505">
      <w:footerReference w:type="first" r:id="rId20"/>
      <w:pgSz w:w="11906" w:h="16838" w:code="9"/>
      <w:pgMar w:top="1701" w:right="1701" w:bottom="1134" w:left="170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4F0F80" w14:textId="77777777" w:rsidR="00C726F5" w:rsidRDefault="00C726F5">
      <w:pPr>
        <w:spacing w:after="0" w:line="240" w:lineRule="auto"/>
      </w:pPr>
      <w:r>
        <w:separator/>
      </w:r>
    </w:p>
  </w:endnote>
  <w:endnote w:type="continuationSeparator" w:id="0">
    <w:p w14:paraId="0DCD61E0" w14:textId="77777777" w:rsidR="00C726F5" w:rsidRDefault="00C726F5">
      <w:pPr>
        <w:spacing w:after="0" w:line="240" w:lineRule="auto"/>
      </w:pPr>
      <w:r>
        <w:continuationSeparator/>
      </w:r>
    </w:p>
  </w:endnote>
  <w:endnote w:type="continuationNotice" w:id="1">
    <w:p w14:paraId="2EFAF97B" w14:textId="77777777" w:rsidR="00C726F5" w:rsidRDefault="00C726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4477B7" w14:textId="10EAE5B7" w:rsidR="00610C73" w:rsidRDefault="00054135">
    <w:pPr>
      <w:pStyle w:val="Footer"/>
    </w:pPr>
    <w: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99553376"/>
      <w:docPartObj>
        <w:docPartGallery w:val="Page Numbers (Bottom of Page)"/>
        <w:docPartUnique/>
      </w:docPartObj>
    </w:sdtPr>
    <w:sdtEndPr>
      <w:rPr>
        <w:noProof/>
      </w:rPr>
    </w:sdtEndPr>
    <w:sdtContent>
      <w:p w14:paraId="772E6A05" w14:textId="708F9BB1" w:rsidR="00F64505" w:rsidRDefault="00F645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39B2FC" w14:textId="0EDC5DB0" w:rsidR="00D70E0C" w:rsidRPr="00F64505" w:rsidRDefault="00D70E0C" w:rsidP="00F645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63E367" w14:textId="1376D0B4" w:rsidR="009E72AE" w:rsidRDefault="009E72AE">
    <w:pPr>
      <w:pStyle w:val="Footer"/>
      <w:jc w:val="right"/>
    </w:pPr>
  </w:p>
  <w:p w14:paraId="254DC3F9" w14:textId="77777777" w:rsidR="00826419" w:rsidRDefault="008264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1349747"/>
      <w:docPartObj>
        <w:docPartGallery w:val="Page Numbers (Bottom of Page)"/>
        <w:docPartUnique/>
      </w:docPartObj>
    </w:sdtPr>
    <w:sdtEndPr>
      <w:rPr>
        <w:noProof/>
      </w:rPr>
    </w:sdtEndPr>
    <w:sdtContent>
      <w:p w14:paraId="57039469" w14:textId="73DA0755" w:rsidR="00F64505" w:rsidRDefault="00F645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F972BE" w14:textId="77777777" w:rsidR="00881865" w:rsidRDefault="00881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8F6AA4" w14:textId="77777777" w:rsidR="00C726F5" w:rsidRDefault="00C726F5">
      <w:pPr>
        <w:spacing w:after="0" w:line="240" w:lineRule="auto"/>
      </w:pPr>
      <w:r>
        <w:separator/>
      </w:r>
    </w:p>
  </w:footnote>
  <w:footnote w:type="continuationSeparator" w:id="0">
    <w:p w14:paraId="2BE562E2" w14:textId="77777777" w:rsidR="00C726F5" w:rsidRDefault="00C726F5">
      <w:pPr>
        <w:spacing w:after="0" w:line="240" w:lineRule="auto"/>
      </w:pPr>
      <w:r>
        <w:continuationSeparator/>
      </w:r>
    </w:p>
  </w:footnote>
  <w:footnote w:type="continuationNotice" w:id="1">
    <w:p w14:paraId="5720CF3C" w14:textId="77777777" w:rsidR="00C726F5" w:rsidRDefault="00C726F5">
      <w:pPr>
        <w:spacing w:after="0" w:line="240" w:lineRule="auto"/>
      </w:pPr>
    </w:p>
  </w:footnote>
  <w:footnote w:id="2">
    <w:p w14:paraId="0DD145FD" w14:textId="2A027574" w:rsidR="008467B1" w:rsidRPr="00187FA7" w:rsidRDefault="008467B1" w:rsidP="00EA405E">
      <w:pPr>
        <w:pStyle w:val="FootnoteText"/>
        <w:jc w:val="both"/>
        <w:rPr>
          <w:sz w:val="20"/>
          <w:lang w:val="fi-FI"/>
        </w:rPr>
      </w:pPr>
      <w:r w:rsidRPr="00187FA7">
        <w:rPr>
          <w:rStyle w:val="FootnoteReference"/>
          <w:sz w:val="20"/>
        </w:rPr>
        <w:footnoteRef/>
      </w:r>
      <w:r w:rsidRPr="00187FA7">
        <w:rPr>
          <w:sz w:val="20"/>
          <w:lang w:val="fi-FI"/>
        </w:rPr>
        <w:t xml:space="preserve"> Finland, </w:t>
      </w:r>
      <w:bookmarkStart w:id="2" w:name="_Hlk153450384"/>
      <w:r w:rsidR="007D2BA3" w:rsidRPr="00187FA7">
        <w:rPr>
          <w:sz w:val="20"/>
          <w:lang w:val="fi-FI"/>
        </w:rPr>
        <w:t>Ministry of Social Affairs and Health (</w:t>
      </w:r>
      <w:r w:rsidR="007D2BA3" w:rsidRPr="00187FA7">
        <w:rPr>
          <w:i/>
          <w:iCs/>
          <w:sz w:val="20"/>
          <w:lang w:val="fi-FI"/>
        </w:rPr>
        <w:t>sosiaali- ja terveysministeriö</w:t>
      </w:r>
      <w:r w:rsidR="007D2BA3" w:rsidRPr="00187FA7">
        <w:rPr>
          <w:sz w:val="20"/>
          <w:lang w:val="fi-FI"/>
        </w:rPr>
        <w:t>/</w:t>
      </w:r>
      <w:r w:rsidR="007D2BA3" w:rsidRPr="00187FA7">
        <w:rPr>
          <w:i/>
          <w:iCs/>
          <w:sz w:val="20"/>
          <w:lang w:val="fi-FI"/>
        </w:rPr>
        <w:t>social- och hälsovårdsministeriet</w:t>
      </w:r>
      <w:r w:rsidR="007D2BA3" w:rsidRPr="00187FA7">
        <w:rPr>
          <w:sz w:val="20"/>
          <w:lang w:val="fi-FI"/>
        </w:rPr>
        <w:t>)</w:t>
      </w:r>
      <w:r w:rsidR="00F14173">
        <w:rPr>
          <w:sz w:val="20"/>
          <w:lang w:val="fi-FI"/>
        </w:rPr>
        <w:t xml:space="preserve"> (2021)</w:t>
      </w:r>
      <w:r w:rsidR="007D2BA3" w:rsidRPr="00187FA7">
        <w:rPr>
          <w:sz w:val="20"/>
          <w:lang w:val="fi-FI"/>
        </w:rPr>
        <w:t>,</w:t>
      </w:r>
      <w:r w:rsidR="00B85CE2" w:rsidRPr="00187FA7">
        <w:rPr>
          <w:color w:val="auto"/>
          <w:sz w:val="20"/>
          <w:lang w:val="fi-FI"/>
        </w:rPr>
        <w:t xml:space="preserve"> </w:t>
      </w:r>
      <w:hyperlink r:id="rId1" w:history="1">
        <w:r w:rsidR="00B85CE2" w:rsidRPr="00017BC0">
          <w:rPr>
            <w:rStyle w:val="Hyperlink"/>
            <w:i/>
            <w:iCs/>
            <w:sz w:val="20"/>
          </w:rPr>
          <w:t>Right to social inclusion and equality</w:t>
        </w:r>
        <w:r w:rsidR="002458D4" w:rsidRPr="00017BC0">
          <w:rPr>
            <w:rStyle w:val="Hyperlink"/>
            <w:i/>
            <w:iCs/>
            <w:sz w:val="20"/>
          </w:rPr>
          <w:t>:</w:t>
        </w:r>
        <w:r w:rsidR="00B85CE2" w:rsidRPr="00017BC0">
          <w:rPr>
            <w:rStyle w:val="Hyperlink"/>
            <w:i/>
            <w:iCs/>
            <w:sz w:val="20"/>
          </w:rPr>
          <w:t xml:space="preserve"> National Action Plan on the UN Convention on the Rights of Persons with Disabilities (2020–2023)</w:t>
        </w:r>
      </w:hyperlink>
      <w:r w:rsidR="00B85CE2" w:rsidRPr="00187FA7">
        <w:rPr>
          <w:sz w:val="20"/>
        </w:rPr>
        <w:t xml:space="preserve"> (</w:t>
      </w:r>
      <w:hyperlink r:id="rId2" w:history="1">
        <w:r w:rsidR="00B85CE2" w:rsidRPr="00017BC0">
          <w:rPr>
            <w:rStyle w:val="Hyperlink"/>
            <w:i/>
            <w:iCs/>
            <w:sz w:val="20"/>
            <w:lang w:val="fi-FI"/>
          </w:rPr>
          <w:t>Oikeus osallisuuteen ja yhdenvertaisuuteen</w:t>
        </w:r>
        <w:r w:rsidR="002458D4" w:rsidRPr="00017BC0">
          <w:rPr>
            <w:rStyle w:val="Hyperlink"/>
            <w:i/>
            <w:iCs/>
            <w:sz w:val="20"/>
            <w:lang w:val="fi-FI"/>
          </w:rPr>
          <w:t>:</w:t>
        </w:r>
        <w:r w:rsidR="00B85CE2" w:rsidRPr="00017BC0">
          <w:rPr>
            <w:rStyle w:val="Hyperlink"/>
            <w:i/>
            <w:iCs/>
            <w:sz w:val="20"/>
            <w:lang w:val="fi-FI"/>
          </w:rPr>
          <w:t xml:space="preserve"> YK:n vammaisten henkilöiden oikeuksien yleissopimuksen kansallinen toimintaohjelma </w:t>
        </w:r>
        <w:r w:rsidR="0085696E" w:rsidRPr="00017BC0">
          <w:rPr>
            <w:rStyle w:val="Hyperlink"/>
            <w:i/>
            <w:iCs/>
            <w:sz w:val="20"/>
            <w:lang w:val="fi-FI"/>
          </w:rPr>
          <w:t>[</w:t>
        </w:r>
        <w:r w:rsidR="00B85CE2" w:rsidRPr="00017BC0">
          <w:rPr>
            <w:rStyle w:val="Hyperlink"/>
            <w:i/>
            <w:iCs/>
            <w:sz w:val="20"/>
            <w:lang w:val="fi-FI"/>
          </w:rPr>
          <w:t>2020–2023</w:t>
        </w:r>
      </w:hyperlink>
      <w:hyperlink r:id="rId3" w:history="1">
        <w:r w:rsidR="00F829D5" w:rsidRPr="00017BC0">
          <w:rPr>
            <w:rStyle w:val="Hyperlink"/>
            <w:i/>
            <w:iCs/>
            <w:sz w:val="20"/>
          </w:rPr>
          <w:t>]</w:t>
        </w:r>
      </w:hyperlink>
      <w:r w:rsidR="00F829D5" w:rsidRPr="00187FA7">
        <w:rPr>
          <w:sz w:val="20"/>
        </w:rPr>
        <w:t>)</w:t>
      </w:r>
      <w:r w:rsidR="002E688E" w:rsidRPr="00187FA7">
        <w:rPr>
          <w:sz w:val="20"/>
        </w:rPr>
        <w:t xml:space="preserve">, </w:t>
      </w:r>
      <w:r w:rsidR="00651166" w:rsidRPr="00187FA7">
        <w:rPr>
          <w:sz w:val="20"/>
        </w:rPr>
        <w:t xml:space="preserve">Helsinki, </w:t>
      </w:r>
      <w:r w:rsidR="002E688E" w:rsidRPr="00187FA7">
        <w:rPr>
          <w:sz w:val="20"/>
        </w:rPr>
        <w:t>Publications of the Ministry of Social Affairs and Health 2021:2.</w:t>
      </w:r>
    </w:p>
    <w:bookmarkEnd w:id="2"/>
  </w:footnote>
  <w:footnote w:id="3">
    <w:p w14:paraId="228DA8E5" w14:textId="1732920A" w:rsidR="003004F3" w:rsidRPr="00187FA7" w:rsidRDefault="003004F3" w:rsidP="0085696E">
      <w:pPr>
        <w:pStyle w:val="FootnoteText"/>
        <w:jc w:val="both"/>
        <w:rPr>
          <w:sz w:val="20"/>
          <w:lang w:val="fi-FI"/>
        </w:rPr>
      </w:pPr>
      <w:r w:rsidRPr="00187FA7">
        <w:rPr>
          <w:rStyle w:val="FootnoteReference"/>
          <w:sz w:val="20"/>
        </w:rPr>
        <w:footnoteRef/>
      </w:r>
      <w:r w:rsidRPr="00187FA7">
        <w:rPr>
          <w:sz w:val="20"/>
          <w:lang w:val="fi-FI"/>
        </w:rPr>
        <w:t xml:space="preserve"> </w:t>
      </w:r>
      <w:r w:rsidR="0085696E" w:rsidRPr="00187FA7">
        <w:rPr>
          <w:sz w:val="20"/>
          <w:lang w:val="fi-FI"/>
        </w:rPr>
        <w:t>Finland, Ministry of Social Affairs and Health (</w:t>
      </w:r>
      <w:r w:rsidR="0085696E" w:rsidRPr="00187FA7">
        <w:rPr>
          <w:i/>
          <w:iCs/>
          <w:sz w:val="20"/>
          <w:lang w:val="fi-FI"/>
        </w:rPr>
        <w:t>sosiaali- ja terveysministeriö</w:t>
      </w:r>
      <w:r w:rsidR="0085696E" w:rsidRPr="00187FA7">
        <w:rPr>
          <w:sz w:val="20"/>
          <w:lang w:val="fi-FI"/>
        </w:rPr>
        <w:t>/</w:t>
      </w:r>
      <w:r w:rsidR="0085696E" w:rsidRPr="00187FA7">
        <w:rPr>
          <w:i/>
          <w:iCs/>
          <w:sz w:val="20"/>
          <w:lang w:val="fi-FI"/>
        </w:rPr>
        <w:t>social- och hälsovårdsministeriet</w:t>
      </w:r>
      <w:r w:rsidR="0085696E" w:rsidRPr="00187FA7">
        <w:rPr>
          <w:sz w:val="20"/>
          <w:lang w:val="fi-FI"/>
        </w:rPr>
        <w:t>)</w:t>
      </w:r>
      <w:r w:rsidR="00F14173">
        <w:rPr>
          <w:sz w:val="20"/>
          <w:lang w:val="fi-FI"/>
        </w:rPr>
        <w:t xml:space="preserve"> (2021)</w:t>
      </w:r>
      <w:r w:rsidR="0085696E" w:rsidRPr="00187FA7">
        <w:rPr>
          <w:sz w:val="20"/>
          <w:lang w:val="fi-FI"/>
        </w:rPr>
        <w:t xml:space="preserve">, </w:t>
      </w:r>
      <w:hyperlink r:id="rId4" w:history="1">
        <w:r w:rsidR="0085696E" w:rsidRPr="00017BC0">
          <w:rPr>
            <w:rStyle w:val="Hyperlink"/>
            <w:i/>
            <w:iCs/>
            <w:sz w:val="20"/>
          </w:rPr>
          <w:t>Right to social inclusion and equality: National Action Plan on the UN Convention on the Rights of Persons with Disabilities (2020–2023)</w:t>
        </w:r>
      </w:hyperlink>
      <w:r w:rsidR="0085696E" w:rsidRPr="00187FA7">
        <w:rPr>
          <w:sz w:val="20"/>
        </w:rPr>
        <w:t xml:space="preserve"> (</w:t>
      </w:r>
      <w:hyperlink r:id="rId5" w:history="1">
        <w:r w:rsidR="0085696E" w:rsidRPr="00017BC0">
          <w:rPr>
            <w:rStyle w:val="Hyperlink"/>
            <w:i/>
            <w:iCs/>
            <w:sz w:val="20"/>
            <w:lang w:val="fi-FI"/>
          </w:rPr>
          <w:t>Oikeus osallisuuteen ja yhdenvertaisuuteen: YK:n vammaisten henkilöiden oikeuksien yleissopimuksen kansallinen toimintaohjelma [2020–2023</w:t>
        </w:r>
      </w:hyperlink>
      <w:hyperlink r:id="rId6" w:history="1">
        <w:r w:rsidR="0085696E" w:rsidRPr="00017BC0">
          <w:rPr>
            <w:rStyle w:val="Hyperlink"/>
            <w:i/>
            <w:iCs/>
            <w:sz w:val="20"/>
          </w:rPr>
          <w:t>]</w:t>
        </w:r>
      </w:hyperlink>
      <w:r w:rsidR="0085696E" w:rsidRPr="00187FA7">
        <w:rPr>
          <w:sz w:val="20"/>
        </w:rPr>
        <w:t>), Helsinki, Publications of the Ministry of Social Affairs and Health 2021:2</w:t>
      </w:r>
      <w:r w:rsidRPr="00187FA7">
        <w:rPr>
          <w:sz w:val="20"/>
          <w:lang w:val="fi-FI"/>
        </w:rPr>
        <w:t>, p. 26</w:t>
      </w:r>
      <w:r w:rsidR="008F4B14" w:rsidRPr="00187FA7">
        <w:rPr>
          <w:sz w:val="20"/>
          <w:lang w:val="fi-FI"/>
        </w:rPr>
        <w:t xml:space="preserve"> and Ministry of Justice (</w:t>
      </w:r>
      <w:r w:rsidR="008F4B14" w:rsidRPr="00187FA7">
        <w:rPr>
          <w:i/>
          <w:iCs/>
          <w:sz w:val="20"/>
          <w:lang w:val="fi-FI"/>
        </w:rPr>
        <w:t>oikeusministeriö</w:t>
      </w:r>
      <w:r w:rsidR="008F4B14" w:rsidRPr="00187FA7">
        <w:rPr>
          <w:sz w:val="20"/>
          <w:lang w:val="fi-FI"/>
        </w:rPr>
        <w:t>/</w:t>
      </w:r>
      <w:r w:rsidR="008F4B14" w:rsidRPr="00187FA7">
        <w:rPr>
          <w:i/>
          <w:iCs/>
          <w:sz w:val="20"/>
          <w:lang w:val="fi-FI"/>
        </w:rPr>
        <w:t>justitiemin</w:t>
      </w:r>
      <w:r w:rsidR="0085696E" w:rsidRPr="00187FA7">
        <w:rPr>
          <w:i/>
          <w:iCs/>
          <w:sz w:val="20"/>
          <w:lang w:val="fi-FI"/>
        </w:rPr>
        <w:t>isteriet</w:t>
      </w:r>
      <w:r w:rsidR="008F4B14" w:rsidRPr="00187FA7">
        <w:rPr>
          <w:sz w:val="20"/>
          <w:lang w:val="fi-FI"/>
        </w:rPr>
        <w:t>), National Democracy Program 2025, Action Plan (</w:t>
      </w:r>
      <w:hyperlink r:id="rId7" w:history="1">
        <w:r w:rsidR="00EC13A1" w:rsidRPr="00187FA7">
          <w:rPr>
            <w:rStyle w:val="Hyperlink"/>
            <w:i/>
            <w:iCs/>
            <w:sz w:val="20"/>
            <w:lang w:val="fi-FI"/>
          </w:rPr>
          <w:t>Kansallinen demokratiaohjelma 2025: toimintasuunnitelma</w:t>
        </w:r>
      </w:hyperlink>
      <w:r w:rsidR="008F4B14" w:rsidRPr="00187FA7">
        <w:rPr>
          <w:rStyle w:val="Hyperlink"/>
          <w:color w:val="595959" w:themeColor="text1" w:themeTint="A6"/>
          <w:sz w:val="20"/>
          <w:lang w:val="fi-FI"/>
        </w:rPr>
        <w:t>)</w:t>
      </w:r>
      <w:r w:rsidR="00EC13A1" w:rsidRPr="00187FA7">
        <w:rPr>
          <w:sz w:val="20"/>
          <w:lang w:val="fi-FI"/>
        </w:rPr>
        <w:t xml:space="preserve">, </w:t>
      </w:r>
      <w:r w:rsidR="008F4B14" w:rsidRPr="00187FA7">
        <w:rPr>
          <w:sz w:val="20"/>
        </w:rPr>
        <w:t>VN/8051/2019,</w:t>
      </w:r>
      <w:r w:rsidR="008F4B14" w:rsidRPr="00187FA7">
        <w:rPr>
          <w:sz w:val="20"/>
          <w:lang w:val="fi-FI"/>
        </w:rPr>
        <w:t xml:space="preserve"> </w:t>
      </w:r>
      <w:r w:rsidR="00EC13A1" w:rsidRPr="00187FA7">
        <w:rPr>
          <w:sz w:val="20"/>
          <w:lang w:val="fi-FI"/>
        </w:rPr>
        <w:t>27 March 2020, p. 1</w:t>
      </w:r>
      <w:r w:rsidR="008F4B14" w:rsidRPr="00187FA7">
        <w:rPr>
          <w:sz w:val="20"/>
          <w:lang w:val="fi-FI"/>
        </w:rPr>
        <w:t>0</w:t>
      </w:r>
      <w:r w:rsidR="00EC13A1" w:rsidRPr="00187FA7">
        <w:rPr>
          <w:sz w:val="20"/>
          <w:lang w:val="fi-FI"/>
        </w:rPr>
        <w:t>.</w:t>
      </w:r>
    </w:p>
  </w:footnote>
  <w:footnote w:id="4">
    <w:p w14:paraId="3EF39149" w14:textId="64EDBF73" w:rsidR="00E3766F" w:rsidRPr="00187FA7" w:rsidRDefault="00E3766F" w:rsidP="00EA405E">
      <w:pPr>
        <w:pStyle w:val="FootnoteText"/>
        <w:jc w:val="both"/>
        <w:rPr>
          <w:sz w:val="20"/>
          <w:lang w:val="fi-FI"/>
        </w:rPr>
      </w:pPr>
      <w:r w:rsidRPr="00187FA7">
        <w:rPr>
          <w:rStyle w:val="FootnoteReference"/>
          <w:sz w:val="20"/>
        </w:rPr>
        <w:footnoteRef/>
      </w:r>
      <w:r w:rsidRPr="00187FA7">
        <w:rPr>
          <w:sz w:val="20"/>
          <w:lang w:val="fi-FI"/>
        </w:rPr>
        <w:t xml:space="preserve"> </w:t>
      </w:r>
      <w:bookmarkStart w:id="3" w:name="_Hlk153544925"/>
      <w:r w:rsidR="002458D4" w:rsidRPr="00187FA7">
        <w:rPr>
          <w:sz w:val="20"/>
          <w:lang w:val="fi-FI"/>
        </w:rPr>
        <w:t>Finland, Ministry of Social Affairs and Health (</w:t>
      </w:r>
      <w:r w:rsidR="002458D4" w:rsidRPr="00187FA7">
        <w:rPr>
          <w:i/>
          <w:iCs/>
          <w:sz w:val="20"/>
          <w:lang w:val="fi-FI"/>
        </w:rPr>
        <w:t>sosiaali- ja terveysministeriö</w:t>
      </w:r>
      <w:r w:rsidR="002458D4" w:rsidRPr="00187FA7">
        <w:rPr>
          <w:sz w:val="20"/>
          <w:lang w:val="fi-FI"/>
        </w:rPr>
        <w:t>/</w:t>
      </w:r>
      <w:r w:rsidR="002458D4" w:rsidRPr="00187FA7">
        <w:rPr>
          <w:i/>
          <w:iCs/>
          <w:sz w:val="20"/>
          <w:lang w:val="fi-FI"/>
        </w:rPr>
        <w:t>social- och hälsovårdsministeriet</w:t>
      </w:r>
      <w:r w:rsidR="002458D4" w:rsidRPr="00187FA7">
        <w:rPr>
          <w:sz w:val="20"/>
          <w:lang w:val="fi-FI"/>
        </w:rPr>
        <w:t>)</w:t>
      </w:r>
      <w:r w:rsidR="00F14173">
        <w:rPr>
          <w:sz w:val="20"/>
          <w:lang w:val="fi-FI"/>
        </w:rPr>
        <w:t xml:space="preserve"> (2021)</w:t>
      </w:r>
      <w:r w:rsidR="002458D4" w:rsidRPr="00187FA7">
        <w:rPr>
          <w:sz w:val="20"/>
          <w:lang w:val="fi-FI"/>
        </w:rPr>
        <w:t xml:space="preserve">, </w:t>
      </w:r>
      <w:hyperlink r:id="rId8" w:history="1">
        <w:r w:rsidR="002458D4" w:rsidRPr="00017BC0">
          <w:rPr>
            <w:rStyle w:val="Hyperlink"/>
            <w:i/>
            <w:iCs/>
            <w:sz w:val="20"/>
            <w:lang w:val="fi-FI"/>
          </w:rPr>
          <w:t>Right to social inclusion and equality: National Action Plan on the UN Convention on the Rights of Persons with Disabilities (2020–2023)</w:t>
        </w:r>
      </w:hyperlink>
      <w:r w:rsidR="002458D4" w:rsidRPr="00187FA7">
        <w:rPr>
          <w:sz w:val="20"/>
          <w:lang w:val="fi-FI"/>
        </w:rPr>
        <w:t xml:space="preserve"> (</w:t>
      </w:r>
      <w:hyperlink r:id="rId9" w:history="1">
        <w:r w:rsidR="002458D4" w:rsidRPr="00017BC0">
          <w:rPr>
            <w:rStyle w:val="Hyperlink"/>
            <w:i/>
            <w:iCs/>
            <w:sz w:val="20"/>
            <w:lang w:val="fi-FI"/>
          </w:rPr>
          <w:t>Oikeus osallisuuteen ja yhdenvertaisuuteen: YK:n vammaisten henkilöiden oikeuksien yleissopimuksen kansallinen toimintaohjelma 2020–2023</w:t>
        </w:r>
      </w:hyperlink>
      <w:r w:rsidR="002A6F46" w:rsidRPr="00187FA7">
        <w:rPr>
          <w:rStyle w:val="Hyperlink"/>
          <w:sz w:val="20"/>
          <w:lang w:val="fi-FI"/>
        </w:rPr>
        <w:t>/</w:t>
      </w:r>
      <w:hyperlink r:id="rId10" w:history="1">
        <w:r w:rsidR="002458D4" w:rsidRPr="00017BC0">
          <w:rPr>
            <w:rStyle w:val="Hyperlink"/>
            <w:i/>
            <w:iCs/>
            <w:sz w:val="20"/>
            <w:lang w:val="fi-FI"/>
          </w:rPr>
          <w:t>Rätt till delaktighet och likabehandling Nationellt handlingsprogram för FN:s konvention om rättigheter för personer med funktionsnedsättning</w:t>
        </w:r>
      </w:hyperlink>
      <w:r w:rsidR="002458D4" w:rsidRPr="00017BC0">
        <w:rPr>
          <w:i/>
          <w:iCs/>
          <w:sz w:val="20"/>
          <w:lang w:val="fi-FI"/>
        </w:rPr>
        <w:t xml:space="preserve"> </w:t>
      </w:r>
      <w:r w:rsidR="002A6F46" w:rsidRPr="00017BC0">
        <w:rPr>
          <w:i/>
          <w:iCs/>
          <w:sz w:val="20"/>
          <w:lang w:val="fi-FI"/>
        </w:rPr>
        <w:t>[</w:t>
      </w:r>
      <w:r w:rsidR="002458D4" w:rsidRPr="00017BC0">
        <w:rPr>
          <w:i/>
          <w:iCs/>
          <w:sz w:val="20"/>
          <w:lang w:val="fi-FI"/>
        </w:rPr>
        <w:t>2020–2023</w:t>
      </w:r>
      <w:r w:rsidR="002A6F46" w:rsidRPr="00017BC0">
        <w:rPr>
          <w:i/>
          <w:iCs/>
          <w:sz w:val="20"/>
          <w:lang w:val="fi-FI"/>
        </w:rPr>
        <w:t>]</w:t>
      </w:r>
      <w:r w:rsidR="0085696E" w:rsidRPr="00187FA7">
        <w:rPr>
          <w:sz w:val="20"/>
          <w:lang w:val="fi-FI"/>
        </w:rPr>
        <w:t>)</w:t>
      </w:r>
      <w:r w:rsidR="002458D4" w:rsidRPr="00187FA7">
        <w:rPr>
          <w:sz w:val="20"/>
          <w:lang w:val="fi-FI"/>
        </w:rPr>
        <w:t xml:space="preserve">, </w:t>
      </w:r>
      <w:r w:rsidR="002A6F46" w:rsidRPr="00187FA7">
        <w:rPr>
          <w:sz w:val="20"/>
          <w:lang w:val="fi-FI"/>
        </w:rPr>
        <w:t xml:space="preserve">Helsinki, </w:t>
      </w:r>
      <w:r w:rsidR="002458D4" w:rsidRPr="00187FA7">
        <w:rPr>
          <w:sz w:val="20"/>
          <w:lang w:val="fi-FI"/>
        </w:rPr>
        <w:t>Publications of the Ministry of Social Affairs and Health 2021:2, pp. </w:t>
      </w:r>
      <w:bookmarkEnd w:id="3"/>
      <w:r w:rsidRPr="00187FA7">
        <w:rPr>
          <w:sz w:val="20"/>
          <w:lang w:val="fi-FI"/>
        </w:rPr>
        <w:t>26</w:t>
      </w:r>
      <w:r w:rsidR="0085696E" w:rsidRPr="00187FA7">
        <w:rPr>
          <w:rFonts w:cs="Calibri"/>
          <w:sz w:val="20"/>
          <w:lang w:val="fi-FI"/>
        </w:rPr>
        <w:t>−</w:t>
      </w:r>
      <w:r w:rsidRPr="00187FA7">
        <w:rPr>
          <w:sz w:val="20"/>
          <w:lang w:val="fi-FI"/>
        </w:rPr>
        <w:t>31.</w:t>
      </w:r>
    </w:p>
  </w:footnote>
  <w:footnote w:id="5">
    <w:p w14:paraId="0F527A8A" w14:textId="1738EC41" w:rsidR="00423AD4" w:rsidRPr="00187FA7" w:rsidRDefault="00423AD4">
      <w:pPr>
        <w:pStyle w:val="FootnoteText"/>
        <w:rPr>
          <w:sz w:val="20"/>
          <w:lang w:val="sv-SE"/>
        </w:rPr>
      </w:pPr>
      <w:r w:rsidRPr="00187FA7">
        <w:rPr>
          <w:rStyle w:val="FootnoteReference"/>
          <w:sz w:val="20"/>
        </w:rPr>
        <w:footnoteRef/>
      </w:r>
      <w:r w:rsidRPr="00187FA7">
        <w:rPr>
          <w:sz w:val="20"/>
        </w:rPr>
        <w:t xml:space="preserve"> </w:t>
      </w:r>
      <w:r w:rsidRPr="00187FA7">
        <w:rPr>
          <w:sz w:val="20"/>
          <w:lang w:val="sv-SE"/>
        </w:rPr>
        <w:t xml:space="preserve">Finland, </w:t>
      </w:r>
      <w:hyperlink r:id="rId11" w:history="1">
        <w:r w:rsidRPr="00187FA7">
          <w:rPr>
            <w:rStyle w:val="Hyperlink"/>
            <w:sz w:val="20"/>
            <w:lang w:val="sv-SE"/>
          </w:rPr>
          <w:t>The Constitution of Finland</w:t>
        </w:r>
      </w:hyperlink>
      <w:r w:rsidRPr="00187FA7">
        <w:rPr>
          <w:sz w:val="20"/>
          <w:lang w:val="sv-SE"/>
        </w:rPr>
        <w:t xml:space="preserve"> (</w:t>
      </w:r>
      <w:hyperlink r:id="rId12" w:history="1">
        <w:r w:rsidRPr="00187FA7">
          <w:rPr>
            <w:rStyle w:val="Hyperlink"/>
            <w:i/>
            <w:iCs/>
            <w:sz w:val="20"/>
            <w:lang w:val="sv-SE"/>
          </w:rPr>
          <w:t>Suomen perustuslaki</w:t>
        </w:r>
      </w:hyperlink>
      <w:r w:rsidRPr="00187FA7">
        <w:rPr>
          <w:sz w:val="20"/>
          <w:lang w:val="sv-SE"/>
        </w:rPr>
        <w:t>/</w:t>
      </w:r>
      <w:hyperlink r:id="rId13" w:history="1">
        <w:r w:rsidRPr="00187FA7">
          <w:rPr>
            <w:rStyle w:val="Hyperlink"/>
            <w:i/>
            <w:iCs/>
            <w:sz w:val="20"/>
            <w:lang w:val="sv-SE"/>
          </w:rPr>
          <w:t>Finlands grundlag</w:t>
        </w:r>
      </w:hyperlink>
      <w:r w:rsidRPr="00187FA7">
        <w:rPr>
          <w:sz w:val="20"/>
          <w:lang w:val="sv-SE"/>
        </w:rPr>
        <w:t>), Act No. 731/1999, 11 June 1999.</w:t>
      </w:r>
    </w:p>
  </w:footnote>
  <w:footnote w:id="6">
    <w:p w14:paraId="208DF321" w14:textId="26B8140C" w:rsidR="00423AD4" w:rsidRPr="00187FA7" w:rsidRDefault="00423AD4">
      <w:pPr>
        <w:pStyle w:val="FootnoteText"/>
        <w:rPr>
          <w:sz w:val="20"/>
          <w:lang w:val="sv-SE"/>
        </w:rPr>
      </w:pPr>
      <w:r w:rsidRPr="00187FA7">
        <w:rPr>
          <w:rStyle w:val="FootnoteReference"/>
          <w:sz w:val="20"/>
        </w:rPr>
        <w:footnoteRef/>
      </w:r>
      <w:r w:rsidRPr="00187FA7">
        <w:rPr>
          <w:sz w:val="20"/>
        </w:rPr>
        <w:t xml:space="preserve"> </w:t>
      </w:r>
      <w:bookmarkStart w:id="4" w:name="_Hlk153454179"/>
      <w:r w:rsidRPr="00187FA7">
        <w:rPr>
          <w:sz w:val="20"/>
          <w:lang w:val="sv-SE"/>
        </w:rPr>
        <w:t>Finland, Election Act (</w:t>
      </w:r>
      <w:hyperlink r:id="rId14" w:history="1">
        <w:r w:rsidRPr="00187FA7">
          <w:rPr>
            <w:rStyle w:val="Hyperlink"/>
            <w:i/>
            <w:iCs/>
            <w:sz w:val="20"/>
            <w:lang w:val="sv-SE"/>
          </w:rPr>
          <w:t>vaalilaki</w:t>
        </w:r>
      </w:hyperlink>
      <w:r w:rsidRPr="00187FA7">
        <w:rPr>
          <w:sz w:val="20"/>
          <w:lang w:val="sv-SE"/>
        </w:rPr>
        <w:t>/</w:t>
      </w:r>
      <w:hyperlink r:id="rId15" w:history="1">
        <w:r w:rsidRPr="00187FA7">
          <w:rPr>
            <w:rStyle w:val="Hyperlink"/>
            <w:i/>
            <w:iCs/>
            <w:sz w:val="20"/>
            <w:lang w:val="sv-SE"/>
          </w:rPr>
          <w:t>vallag</w:t>
        </w:r>
      </w:hyperlink>
      <w:r w:rsidRPr="00187FA7">
        <w:rPr>
          <w:sz w:val="20"/>
          <w:lang w:val="sv-SE"/>
        </w:rPr>
        <w:t>), Act No. 714/1998, 2.10.1998.</w:t>
      </w:r>
    </w:p>
    <w:bookmarkEnd w:id="4"/>
  </w:footnote>
  <w:footnote w:id="7">
    <w:p w14:paraId="54ACDFD4" w14:textId="04072503" w:rsidR="00423AD4" w:rsidRPr="00187FA7" w:rsidRDefault="00423AD4">
      <w:pPr>
        <w:pStyle w:val="FootnoteText"/>
        <w:rPr>
          <w:sz w:val="20"/>
          <w:lang w:val="sv-SE"/>
        </w:rPr>
      </w:pPr>
      <w:r w:rsidRPr="00187FA7">
        <w:rPr>
          <w:rStyle w:val="FootnoteReference"/>
          <w:sz w:val="20"/>
        </w:rPr>
        <w:footnoteRef/>
      </w:r>
      <w:r w:rsidRPr="00187FA7">
        <w:rPr>
          <w:sz w:val="20"/>
        </w:rPr>
        <w:t xml:space="preserve"> </w:t>
      </w:r>
      <w:bookmarkStart w:id="6" w:name="_Hlk153483191"/>
      <w:r w:rsidRPr="00187FA7">
        <w:rPr>
          <w:sz w:val="20"/>
        </w:rPr>
        <w:t>Finland, Local Government Act (</w:t>
      </w:r>
      <w:hyperlink r:id="rId16" w:history="1">
        <w:r w:rsidRPr="00187FA7">
          <w:rPr>
            <w:rStyle w:val="Hyperlink"/>
            <w:i/>
            <w:iCs/>
            <w:sz w:val="20"/>
          </w:rPr>
          <w:t>kuntalaki</w:t>
        </w:r>
      </w:hyperlink>
      <w:r w:rsidRPr="00187FA7">
        <w:rPr>
          <w:sz w:val="20"/>
        </w:rPr>
        <w:t>/</w:t>
      </w:r>
      <w:hyperlink r:id="rId17" w:history="1">
        <w:r w:rsidRPr="00187FA7">
          <w:rPr>
            <w:rStyle w:val="Hyperlink"/>
            <w:sz w:val="20"/>
          </w:rPr>
          <w:t>kommunallag</w:t>
        </w:r>
      </w:hyperlink>
      <w:r w:rsidRPr="00187FA7">
        <w:rPr>
          <w:sz w:val="20"/>
        </w:rPr>
        <w:t xml:space="preserve">), Act No. 410/2015, </w:t>
      </w:r>
      <w:r w:rsidR="006A1E56" w:rsidRPr="00187FA7">
        <w:rPr>
          <w:sz w:val="20"/>
        </w:rPr>
        <w:t>10 April 2015.</w:t>
      </w:r>
    </w:p>
    <w:bookmarkEnd w:id="6"/>
  </w:footnote>
  <w:footnote w:id="8">
    <w:p w14:paraId="6FF45716" w14:textId="760F8079" w:rsidR="00D834C0" w:rsidRPr="00187FA7" w:rsidRDefault="00D834C0">
      <w:pPr>
        <w:pStyle w:val="FootnoteText"/>
        <w:rPr>
          <w:sz w:val="20"/>
          <w:lang w:val="sv-SE"/>
        </w:rPr>
      </w:pPr>
      <w:r w:rsidRPr="00187FA7">
        <w:rPr>
          <w:rStyle w:val="FootnoteReference"/>
          <w:sz w:val="20"/>
        </w:rPr>
        <w:footnoteRef/>
      </w:r>
      <w:r w:rsidRPr="00187FA7">
        <w:rPr>
          <w:sz w:val="20"/>
        </w:rPr>
        <w:t xml:space="preserve"> </w:t>
      </w:r>
      <w:bookmarkStart w:id="8" w:name="_Hlk153483233"/>
      <w:r w:rsidRPr="00187FA7">
        <w:rPr>
          <w:sz w:val="20"/>
          <w:lang w:val="sv-SE"/>
        </w:rPr>
        <w:t xml:space="preserve">Finland, </w:t>
      </w:r>
      <w:r w:rsidRPr="00187FA7">
        <w:rPr>
          <w:sz w:val="20"/>
        </w:rPr>
        <w:t>Act on Wellbeing Services Counties (</w:t>
      </w:r>
      <w:hyperlink r:id="rId18" w:history="1">
        <w:r w:rsidRPr="00187FA7">
          <w:rPr>
            <w:rStyle w:val="Hyperlink"/>
            <w:i/>
            <w:iCs/>
            <w:sz w:val="20"/>
          </w:rPr>
          <w:t>laki hyvinvointialueesta</w:t>
        </w:r>
      </w:hyperlink>
      <w:r w:rsidRPr="00187FA7">
        <w:rPr>
          <w:sz w:val="20"/>
        </w:rPr>
        <w:t>/</w:t>
      </w:r>
      <w:hyperlink r:id="rId19" w:history="1">
        <w:r w:rsidRPr="00187FA7">
          <w:rPr>
            <w:rStyle w:val="Hyperlink"/>
            <w:i/>
            <w:iCs/>
            <w:sz w:val="20"/>
          </w:rPr>
          <w:t>lag om välfärdsområden</w:t>
        </w:r>
      </w:hyperlink>
      <w:r w:rsidRPr="00187FA7">
        <w:rPr>
          <w:sz w:val="20"/>
        </w:rPr>
        <w:t>), Act No. 611/2021, 29 June 2021.</w:t>
      </w:r>
      <w:bookmarkEnd w:id="8"/>
    </w:p>
  </w:footnote>
  <w:footnote w:id="9">
    <w:p w14:paraId="2EC4179B" w14:textId="3F34ED0C" w:rsidR="00D834C0" w:rsidRPr="00041EB5" w:rsidRDefault="00D834C0" w:rsidP="00D834C0">
      <w:pPr>
        <w:pStyle w:val="FootnoteText"/>
        <w:jc w:val="both"/>
        <w:rPr>
          <w:sz w:val="20"/>
          <w:lang w:val="sv-SE"/>
        </w:rPr>
      </w:pPr>
      <w:r w:rsidRPr="00187FA7">
        <w:rPr>
          <w:rStyle w:val="FootnoteReference"/>
          <w:sz w:val="20"/>
        </w:rPr>
        <w:footnoteRef/>
      </w:r>
      <w:r w:rsidRPr="00041EB5">
        <w:rPr>
          <w:sz w:val="20"/>
          <w:lang w:val="sv-SE"/>
        </w:rPr>
        <w:t xml:space="preserve"> </w:t>
      </w:r>
      <w:r w:rsidR="00BE4196" w:rsidRPr="00041EB5">
        <w:rPr>
          <w:sz w:val="20"/>
          <w:lang w:val="sv-SE"/>
        </w:rPr>
        <w:t xml:space="preserve"> </w:t>
      </w:r>
      <w:r w:rsidRPr="00041EB5">
        <w:rPr>
          <w:sz w:val="20"/>
          <w:lang w:val="sv-SE"/>
        </w:rPr>
        <w:t>Finland,</w:t>
      </w:r>
      <w:r w:rsidRPr="00041EB5">
        <w:rPr>
          <w:color w:val="auto"/>
          <w:sz w:val="20"/>
          <w:lang w:val="sv-SE"/>
        </w:rPr>
        <w:t xml:space="preserve"> </w:t>
      </w:r>
      <w:r w:rsidRPr="00041EB5">
        <w:rPr>
          <w:sz w:val="20"/>
          <w:lang w:val="sv-SE"/>
        </w:rPr>
        <w:t>The Digital and Population Data Services Agency (</w:t>
      </w:r>
      <w:r w:rsidRPr="00041EB5">
        <w:rPr>
          <w:i/>
          <w:iCs/>
          <w:sz w:val="20"/>
          <w:lang w:val="sv-SE"/>
        </w:rPr>
        <w:t>Digi- ja väestötieto</w:t>
      </w:r>
      <w:r w:rsidRPr="00041EB5">
        <w:rPr>
          <w:i/>
          <w:iCs/>
          <w:sz w:val="20"/>
          <w:lang w:val="sv-SE"/>
        </w:rPr>
        <w:softHyphen/>
        <w:t>virasto</w:t>
      </w:r>
      <w:r w:rsidRPr="00041EB5">
        <w:rPr>
          <w:sz w:val="20"/>
          <w:lang w:val="sv-SE"/>
        </w:rPr>
        <w:t>/</w:t>
      </w:r>
      <w:r w:rsidRPr="00041EB5">
        <w:rPr>
          <w:i/>
          <w:iCs/>
          <w:sz w:val="20"/>
          <w:lang w:val="sv-SE"/>
        </w:rPr>
        <w:t>Myndig</w:t>
      </w:r>
      <w:r w:rsidRPr="00041EB5">
        <w:rPr>
          <w:i/>
          <w:iCs/>
          <w:sz w:val="20"/>
          <w:lang w:val="sv-SE"/>
        </w:rPr>
        <w:softHyphen/>
        <w:t xml:space="preserve">heten för digitalisering och befolkningsdata), </w:t>
      </w:r>
      <w:hyperlink r:id="rId20" w:history="1">
        <w:r w:rsidRPr="00041EB5">
          <w:rPr>
            <w:rStyle w:val="Hyperlink"/>
            <w:sz w:val="20"/>
            <w:lang w:val="sv-SE"/>
          </w:rPr>
          <w:t>Right to vote</w:t>
        </w:r>
      </w:hyperlink>
      <w:r w:rsidR="00D947AB" w:rsidRPr="00041EB5">
        <w:rPr>
          <w:sz w:val="20"/>
          <w:lang w:val="sv-SE"/>
        </w:rPr>
        <w:t xml:space="preserve"> (</w:t>
      </w:r>
      <w:hyperlink r:id="rId21" w:history="1">
        <w:r w:rsidR="00D947AB" w:rsidRPr="00041EB5">
          <w:rPr>
            <w:rStyle w:val="Hyperlink"/>
            <w:i/>
            <w:iCs/>
            <w:sz w:val="20"/>
            <w:lang w:val="sv-SE"/>
          </w:rPr>
          <w:t>Äänioikeus</w:t>
        </w:r>
      </w:hyperlink>
      <w:r w:rsidR="00D947AB" w:rsidRPr="00041EB5">
        <w:rPr>
          <w:sz w:val="20"/>
          <w:lang w:val="sv-SE"/>
        </w:rPr>
        <w:t>/</w:t>
      </w:r>
      <w:hyperlink r:id="rId22" w:history="1">
        <w:r w:rsidR="00D947AB" w:rsidRPr="00041EB5">
          <w:rPr>
            <w:rStyle w:val="Hyperlink"/>
            <w:i/>
            <w:iCs/>
            <w:sz w:val="20"/>
            <w:lang w:val="sv-SE"/>
          </w:rPr>
          <w:t>Rösträtt</w:t>
        </w:r>
      </w:hyperlink>
      <w:r w:rsidR="00D947AB" w:rsidRPr="00041EB5">
        <w:rPr>
          <w:sz w:val="20"/>
          <w:lang w:val="sv-SE"/>
        </w:rPr>
        <w:t>)</w:t>
      </w:r>
      <w:r w:rsidRPr="00041EB5">
        <w:rPr>
          <w:sz w:val="20"/>
          <w:lang w:val="sv-SE"/>
        </w:rPr>
        <w:t xml:space="preserve">, </w:t>
      </w:r>
      <w:r w:rsidR="00D947AB" w:rsidRPr="00041EB5">
        <w:rPr>
          <w:sz w:val="20"/>
          <w:lang w:val="sv-SE"/>
        </w:rPr>
        <w:t>web page, accessed on 14 December 2023.</w:t>
      </w:r>
    </w:p>
  </w:footnote>
  <w:footnote w:id="10">
    <w:p w14:paraId="38707AA6" w14:textId="5CF04DD8" w:rsidR="009C2123" w:rsidRPr="00187FA7" w:rsidRDefault="009C2123" w:rsidP="00CC2731">
      <w:pPr>
        <w:pStyle w:val="FootnoteText"/>
        <w:jc w:val="both"/>
        <w:rPr>
          <w:sz w:val="20"/>
          <w:lang w:bidi="en-US"/>
        </w:rPr>
      </w:pPr>
      <w:r w:rsidRPr="00187FA7">
        <w:rPr>
          <w:rStyle w:val="FootnoteReference"/>
          <w:sz w:val="20"/>
        </w:rPr>
        <w:footnoteRef/>
      </w:r>
      <w:r w:rsidRPr="00187FA7">
        <w:rPr>
          <w:sz w:val="20"/>
        </w:rPr>
        <w:t xml:space="preserve"> OSCE: REPUBLIC OF FINLAND. PARLIAMENTARY ELECTIONS 17 April 2011. Pages 8-9. Available at: </w:t>
      </w:r>
      <w:hyperlink r:id="rId23" w:history="1">
        <w:r w:rsidR="00D947AB" w:rsidRPr="00187FA7">
          <w:rPr>
            <w:rStyle w:val="Hyperlink"/>
            <w:sz w:val="20"/>
          </w:rPr>
          <w:t>http://www.osce.org/odihr/81121</w:t>
        </w:r>
      </w:hyperlink>
      <w:r w:rsidRPr="00187FA7">
        <w:rPr>
          <w:sz w:val="20"/>
        </w:rPr>
        <w:t xml:space="preserve"> (accessed 22.7.2013)</w:t>
      </w:r>
      <w:r w:rsidR="00B36674" w:rsidRPr="00187FA7">
        <w:rPr>
          <w:sz w:val="20"/>
        </w:rPr>
        <w:t xml:space="preserve">, </w:t>
      </w:r>
      <w:bookmarkStart w:id="10" w:name="_Hlk147827008"/>
      <w:r w:rsidR="00B36674" w:rsidRPr="00187FA7">
        <w:rPr>
          <w:sz w:val="20"/>
        </w:rPr>
        <w:fldChar w:fldCharType="begin"/>
      </w:r>
      <w:r w:rsidR="00B36674" w:rsidRPr="00187FA7">
        <w:rPr>
          <w:sz w:val="20"/>
        </w:rPr>
        <w:instrText>HYPERLINK "https://dvv.fi/en/right-to-vote"</w:instrText>
      </w:r>
      <w:r w:rsidR="00B36674" w:rsidRPr="00187FA7">
        <w:rPr>
          <w:sz w:val="20"/>
        </w:rPr>
      </w:r>
      <w:r w:rsidR="00B36674" w:rsidRPr="00187FA7">
        <w:rPr>
          <w:sz w:val="20"/>
        </w:rPr>
        <w:fldChar w:fldCharType="separate"/>
      </w:r>
      <w:r w:rsidR="00B36674" w:rsidRPr="00187FA7">
        <w:rPr>
          <w:rStyle w:val="Hyperlink"/>
          <w:sz w:val="20"/>
        </w:rPr>
        <w:t>Right to vote | Digital and population data services agency (dvv.fi)</w:t>
      </w:r>
      <w:r w:rsidR="00B36674" w:rsidRPr="00187FA7">
        <w:rPr>
          <w:sz w:val="20"/>
        </w:rPr>
        <w:fldChar w:fldCharType="end"/>
      </w:r>
      <w:bookmarkEnd w:id="10"/>
      <w:r w:rsidR="00CC2731" w:rsidRPr="00187FA7">
        <w:rPr>
          <w:sz w:val="20"/>
          <w:lang w:bidi="en-US"/>
        </w:rPr>
        <w:t>.</w:t>
      </w:r>
    </w:p>
  </w:footnote>
  <w:footnote w:id="11">
    <w:p w14:paraId="6542A14E" w14:textId="005DB59E" w:rsidR="00D947AB" w:rsidRPr="00187FA7" w:rsidRDefault="00D947AB" w:rsidP="00D947AB">
      <w:pPr>
        <w:pStyle w:val="FootnoteText"/>
        <w:jc w:val="both"/>
        <w:rPr>
          <w:sz w:val="20"/>
          <w:lang w:val="sv-SE"/>
        </w:rPr>
      </w:pPr>
      <w:r w:rsidRPr="00187FA7">
        <w:rPr>
          <w:rStyle w:val="FootnoteReference"/>
          <w:sz w:val="20"/>
        </w:rPr>
        <w:footnoteRef/>
      </w:r>
      <w:r w:rsidRPr="00187FA7">
        <w:rPr>
          <w:sz w:val="20"/>
          <w:lang w:val="sv-SE"/>
        </w:rPr>
        <w:t xml:space="preserve"> </w:t>
      </w:r>
      <w:bookmarkStart w:id="11" w:name="_Hlk153458445"/>
      <w:bookmarkStart w:id="12" w:name="_Hlk153458740"/>
      <w:r w:rsidRPr="00187FA7">
        <w:rPr>
          <w:sz w:val="20"/>
          <w:lang w:val="sv-SE"/>
        </w:rPr>
        <w:t>Finland, Election Act (</w:t>
      </w:r>
      <w:hyperlink r:id="rId24" w:history="1">
        <w:r w:rsidRPr="00187FA7">
          <w:rPr>
            <w:rStyle w:val="Hyperlink"/>
            <w:i/>
            <w:iCs/>
            <w:sz w:val="20"/>
            <w:lang w:val="sv-SE"/>
          </w:rPr>
          <w:t>vaalilaki</w:t>
        </w:r>
      </w:hyperlink>
      <w:r w:rsidRPr="00187FA7">
        <w:rPr>
          <w:sz w:val="20"/>
          <w:lang w:val="sv-SE"/>
        </w:rPr>
        <w:t>/</w:t>
      </w:r>
      <w:hyperlink r:id="rId25" w:history="1">
        <w:r w:rsidRPr="00187FA7">
          <w:rPr>
            <w:rStyle w:val="Hyperlink"/>
            <w:i/>
            <w:iCs/>
            <w:sz w:val="20"/>
            <w:lang w:val="sv-SE"/>
          </w:rPr>
          <w:t>vallag</w:t>
        </w:r>
      </w:hyperlink>
      <w:r w:rsidRPr="00187FA7">
        <w:rPr>
          <w:sz w:val="20"/>
          <w:lang w:val="sv-SE"/>
        </w:rPr>
        <w:t>), Act No. 714/1998, 2.10.1998.</w:t>
      </w:r>
      <w:bookmarkEnd w:id="11"/>
      <w:bookmarkEnd w:id="12"/>
    </w:p>
  </w:footnote>
  <w:footnote w:id="12">
    <w:p w14:paraId="0CA6817B" w14:textId="0B6D6F91" w:rsidR="00D947AB" w:rsidRPr="00187FA7" w:rsidRDefault="00D947AB" w:rsidP="00D947AB">
      <w:pPr>
        <w:pStyle w:val="FootnoteText"/>
        <w:rPr>
          <w:sz w:val="20"/>
          <w:lang w:val="sv-SE"/>
        </w:rPr>
      </w:pPr>
      <w:r w:rsidRPr="00187FA7">
        <w:rPr>
          <w:rStyle w:val="FootnoteReference"/>
          <w:sz w:val="20"/>
        </w:rPr>
        <w:footnoteRef/>
      </w:r>
      <w:r w:rsidRPr="00187FA7">
        <w:rPr>
          <w:sz w:val="20"/>
        </w:rPr>
        <w:t xml:space="preserve"> </w:t>
      </w:r>
      <w:r w:rsidRPr="00187FA7">
        <w:rPr>
          <w:sz w:val="20"/>
          <w:lang w:val="sv-SE"/>
        </w:rPr>
        <w:t>Finland, Election Act (</w:t>
      </w:r>
      <w:hyperlink r:id="rId26" w:history="1">
        <w:r w:rsidRPr="00187FA7">
          <w:rPr>
            <w:rStyle w:val="Hyperlink"/>
            <w:i/>
            <w:iCs/>
            <w:sz w:val="20"/>
            <w:lang w:val="sv-SE"/>
          </w:rPr>
          <w:t>vaalilaki</w:t>
        </w:r>
      </w:hyperlink>
      <w:r w:rsidRPr="00187FA7">
        <w:rPr>
          <w:sz w:val="20"/>
          <w:lang w:val="sv-SE"/>
        </w:rPr>
        <w:t>/</w:t>
      </w:r>
      <w:hyperlink r:id="rId27" w:history="1">
        <w:r w:rsidRPr="00187FA7">
          <w:rPr>
            <w:rStyle w:val="Hyperlink"/>
            <w:i/>
            <w:iCs/>
            <w:sz w:val="20"/>
            <w:lang w:val="sv-SE"/>
          </w:rPr>
          <w:t>vallag</w:t>
        </w:r>
      </w:hyperlink>
      <w:r w:rsidRPr="00187FA7">
        <w:rPr>
          <w:sz w:val="20"/>
          <w:lang w:val="sv-SE"/>
        </w:rPr>
        <w:t>), Act No. 714/1998, 2.10.1998.</w:t>
      </w:r>
    </w:p>
  </w:footnote>
  <w:footnote w:id="13">
    <w:p w14:paraId="141F3FF5" w14:textId="44CBBB81" w:rsidR="00127769" w:rsidRPr="00187FA7" w:rsidRDefault="00127769" w:rsidP="00EA405E">
      <w:pPr>
        <w:pStyle w:val="FootnoteText"/>
        <w:jc w:val="both"/>
        <w:rPr>
          <w:sz w:val="20"/>
          <w:lang w:val="en-US"/>
        </w:rPr>
      </w:pPr>
      <w:r w:rsidRPr="00187FA7">
        <w:rPr>
          <w:rStyle w:val="FootnoteReference"/>
          <w:sz w:val="20"/>
        </w:rPr>
        <w:footnoteRef/>
      </w:r>
      <w:r w:rsidRPr="00187FA7">
        <w:rPr>
          <w:sz w:val="20"/>
          <w:lang w:val="en-US"/>
        </w:rPr>
        <w:t xml:space="preserve"> </w:t>
      </w:r>
      <w:bookmarkStart w:id="13" w:name="_Hlk149741396"/>
      <w:r w:rsidRPr="00187FA7">
        <w:rPr>
          <w:sz w:val="20"/>
          <w:lang w:val="en-US"/>
        </w:rPr>
        <w:t>Finland, Ministry of Justice (</w:t>
      </w:r>
      <w:r w:rsidRPr="00187FA7">
        <w:rPr>
          <w:i/>
          <w:iCs/>
          <w:sz w:val="20"/>
          <w:lang w:val="en-US"/>
        </w:rPr>
        <w:t>oikeusministeriö</w:t>
      </w:r>
      <w:r w:rsidRPr="00187FA7">
        <w:rPr>
          <w:sz w:val="20"/>
          <w:lang w:val="en-US"/>
        </w:rPr>
        <w:t>/</w:t>
      </w:r>
      <w:r w:rsidRPr="00187FA7">
        <w:rPr>
          <w:i/>
          <w:iCs/>
          <w:sz w:val="20"/>
          <w:lang w:val="en-US"/>
        </w:rPr>
        <w:t>justitieministeriet</w:t>
      </w:r>
      <w:r w:rsidRPr="00187FA7">
        <w:rPr>
          <w:sz w:val="20"/>
          <w:lang w:val="en-US"/>
        </w:rPr>
        <w:t xml:space="preserve">), </w:t>
      </w:r>
      <w:r w:rsidR="00441904" w:rsidRPr="00187FA7">
        <w:rPr>
          <w:sz w:val="20"/>
          <w:lang w:val="en-US"/>
        </w:rPr>
        <w:t xml:space="preserve">Elections, </w:t>
      </w:r>
      <w:r w:rsidRPr="00187FA7">
        <w:rPr>
          <w:sz w:val="20"/>
          <w:lang w:val="en-US"/>
        </w:rPr>
        <w:t>Voting at home, (</w:t>
      </w:r>
      <w:hyperlink r:id="rId28" w:history="1">
        <w:r w:rsidRPr="00187FA7">
          <w:rPr>
            <w:rStyle w:val="Hyperlink"/>
            <w:i/>
            <w:iCs/>
            <w:sz w:val="20"/>
            <w:lang w:val="en-US"/>
          </w:rPr>
          <w:t>Kotona äänestäminen</w:t>
        </w:r>
      </w:hyperlink>
      <w:r w:rsidRPr="00187FA7">
        <w:rPr>
          <w:sz w:val="20"/>
          <w:lang w:val="en-US"/>
        </w:rPr>
        <w:t>/</w:t>
      </w:r>
      <w:hyperlink r:id="rId29" w:history="1">
        <w:r w:rsidR="00A137C7" w:rsidRPr="00187FA7">
          <w:rPr>
            <w:rStyle w:val="Hyperlink"/>
            <w:i/>
            <w:iCs/>
            <w:sz w:val="20"/>
            <w:lang w:val="en-US"/>
          </w:rPr>
          <w:t>Att rösta hemma</w:t>
        </w:r>
      </w:hyperlink>
      <w:r w:rsidRPr="00187FA7">
        <w:rPr>
          <w:sz w:val="20"/>
          <w:lang w:val="en-US"/>
        </w:rPr>
        <w:t xml:space="preserve">), webpage, accessed </w:t>
      </w:r>
      <w:r w:rsidR="00A137C7" w:rsidRPr="00187FA7">
        <w:rPr>
          <w:sz w:val="20"/>
          <w:lang w:val="en-US"/>
        </w:rPr>
        <w:t>1 November 2023.</w:t>
      </w:r>
      <w:bookmarkEnd w:id="13"/>
    </w:p>
  </w:footnote>
  <w:footnote w:id="14">
    <w:p w14:paraId="4D7FBEAE" w14:textId="0741A1F4" w:rsidR="0022612E" w:rsidRPr="00187FA7" w:rsidRDefault="0022612E" w:rsidP="0022612E">
      <w:pPr>
        <w:pStyle w:val="FootnoteText"/>
        <w:jc w:val="both"/>
        <w:rPr>
          <w:sz w:val="20"/>
          <w:lang w:val="sv-SE"/>
        </w:rPr>
      </w:pPr>
      <w:r w:rsidRPr="00187FA7">
        <w:rPr>
          <w:rStyle w:val="FootnoteReference"/>
          <w:sz w:val="20"/>
        </w:rPr>
        <w:footnoteRef/>
      </w:r>
      <w:r w:rsidRPr="00187FA7">
        <w:rPr>
          <w:sz w:val="20"/>
        </w:rPr>
        <w:t xml:space="preserve"> </w:t>
      </w:r>
      <w:r w:rsidRPr="00187FA7">
        <w:rPr>
          <w:sz w:val="20"/>
          <w:lang w:val="sv-SE"/>
        </w:rPr>
        <w:t>Finland, Election Act (</w:t>
      </w:r>
      <w:hyperlink r:id="rId30" w:history="1">
        <w:r w:rsidRPr="00187FA7">
          <w:rPr>
            <w:rStyle w:val="Hyperlink"/>
            <w:i/>
            <w:iCs/>
            <w:sz w:val="20"/>
            <w:lang w:val="sv-SE"/>
          </w:rPr>
          <w:t>vaalilaki</w:t>
        </w:r>
      </w:hyperlink>
      <w:r w:rsidRPr="00187FA7">
        <w:rPr>
          <w:sz w:val="20"/>
          <w:lang w:val="sv-SE"/>
        </w:rPr>
        <w:t>/</w:t>
      </w:r>
      <w:hyperlink r:id="rId31" w:history="1">
        <w:r w:rsidRPr="00187FA7">
          <w:rPr>
            <w:rStyle w:val="Hyperlink"/>
            <w:i/>
            <w:iCs/>
            <w:sz w:val="20"/>
            <w:lang w:val="sv-SE"/>
          </w:rPr>
          <w:t>vallag</w:t>
        </w:r>
      </w:hyperlink>
      <w:r w:rsidRPr="00187FA7">
        <w:rPr>
          <w:sz w:val="20"/>
          <w:lang w:val="sv-SE"/>
        </w:rPr>
        <w:t>), Act No. 714/1998, 2.10.1998.</w:t>
      </w:r>
    </w:p>
  </w:footnote>
  <w:footnote w:id="15">
    <w:p w14:paraId="7F9C0F07" w14:textId="5034DC7C" w:rsidR="00806164" w:rsidRPr="00187FA7" w:rsidRDefault="00806164" w:rsidP="00EA405E">
      <w:pPr>
        <w:pStyle w:val="FootnoteText"/>
        <w:jc w:val="both"/>
        <w:rPr>
          <w:sz w:val="20"/>
        </w:rPr>
      </w:pPr>
      <w:r w:rsidRPr="00187FA7">
        <w:rPr>
          <w:rStyle w:val="FootnoteReference"/>
          <w:sz w:val="20"/>
        </w:rPr>
        <w:footnoteRef/>
      </w:r>
      <w:r w:rsidRPr="00187FA7">
        <w:rPr>
          <w:sz w:val="20"/>
        </w:rPr>
        <w:t xml:space="preserve"> </w:t>
      </w:r>
      <w:bookmarkStart w:id="14" w:name="_Hlk149837053"/>
      <w:r w:rsidRPr="00187FA7">
        <w:rPr>
          <w:sz w:val="20"/>
          <w:lang w:val="en-US"/>
        </w:rPr>
        <w:t>Finland, Ministry of Justice (</w:t>
      </w:r>
      <w:r w:rsidRPr="00187FA7">
        <w:rPr>
          <w:i/>
          <w:iCs/>
          <w:sz w:val="20"/>
          <w:lang w:val="en-US"/>
        </w:rPr>
        <w:t>oikeusministeriö</w:t>
      </w:r>
      <w:r w:rsidRPr="00187FA7">
        <w:rPr>
          <w:sz w:val="20"/>
          <w:lang w:val="en-US"/>
        </w:rPr>
        <w:t>/</w:t>
      </w:r>
      <w:r w:rsidRPr="00187FA7">
        <w:rPr>
          <w:i/>
          <w:iCs/>
          <w:sz w:val="20"/>
          <w:lang w:val="en-US"/>
        </w:rPr>
        <w:t>justitieministeriet</w:t>
      </w:r>
      <w:r w:rsidRPr="00187FA7">
        <w:rPr>
          <w:sz w:val="20"/>
          <w:lang w:val="en-US"/>
        </w:rPr>
        <w:t>), Elections, Voting at institutions, (</w:t>
      </w:r>
      <w:hyperlink r:id="rId32" w:history="1">
        <w:r w:rsidRPr="00187FA7">
          <w:rPr>
            <w:rStyle w:val="Hyperlink"/>
            <w:i/>
            <w:iCs/>
            <w:sz w:val="20"/>
            <w:lang w:val="en-US"/>
          </w:rPr>
          <w:t>Äänestäminen laitoksessa</w:t>
        </w:r>
      </w:hyperlink>
      <w:r w:rsidRPr="00187FA7">
        <w:rPr>
          <w:i/>
          <w:iCs/>
          <w:sz w:val="20"/>
          <w:lang w:val="en-US"/>
        </w:rPr>
        <w:t>/</w:t>
      </w:r>
      <w:hyperlink r:id="rId33" w:history="1">
        <w:r w:rsidRPr="00187FA7">
          <w:rPr>
            <w:rStyle w:val="Hyperlink"/>
            <w:i/>
            <w:iCs/>
            <w:sz w:val="20"/>
            <w:lang w:val="en-US"/>
          </w:rPr>
          <w:t>Röstning på anstalter</w:t>
        </w:r>
      </w:hyperlink>
      <w:r w:rsidRPr="00187FA7">
        <w:rPr>
          <w:sz w:val="20"/>
          <w:lang w:val="en-US"/>
        </w:rPr>
        <w:t>), webpage, accessed 1 November 2023.</w:t>
      </w:r>
      <w:bookmarkEnd w:id="14"/>
    </w:p>
  </w:footnote>
  <w:footnote w:id="16">
    <w:p w14:paraId="103A1BAC" w14:textId="2C7E392A" w:rsidR="0022612E" w:rsidRPr="00187FA7" w:rsidRDefault="0022612E" w:rsidP="0022612E">
      <w:pPr>
        <w:pStyle w:val="FootnoteText"/>
        <w:jc w:val="both"/>
        <w:rPr>
          <w:sz w:val="20"/>
          <w:lang w:val="sv-SE"/>
        </w:rPr>
      </w:pPr>
      <w:r w:rsidRPr="00187FA7">
        <w:rPr>
          <w:rStyle w:val="FootnoteReference"/>
          <w:sz w:val="20"/>
        </w:rPr>
        <w:footnoteRef/>
      </w:r>
      <w:r w:rsidRPr="00187FA7">
        <w:rPr>
          <w:sz w:val="20"/>
        </w:rPr>
        <w:t xml:space="preserve"> </w:t>
      </w:r>
      <w:bookmarkStart w:id="15" w:name="_Hlk153543137"/>
      <w:r w:rsidRPr="00187FA7">
        <w:rPr>
          <w:sz w:val="20"/>
          <w:lang w:val="sv-SE"/>
        </w:rPr>
        <w:t>Finland, Election Act (</w:t>
      </w:r>
      <w:hyperlink r:id="rId34" w:history="1">
        <w:r w:rsidRPr="00187FA7">
          <w:rPr>
            <w:rStyle w:val="Hyperlink"/>
            <w:i/>
            <w:iCs/>
            <w:sz w:val="20"/>
            <w:lang w:val="sv-SE"/>
          </w:rPr>
          <w:t>vaalilaki</w:t>
        </w:r>
      </w:hyperlink>
      <w:r w:rsidRPr="00187FA7">
        <w:rPr>
          <w:sz w:val="20"/>
          <w:lang w:val="sv-SE"/>
        </w:rPr>
        <w:t>/</w:t>
      </w:r>
      <w:hyperlink r:id="rId35" w:history="1">
        <w:r w:rsidRPr="00187FA7">
          <w:rPr>
            <w:rStyle w:val="Hyperlink"/>
            <w:i/>
            <w:iCs/>
            <w:sz w:val="20"/>
            <w:lang w:val="sv-SE"/>
          </w:rPr>
          <w:t>vallag</w:t>
        </w:r>
      </w:hyperlink>
      <w:r w:rsidRPr="00187FA7">
        <w:rPr>
          <w:sz w:val="20"/>
          <w:lang w:val="sv-SE"/>
        </w:rPr>
        <w:t>), Act No. 714/1998, 2.10.1998.</w:t>
      </w:r>
      <w:bookmarkEnd w:id="15"/>
    </w:p>
  </w:footnote>
  <w:footnote w:id="17">
    <w:p w14:paraId="66724447" w14:textId="061AE924" w:rsidR="00020F24" w:rsidRPr="00187FA7" w:rsidRDefault="00020F24" w:rsidP="00EA405E">
      <w:pPr>
        <w:pStyle w:val="FootnoteText"/>
        <w:jc w:val="both"/>
        <w:rPr>
          <w:sz w:val="20"/>
        </w:rPr>
      </w:pPr>
      <w:r w:rsidRPr="00187FA7">
        <w:rPr>
          <w:rStyle w:val="FootnoteReference"/>
          <w:sz w:val="20"/>
        </w:rPr>
        <w:footnoteRef/>
      </w:r>
      <w:r w:rsidRPr="00187FA7">
        <w:rPr>
          <w:sz w:val="20"/>
        </w:rPr>
        <w:t xml:space="preserve">  </w:t>
      </w:r>
      <w:r w:rsidRPr="00187FA7">
        <w:rPr>
          <w:sz w:val="20"/>
          <w:lang w:val="en-US"/>
        </w:rPr>
        <w:t>Finland, Ministry of Justice (</w:t>
      </w:r>
      <w:r w:rsidRPr="00187FA7">
        <w:rPr>
          <w:i/>
          <w:iCs/>
          <w:sz w:val="20"/>
          <w:lang w:val="en-US"/>
        </w:rPr>
        <w:t>oikeusministeriö</w:t>
      </w:r>
      <w:r w:rsidRPr="00187FA7">
        <w:rPr>
          <w:sz w:val="20"/>
          <w:lang w:val="en-US"/>
        </w:rPr>
        <w:t>/</w:t>
      </w:r>
      <w:r w:rsidRPr="00187FA7">
        <w:rPr>
          <w:i/>
          <w:iCs/>
          <w:sz w:val="20"/>
          <w:lang w:val="en-US"/>
        </w:rPr>
        <w:t>justitieministeriet</w:t>
      </w:r>
      <w:r w:rsidRPr="00187FA7">
        <w:rPr>
          <w:sz w:val="20"/>
          <w:lang w:val="en-US"/>
        </w:rPr>
        <w:t>), Elections, Voter assistance, (</w:t>
      </w:r>
      <w:hyperlink r:id="rId36" w:history="1">
        <w:r w:rsidRPr="00187FA7">
          <w:rPr>
            <w:rStyle w:val="Hyperlink"/>
            <w:i/>
            <w:iCs/>
            <w:sz w:val="20"/>
            <w:lang w:val="en-US"/>
          </w:rPr>
          <w:t>Äänestäjän avustaminen</w:t>
        </w:r>
      </w:hyperlink>
      <w:r w:rsidRPr="00187FA7">
        <w:rPr>
          <w:i/>
          <w:iCs/>
          <w:sz w:val="20"/>
          <w:lang w:val="en-US"/>
        </w:rPr>
        <w:t>/</w:t>
      </w:r>
      <w:hyperlink r:id="rId37" w:history="1">
        <w:r w:rsidRPr="00187FA7">
          <w:rPr>
            <w:rStyle w:val="Hyperlink"/>
            <w:i/>
            <w:iCs/>
            <w:sz w:val="20"/>
            <w:lang w:val="en-US"/>
          </w:rPr>
          <w:t>Biträdande vid röstning</w:t>
        </w:r>
      </w:hyperlink>
      <w:r w:rsidRPr="00187FA7">
        <w:rPr>
          <w:sz w:val="20"/>
          <w:lang w:val="en-US"/>
        </w:rPr>
        <w:t>), webpage, accessed 1</w:t>
      </w:r>
      <w:r w:rsidR="00AB78A2">
        <w:rPr>
          <w:sz w:val="20"/>
          <w:lang w:val="en-US"/>
        </w:rPr>
        <w:t>4</w:t>
      </w:r>
      <w:r w:rsidRPr="00187FA7">
        <w:rPr>
          <w:sz w:val="20"/>
          <w:lang w:val="en-US"/>
        </w:rPr>
        <w:t xml:space="preserve"> </w:t>
      </w:r>
      <w:r w:rsidR="00AB78A2">
        <w:rPr>
          <w:sz w:val="20"/>
          <w:lang w:val="en-US"/>
        </w:rPr>
        <w:t>December</w:t>
      </w:r>
      <w:r w:rsidRPr="00187FA7">
        <w:rPr>
          <w:sz w:val="20"/>
          <w:lang w:val="en-US"/>
        </w:rPr>
        <w:t xml:space="preserve"> 2023.</w:t>
      </w:r>
    </w:p>
  </w:footnote>
  <w:footnote w:id="18">
    <w:p w14:paraId="296F9C68" w14:textId="7DA0BEBC" w:rsidR="00B862A0" w:rsidRPr="00187FA7" w:rsidRDefault="00B862A0">
      <w:pPr>
        <w:pStyle w:val="FootnoteText"/>
        <w:rPr>
          <w:sz w:val="20"/>
          <w:lang w:val="sv-SE"/>
        </w:rPr>
      </w:pPr>
      <w:r w:rsidRPr="00187FA7">
        <w:rPr>
          <w:rStyle w:val="FootnoteReference"/>
          <w:sz w:val="20"/>
        </w:rPr>
        <w:footnoteRef/>
      </w:r>
      <w:r w:rsidRPr="00187FA7">
        <w:rPr>
          <w:sz w:val="20"/>
        </w:rPr>
        <w:t xml:space="preserve"> </w:t>
      </w:r>
      <w:r w:rsidR="00F75204" w:rsidRPr="00187FA7">
        <w:rPr>
          <w:sz w:val="20"/>
        </w:rPr>
        <w:t xml:space="preserve">Finland, Act on </w:t>
      </w:r>
      <w:r w:rsidRPr="00187FA7">
        <w:rPr>
          <w:sz w:val="20"/>
        </w:rPr>
        <w:t>Disability Services</w:t>
      </w:r>
      <w:r w:rsidR="00F75204" w:rsidRPr="00187FA7">
        <w:rPr>
          <w:sz w:val="20"/>
        </w:rPr>
        <w:t xml:space="preserve"> and Assistance </w:t>
      </w:r>
      <w:r w:rsidRPr="00187FA7">
        <w:rPr>
          <w:sz w:val="20"/>
        </w:rPr>
        <w:t>(</w:t>
      </w:r>
      <w:hyperlink r:id="rId38" w:history="1">
        <w:r w:rsidRPr="00187FA7">
          <w:rPr>
            <w:rStyle w:val="Hyperlink"/>
            <w:i/>
            <w:iCs/>
            <w:sz w:val="20"/>
          </w:rPr>
          <w:t>Laki vammaisuuden perusteella järjestettävistä palveluista ja tukitoimista</w:t>
        </w:r>
      </w:hyperlink>
      <w:r w:rsidRPr="00187FA7">
        <w:rPr>
          <w:sz w:val="20"/>
        </w:rPr>
        <w:t>/</w:t>
      </w:r>
      <w:hyperlink r:id="rId39" w:history="1">
        <w:r w:rsidRPr="00187FA7">
          <w:rPr>
            <w:rStyle w:val="Hyperlink"/>
            <w:i/>
            <w:iCs/>
            <w:sz w:val="20"/>
          </w:rPr>
          <w:t>Lag om service och stöd på grund av handikapp</w:t>
        </w:r>
      </w:hyperlink>
      <w:r w:rsidRPr="00187FA7">
        <w:rPr>
          <w:sz w:val="20"/>
        </w:rPr>
        <w:t>)</w:t>
      </w:r>
      <w:r w:rsidR="00F75204" w:rsidRPr="00187FA7">
        <w:rPr>
          <w:sz w:val="20"/>
        </w:rPr>
        <w:t xml:space="preserve">, </w:t>
      </w:r>
      <w:r w:rsidRPr="00187FA7">
        <w:rPr>
          <w:sz w:val="20"/>
        </w:rPr>
        <w:t>Act No. 380/1987</w:t>
      </w:r>
      <w:r w:rsidR="00F75204" w:rsidRPr="00187FA7">
        <w:rPr>
          <w:sz w:val="20"/>
        </w:rPr>
        <w:t>, 3 April 1987.</w:t>
      </w:r>
    </w:p>
  </w:footnote>
  <w:footnote w:id="19">
    <w:p w14:paraId="0D483038" w14:textId="77777777" w:rsidR="00AB78A2" w:rsidRPr="00AB78A2" w:rsidRDefault="00AB78A2" w:rsidP="00AB78A2">
      <w:pPr>
        <w:pStyle w:val="FootnoteText"/>
        <w:rPr>
          <w:sz w:val="20"/>
          <w:lang w:val="sv-SE"/>
        </w:rPr>
      </w:pPr>
      <w:r w:rsidRPr="00AB78A2">
        <w:rPr>
          <w:rStyle w:val="FootnoteReference"/>
          <w:sz w:val="20"/>
        </w:rPr>
        <w:footnoteRef/>
      </w:r>
      <w:r w:rsidRPr="00AB78A2">
        <w:rPr>
          <w:sz w:val="20"/>
        </w:rPr>
        <w:t xml:space="preserve"> </w:t>
      </w:r>
      <w:r w:rsidRPr="00AB78A2">
        <w:rPr>
          <w:sz w:val="20"/>
          <w:lang w:val="sv-SE"/>
        </w:rPr>
        <w:t>Finland, Election Act (</w:t>
      </w:r>
      <w:hyperlink r:id="rId40" w:history="1">
        <w:r w:rsidRPr="00AB78A2">
          <w:rPr>
            <w:rStyle w:val="Hyperlink"/>
            <w:i/>
            <w:iCs/>
            <w:sz w:val="20"/>
            <w:lang w:val="sv-SE"/>
          </w:rPr>
          <w:t>vaalilaki</w:t>
        </w:r>
      </w:hyperlink>
      <w:r w:rsidRPr="00AB78A2">
        <w:rPr>
          <w:sz w:val="20"/>
          <w:lang w:val="sv-SE"/>
        </w:rPr>
        <w:t>/</w:t>
      </w:r>
      <w:hyperlink r:id="rId41" w:history="1">
        <w:r w:rsidRPr="00AB78A2">
          <w:rPr>
            <w:rStyle w:val="Hyperlink"/>
            <w:i/>
            <w:iCs/>
            <w:sz w:val="20"/>
            <w:lang w:val="sv-SE"/>
          </w:rPr>
          <w:t>vallag</w:t>
        </w:r>
      </w:hyperlink>
      <w:r w:rsidRPr="00AB78A2">
        <w:rPr>
          <w:sz w:val="20"/>
          <w:lang w:val="sv-SE"/>
        </w:rPr>
        <w:t>), Act No. 714/1998, 2.10.1998.</w:t>
      </w:r>
    </w:p>
    <w:p w14:paraId="6D38EEF6" w14:textId="256E81E7" w:rsidR="00AB78A2" w:rsidRPr="00AB78A2" w:rsidRDefault="00AB78A2">
      <w:pPr>
        <w:pStyle w:val="FootnoteText"/>
        <w:rPr>
          <w:lang w:val="sv-SE"/>
        </w:rPr>
      </w:pPr>
    </w:p>
  </w:footnote>
  <w:footnote w:id="20">
    <w:p w14:paraId="14E1BA7C" w14:textId="0008A980" w:rsidR="00E13A2C" w:rsidRPr="00187FA7" w:rsidRDefault="00E13A2C" w:rsidP="00EB5754">
      <w:pPr>
        <w:pStyle w:val="FootnoteText"/>
        <w:spacing w:line="240" w:lineRule="auto"/>
        <w:rPr>
          <w:sz w:val="20"/>
          <w:lang w:val="sv-SE"/>
        </w:rPr>
      </w:pPr>
      <w:r w:rsidRPr="00187FA7">
        <w:rPr>
          <w:rStyle w:val="FootnoteReference"/>
          <w:sz w:val="20"/>
        </w:rPr>
        <w:footnoteRef/>
      </w:r>
      <w:r w:rsidRPr="00041EB5">
        <w:rPr>
          <w:sz w:val="20"/>
          <w:lang w:val="sv-SE"/>
        </w:rPr>
        <w:t xml:space="preserve"> Finland, </w:t>
      </w:r>
      <w:bookmarkStart w:id="18" w:name="_Hlk153462663"/>
      <w:r w:rsidRPr="00041EB5">
        <w:rPr>
          <w:sz w:val="20"/>
          <w:lang w:val="sv-SE"/>
        </w:rPr>
        <w:t>Administrative</w:t>
      </w:r>
      <w:bookmarkEnd w:id="18"/>
      <w:r w:rsidRPr="00041EB5">
        <w:rPr>
          <w:sz w:val="20"/>
          <w:lang w:val="sv-SE"/>
        </w:rPr>
        <w:t xml:space="preserve"> Judicial Procedure Act (</w:t>
      </w:r>
      <w:hyperlink r:id="rId42" w:history="1">
        <w:r w:rsidRPr="00041EB5">
          <w:rPr>
            <w:rStyle w:val="Hyperlink"/>
            <w:i/>
            <w:iCs/>
            <w:sz w:val="20"/>
            <w:lang w:val="sv-SE"/>
          </w:rPr>
          <w:t>laki oikeudenkäynnistä hallintoasioissa</w:t>
        </w:r>
      </w:hyperlink>
      <w:r w:rsidRPr="00041EB5">
        <w:rPr>
          <w:sz w:val="20"/>
          <w:lang w:val="sv-SE"/>
        </w:rPr>
        <w:t>/</w:t>
      </w:r>
      <w:hyperlink r:id="rId43" w:history="1">
        <w:r w:rsidRPr="00041EB5">
          <w:rPr>
            <w:rStyle w:val="Hyperlink"/>
            <w:i/>
            <w:iCs/>
            <w:sz w:val="20"/>
            <w:lang w:val="sv-SE"/>
          </w:rPr>
          <w:t>lag om rättegång i förvaltningsären</w:t>
        </w:r>
        <w:r w:rsidRPr="00041EB5">
          <w:rPr>
            <w:rStyle w:val="Hyperlink"/>
            <w:i/>
            <w:iCs/>
            <w:sz w:val="20"/>
            <w:lang w:val="sv-SE"/>
          </w:rPr>
          <w:softHyphen/>
          <w:t>den</w:t>
        </w:r>
      </w:hyperlink>
      <w:r w:rsidRPr="00041EB5">
        <w:rPr>
          <w:sz w:val="20"/>
          <w:lang w:val="sv-SE"/>
        </w:rPr>
        <w:t>) (Act No. 808/2019), 5 July 2019.</w:t>
      </w:r>
    </w:p>
  </w:footnote>
  <w:footnote w:id="21">
    <w:p w14:paraId="0AFC83DB" w14:textId="0BD47010" w:rsidR="00AD2AB6" w:rsidRPr="00041EB5" w:rsidRDefault="00AD2AB6" w:rsidP="00EB5754">
      <w:pPr>
        <w:spacing w:before="240" w:line="240" w:lineRule="auto"/>
        <w:contextualSpacing/>
        <w:jc w:val="both"/>
        <w:rPr>
          <w:color w:val="595959" w:themeColor="text1" w:themeTint="A6"/>
          <w:sz w:val="20"/>
          <w:lang w:val="sv-SE"/>
        </w:rPr>
      </w:pPr>
      <w:r w:rsidRPr="00187FA7">
        <w:rPr>
          <w:rStyle w:val="FootnoteReference"/>
          <w:sz w:val="20"/>
        </w:rPr>
        <w:footnoteRef/>
      </w:r>
      <w:r w:rsidRPr="00041EB5">
        <w:rPr>
          <w:sz w:val="20"/>
          <w:lang w:val="sv-SE"/>
        </w:rPr>
        <w:t xml:space="preserve"> </w:t>
      </w:r>
      <w:r w:rsidR="00EE0C21" w:rsidRPr="00041EB5">
        <w:rPr>
          <w:color w:val="595959" w:themeColor="text1" w:themeTint="A6"/>
          <w:sz w:val="20"/>
          <w:lang w:val="sv-SE"/>
        </w:rPr>
        <w:t xml:space="preserve">Finland, </w:t>
      </w:r>
      <w:bookmarkStart w:id="19" w:name="_Hlk153482108"/>
      <w:r w:rsidRPr="00041EB5">
        <w:rPr>
          <w:color w:val="595959" w:themeColor="text1" w:themeTint="A6"/>
          <w:sz w:val="20"/>
          <w:lang w:val="sv-SE"/>
        </w:rPr>
        <w:t xml:space="preserve">Parliamentary Ombudsman Act </w:t>
      </w:r>
      <w:r w:rsidRPr="00041EB5">
        <w:rPr>
          <w:sz w:val="20"/>
          <w:lang w:val="sv-SE"/>
        </w:rPr>
        <w:t>(</w:t>
      </w:r>
      <w:hyperlink r:id="rId44" w:history="1">
        <w:r w:rsidR="00EE0C21" w:rsidRPr="00041EB5">
          <w:rPr>
            <w:rStyle w:val="Hyperlink"/>
            <w:i/>
            <w:sz w:val="20"/>
            <w:lang w:val="sv-SE"/>
          </w:rPr>
          <w:t>l</w:t>
        </w:r>
        <w:r w:rsidRPr="00041EB5">
          <w:rPr>
            <w:rStyle w:val="Hyperlink"/>
            <w:i/>
            <w:sz w:val="20"/>
            <w:lang w:val="sv-SE"/>
          </w:rPr>
          <w:t>aki eduskunnan oikeusasiamiehestä</w:t>
        </w:r>
      </w:hyperlink>
      <w:r w:rsidRPr="00041EB5">
        <w:rPr>
          <w:i/>
          <w:sz w:val="20"/>
          <w:lang w:val="sv-SE"/>
        </w:rPr>
        <w:t>/</w:t>
      </w:r>
      <w:hyperlink r:id="rId45" w:history="1">
        <w:r w:rsidR="00EE0C21" w:rsidRPr="00041EB5">
          <w:rPr>
            <w:rStyle w:val="Hyperlink"/>
            <w:i/>
            <w:sz w:val="20"/>
            <w:lang w:val="sv-SE"/>
          </w:rPr>
          <w:t>l</w:t>
        </w:r>
        <w:r w:rsidRPr="00041EB5">
          <w:rPr>
            <w:rStyle w:val="Hyperlink"/>
            <w:i/>
            <w:sz w:val="20"/>
            <w:lang w:val="sv-SE"/>
          </w:rPr>
          <w:t>ag om riksdagens justitieombudsman</w:t>
        </w:r>
      </w:hyperlink>
      <w:r w:rsidRPr="00041EB5">
        <w:rPr>
          <w:color w:val="595959" w:themeColor="text1" w:themeTint="A6"/>
          <w:sz w:val="20"/>
          <w:lang w:val="sv-SE"/>
        </w:rPr>
        <w:t>)</w:t>
      </w:r>
      <w:r w:rsidR="00EE0C21" w:rsidRPr="00041EB5">
        <w:rPr>
          <w:color w:val="595959" w:themeColor="text1" w:themeTint="A6"/>
          <w:sz w:val="20"/>
          <w:lang w:val="sv-SE"/>
        </w:rPr>
        <w:t>, Act No. 197/2002</w:t>
      </w:r>
      <w:r w:rsidR="00AF18C1" w:rsidRPr="00041EB5">
        <w:rPr>
          <w:color w:val="595959" w:themeColor="text1" w:themeTint="A6"/>
          <w:sz w:val="20"/>
          <w:lang w:val="sv-SE"/>
        </w:rPr>
        <w:t>, 14 March 2002</w:t>
      </w:r>
      <w:bookmarkEnd w:id="19"/>
      <w:r w:rsidR="00AF18C1" w:rsidRPr="00041EB5">
        <w:rPr>
          <w:color w:val="595959" w:themeColor="text1" w:themeTint="A6"/>
          <w:sz w:val="20"/>
          <w:lang w:val="sv-SE"/>
        </w:rPr>
        <w:t>.</w:t>
      </w:r>
    </w:p>
  </w:footnote>
  <w:footnote w:id="22">
    <w:p w14:paraId="6510595E" w14:textId="00E763AA" w:rsidR="00E2278D" w:rsidRPr="00187FA7" w:rsidRDefault="00E2278D" w:rsidP="00EB5754">
      <w:pPr>
        <w:pStyle w:val="FootnoteText"/>
        <w:spacing w:line="240" w:lineRule="auto"/>
        <w:rPr>
          <w:sz w:val="20"/>
          <w:lang w:val="sv-SE"/>
        </w:rPr>
      </w:pPr>
      <w:r w:rsidRPr="00187FA7">
        <w:rPr>
          <w:rStyle w:val="FootnoteReference"/>
          <w:sz w:val="20"/>
        </w:rPr>
        <w:footnoteRef/>
      </w:r>
      <w:r w:rsidR="00B42B97" w:rsidRPr="00187FA7">
        <w:rPr>
          <w:sz w:val="20"/>
        </w:rPr>
        <w:t xml:space="preserve"> Finland, Act on the division of the obligations between the Chancellor of Justice of the Government and the Parliamentary Ombudsman</w:t>
      </w:r>
      <w:r w:rsidRPr="00187FA7">
        <w:rPr>
          <w:sz w:val="20"/>
        </w:rPr>
        <w:t xml:space="preserve"> </w:t>
      </w:r>
      <w:r w:rsidR="00B42B97" w:rsidRPr="00187FA7">
        <w:rPr>
          <w:sz w:val="20"/>
        </w:rPr>
        <w:t>(</w:t>
      </w:r>
      <w:hyperlink r:id="rId46" w:history="1">
        <w:r w:rsidR="00B42B97" w:rsidRPr="00187FA7">
          <w:rPr>
            <w:rStyle w:val="Hyperlink"/>
            <w:i/>
            <w:iCs/>
            <w:sz w:val="20"/>
          </w:rPr>
          <w:t>laki valtioneuvoston oikeuskanslerin ja eduskunnan oikeusasiamiehen tehtävien jaosta</w:t>
        </w:r>
      </w:hyperlink>
      <w:r w:rsidR="00B42B97" w:rsidRPr="00187FA7">
        <w:rPr>
          <w:sz w:val="20"/>
        </w:rPr>
        <w:t>/</w:t>
      </w:r>
      <w:hyperlink r:id="rId47" w:history="1">
        <w:r w:rsidR="00B42B97" w:rsidRPr="00187FA7">
          <w:rPr>
            <w:rStyle w:val="Hyperlink"/>
            <w:i/>
            <w:iCs/>
            <w:sz w:val="20"/>
          </w:rPr>
          <w:t>lag om fördelningen av åligganden mellan justitie</w:t>
        </w:r>
        <w:r w:rsidR="00B42B97" w:rsidRPr="00187FA7">
          <w:rPr>
            <w:rStyle w:val="Hyperlink"/>
            <w:i/>
            <w:iCs/>
            <w:sz w:val="20"/>
          </w:rPr>
          <w:softHyphen/>
          <w:t>kans</w:t>
        </w:r>
        <w:r w:rsidR="00B42B97" w:rsidRPr="00187FA7">
          <w:rPr>
            <w:rStyle w:val="Hyperlink"/>
            <w:i/>
            <w:iCs/>
            <w:sz w:val="20"/>
          </w:rPr>
          <w:softHyphen/>
          <w:t>lern i statsrådet och riksdagens justitieombudsman</w:t>
        </w:r>
      </w:hyperlink>
      <w:r w:rsidR="00B42B97" w:rsidRPr="00187FA7">
        <w:rPr>
          <w:sz w:val="20"/>
        </w:rPr>
        <w:t>), Act No. 330/2022</w:t>
      </w:r>
      <w:r w:rsidR="00BE4196" w:rsidRPr="00187FA7">
        <w:rPr>
          <w:sz w:val="20"/>
        </w:rPr>
        <w:t>, 13 May 2022.</w:t>
      </w:r>
    </w:p>
  </w:footnote>
  <w:footnote w:id="23">
    <w:p w14:paraId="20DEEB82" w14:textId="7FEECB17" w:rsidR="00BE4196" w:rsidRPr="00187FA7" w:rsidRDefault="00BE4196">
      <w:pPr>
        <w:pStyle w:val="FootnoteText"/>
        <w:rPr>
          <w:sz w:val="20"/>
          <w:lang w:val="sv-SE"/>
        </w:rPr>
      </w:pPr>
      <w:r w:rsidRPr="00187FA7">
        <w:rPr>
          <w:rStyle w:val="FootnoteReference"/>
          <w:sz w:val="20"/>
        </w:rPr>
        <w:footnoteRef/>
      </w:r>
      <w:r w:rsidRPr="00041EB5">
        <w:rPr>
          <w:sz w:val="20"/>
          <w:lang w:val="sv-SE"/>
        </w:rPr>
        <w:t xml:space="preserve"> Finland, Non-Discrimination Act </w:t>
      </w:r>
      <w:r w:rsidR="00DE604A">
        <w:fldChar w:fldCharType="begin"/>
      </w:r>
      <w:r w:rsidR="00DE604A" w:rsidRPr="00DE604A">
        <w:rPr>
          <w:lang w:val="sv-SE"/>
        </w:rPr>
        <w:instrText>HYPERLINK "https://finlex.fi/fi/laki/alkup/2014/20141325"</w:instrText>
      </w:r>
      <w:r w:rsidR="00DE604A">
        <w:fldChar w:fldCharType="separate"/>
      </w:r>
      <w:r w:rsidRPr="00041EB5">
        <w:rPr>
          <w:rStyle w:val="Hyperlink"/>
          <w:color w:val="595959" w:themeColor="text1" w:themeTint="A6"/>
          <w:sz w:val="20"/>
          <w:lang w:val="sv-SE"/>
        </w:rPr>
        <w:t>(</w:t>
      </w:r>
      <w:r w:rsidRPr="00041EB5">
        <w:rPr>
          <w:rStyle w:val="Hyperlink"/>
          <w:i/>
          <w:iCs/>
          <w:sz w:val="20"/>
          <w:lang w:val="sv-SE"/>
        </w:rPr>
        <w:t>yhdenvertaisuuslaki</w:t>
      </w:r>
      <w:r w:rsidR="00DE604A">
        <w:rPr>
          <w:rStyle w:val="Hyperlink"/>
          <w:i/>
          <w:iCs/>
          <w:sz w:val="20"/>
          <w:lang w:val="sv-SE"/>
        </w:rPr>
        <w:fldChar w:fldCharType="end"/>
      </w:r>
      <w:r w:rsidRPr="00041EB5">
        <w:rPr>
          <w:sz w:val="20"/>
          <w:lang w:val="sv-SE"/>
        </w:rPr>
        <w:t>/</w:t>
      </w:r>
      <w:hyperlink r:id="rId48" w:history="1">
        <w:r w:rsidRPr="00041EB5">
          <w:rPr>
            <w:rStyle w:val="Hyperlink"/>
            <w:i/>
            <w:iCs/>
            <w:sz w:val="20"/>
            <w:lang w:val="sv-SE"/>
          </w:rPr>
          <w:t>diskrimineringslag</w:t>
        </w:r>
      </w:hyperlink>
      <w:r w:rsidRPr="00041EB5">
        <w:rPr>
          <w:sz w:val="20"/>
          <w:lang w:val="sv-SE"/>
        </w:rPr>
        <w:t>), Act No. 1325/2014,</w:t>
      </w:r>
      <w:r w:rsidR="008E099D" w:rsidRPr="00041EB5">
        <w:rPr>
          <w:sz w:val="20"/>
          <w:lang w:val="sv-SE"/>
        </w:rPr>
        <w:t xml:space="preserve"> 30 December 2014 and Equality Act (</w:t>
      </w:r>
      <w:hyperlink r:id="rId49" w:history="1">
        <w:r w:rsidR="008E099D" w:rsidRPr="00041EB5">
          <w:rPr>
            <w:rStyle w:val="Hyperlink"/>
            <w:sz w:val="20"/>
            <w:lang w:val="sv-SE"/>
          </w:rPr>
          <w:t>laki naisten ja miesten välisestä tasa-arvosta</w:t>
        </w:r>
      </w:hyperlink>
      <w:r w:rsidR="008E099D" w:rsidRPr="00041EB5">
        <w:rPr>
          <w:sz w:val="20"/>
          <w:lang w:val="sv-SE"/>
        </w:rPr>
        <w:t>/</w:t>
      </w:r>
      <w:hyperlink r:id="rId50" w:history="1">
        <w:r w:rsidR="008E099D" w:rsidRPr="00041EB5">
          <w:rPr>
            <w:rStyle w:val="Hyperlink"/>
            <w:sz w:val="20"/>
            <w:lang w:val="sv-SE"/>
          </w:rPr>
          <w:t>lag om jämnställdhet mellan kvinnor och män</w:t>
        </w:r>
      </w:hyperlink>
    </w:p>
  </w:footnote>
  <w:footnote w:id="24">
    <w:p w14:paraId="7C1756E9" w14:textId="61BE0FAE" w:rsidR="003F6529" w:rsidRPr="00187FA7" w:rsidRDefault="003F6529">
      <w:pPr>
        <w:pStyle w:val="FootnoteText"/>
        <w:rPr>
          <w:sz w:val="20"/>
          <w:lang w:val="sv-SE"/>
        </w:rPr>
      </w:pPr>
      <w:r w:rsidRPr="00187FA7">
        <w:rPr>
          <w:rStyle w:val="FootnoteReference"/>
          <w:sz w:val="20"/>
        </w:rPr>
        <w:footnoteRef/>
      </w:r>
      <w:r w:rsidRPr="00041EB5">
        <w:rPr>
          <w:sz w:val="20"/>
          <w:lang w:val="sv-SE"/>
        </w:rPr>
        <w:t xml:space="preserve"> Finland, Act on the Non-Discrimination and Equality Tribunal (</w:t>
      </w:r>
      <w:hyperlink r:id="rId51" w:history="1">
        <w:r w:rsidRPr="00041EB5">
          <w:rPr>
            <w:rStyle w:val="Hyperlink"/>
            <w:i/>
            <w:iCs/>
            <w:sz w:val="20"/>
            <w:lang w:val="sv-SE"/>
          </w:rPr>
          <w:t>laki yhdenvertai</w:t>
        </w:r>
        <w:r w:rsidRPr="00041EB5">
          <w:rPr>
            <w:rStyle w:val="Hyperlink"/>
            <w:i/>
            <w:iCs/>
            <w:sz w:val="20"/>
            <w:lang w:val="sv-SE"/>
          </w:rPr>
          <w:softHyphen/>
          <w:t>suus- ja tasa-arvolautakunnasta</w:t>
        </w:r>
      </w:hyperlink>
      <w:r w:rsidRPr="00041EB5">
        <w:rPr>
          <w:sz w:val="20"/>
          <w:lang w:val="sv-SE"/>
        </w:rPr>
        <w:t>/</w:t>
      </w:r>
      <w:hyperlink r:id="rId52" w:history="1">
        <w:r w:rsidRPr="00041EB5">
          <w:rPr>
            <w:rStyle w:val="Hyperlink"/>
            <w:i/>
            <w:iCs/>
            <w:sz w:val="20"/>
            <w:lang w:val="sv-SE"/>
          </w:rPr>
          <w:t>lag om diskriminerings- och jämställd</w:t>
        </w:r>
        <w:r w:rsidRPr="00041EB5">
          <w:rPr>
            <w:rStyle w:val="Hyperlink"/>
            <w:i/>
            <w:iCs/>
            <w:sz w:val="20"/>
            <w:lang w:val="sv-SE"/>
          </w:rPr>
          <w:softHyphen/>
          <w:t>hets</w:t>
        </w:r>
        <w:r w:rsidRPr="00041EB5">
          <w:rPr>
            <w:rStyle w:val="Hyperlink"/>
            <w:i/>
            <w:iCs/>
            <w:sz w:val="20"/>
            <w:lang w:val="sv-SE"/>
          </w:rPr>
          <w:softHyphen/>
          <w:t>nämnden</w:t>
        </w:r>
      </w:hyperlink>
      <w:r w:rsidRPr="00041EB5">
        <w:rPr>
          <w:sz w:val="20"/>
          <w:lang w:val="sv-SE"/>
        </w:rPr>
        <w:t>), Act No. 1327/2014, 30 December 2014.</w:t>
      </w:r>
    </w:p>
  </w:footnote>
  <w:footnote w:id="25">
    <w:p w14:paraId="0801E55D" w14:textId="10111775" w:rsidR="003F6529" w:rsidRPr="00187FA7" w:rsidRDefault="003F6529">
      <w:pPr>
        <w:pStyle w:val="FootnoteText"/>
        <w:rPr>
          <w:sz w:val="20"/>
          <w:lang w:val="sv-SE"/>
        </w:rPr>
      </w:pPr>
      <w:r w:rsidRPr="00187FA7">
        <w:rPr>
          <w:rStyle w:val="FootnoteReference"/>
          <w:sz w:val="20"/>
        </w:rPr>
        <w:footnoteRef/>
      </w:r>
      <w:r w:rsidRPr="00187FA7">
        <w:rPr>
          <w:sz w:val="20"/>
        </w:rPr>
        <w:t xml:space="preserve"> Finland, Administrative Procedure Act (</w:t>
      </w:r>
      <w:hyperlink r:id="rId53" w:history="1">
        <w:r w:rsidRPr="00187FA7">
          <w:rPr>
            <w:rStyle w:val="Hyperlink"/>
            <w:i/>
            <w:iCs/>
            <w:sz w:val="20"/>
          </w:rPr>
          <w:t>hallintolaki</w:t>
        </w:r>
      </w:hyperlink>
      <w:r w:rsidRPr="00187FA7">
        <w:rPr>
          <w:sz w:val="20"/>
        </w:rPr>
        <w:t>/</w:t>
      </w:r>
      <w:hyperlink r:id="rId54" w:history="1">
        <w:r w:rsidRPr="00187FA7">
          <w:rPr>
            <w:rStyle w:val="Hyperlink"/>
            <w:i/>
            <w:iCs/>
            <w:sz w:val="20"/>
          </w:rPr>
          <w:t>förvaltningslag</w:t>
        </w:r>
      </w:hyperlink>
      <w:r w:rsidRPr="00187FA7">
        <w:rPr>
          <w:sz w:val="20"/>
        </w:rPr>
        <w:t>), Act No. 434/2003, 6 June 2003.</w:t>
      </w:r>
    </w:p>
  </w:footnote>
  <w:footnote w:id="26">
    <w:p w14:paraId="50B21F79" w14:textId="3F89C38C" w:rsidR="00904182" w:rsidRPr="00187FA7" w:rsidRDefault="00904182" w:rsidP="00EA405E">
      <w:pPr>
        <w:pStyle w:val="FootnoteText"/>
        <w:jc w:val="both"/>
        <w:rPr>
          <w:sz w:val="20"/>
          <w:lang w:val="en-US"/>
        </w:rPr>
      </w:pPr>
      <w:r w:rsidRPr="00187FA7">
        <w:rPr>
          <w:rStyle w:val="FootnoteReference"/>
          <w:sz w:val="20"/>
        </w:rPr>
        <w:footnoteRef/>
      </w:r>
      <w:r w:rsidRPr="00187FA7">
        <w:rPr>
          <w:sz w:val="20"/>
          <w:lang w:val="en-US"/>
        </w:rPr>
        <w:t xml:space="preserve"> Finland, Ministry of Justice</w:t>
      </w:r>
      <w:r w:rsidR="00935840" w:rsidRPr="00187FA7">
        <w:rPr>
          <w:sz w:val="20"/>
          <w:lang w:val="en-US"/>
        </w:rPr>
        <w:t xml:space="preserve"> (</w:t>
      </w:r>
      <w:r w:rsidR="00935840" w:rsidRPr="00187FA7">
        <w:rPr>
          <w:i/>
          <w:iCs/>
          <w:sz w:val="20"/>
          <w:lang w:val="en-US"/>
        </w:rPr>
        <w:t>oikeusministeriö</w:t>
      </w:r>
      <w:r w:rsidR="00935840" w:rsidRPr="00187FA7">
        <w:rPr>
          <w:sz w:val="20"/>
          <w:lang w:val="en-US"/>
        </w:rPr>
        <w:t>/</w:t>
      </w:r>
      <w:r w:rsidR="00935840" w:rsidRPr="00187FA7">
        <w:rPr>
          <w:i/>
          <w:iCs/>
          <w:sz w:val="20"/>
          <w:lang w:val="en-US"/>
        </w:rPr>
        <w:t>justitieministeriet</w:t>
      </w:r>
      <w:r w:rsidR="00935840" w:rsidRPr="00187FA7">
        <w:rPr>
          <w:sz w:val="20"/>
          <w:lang w:val="en-US"/>
        </w:rPr>
        <w:t>)</w:t>
      </w:r>
      <w:r w:rsidRPr="00187FA7">
        <w:rPr>
          <w:sz w:val="20"/>
          <w:lang w:val="en-US"/>
        </w:rPr>
        <w:t>, Vaalit.fi website, Accessibility statement (</w:t>
      </w:r>
      <w:hyperlink r:id="rId55" w:history="1">
        <w:r w:rsidRPr="00187FA7">
          <w:rPr>
            <w:rStyle w:val="Hyperlink"/>
            <w:i/>
            <w:iCs/>
            <w:sz w:val="20"/>
            <w:lang w:val="en-US"/>
          </w:rPr>
          <w:t>saavutettavuusseloste</w:t>
        </w:r>
      </w:hyperlink>
      <w:r w:rsidRPr="00187FA7">
        <w:rPr>
          <w:sz w:val="20"/>
          <w:lang w:val="en-US"/>
        </w:rPr>
        <w:t>/</w:t>
      </w:r>
      <w:hyperlink r:id="rId56" w:history="1">
        <w:r w:rsidRPr="00187FA7">
          <w:rPr>
            <w:rStyle w:val="Hyperlink"/>
            <w:i/>
            <w:iCs/>
            <w:sz w:val="20"/>
            <w:lang w:val="en-US"/>
          </w:rPr>
          <w:t>tillgänglighetsutlåtande</w:t>
        </w:r>
      </w:hyperlink>
      <w:r w:rsidRPr="00187FA7">
        <w:rPr>
          <w:sz w:val="20"/>
          <w:lang w:val="en-US"/>
        </w:rPr>
        <w:t>)</w:t>
      </w:r>
      <w:r w:rsidR="00875A9F" w:rsidRPr="00187FA7">
        <w:rPr>
          <w:sz w:val="20"/>
          <w:lang w:val="en-US"/>
        </w:rPr>
        <w:t>, accessed on 14 December 2023</w:t>
      </w:r>
      <w:r w:rsidR="00935840" w:rsidRPr="00187FA7">
        <w:rPr>
          <w:sz w:val="20"/>
          <w:lang w:val="en-US"/>
        </w:rPr>
        <w:t xml:space="preserve"> and information obtained from the Ministry of Justice via e-mail on 1 December 2023.</w:t>
      </w:r>
    </w:p>
  </w:footnote>
  <w:footnote w:id="27">
    <w:p w14:paraId="4FD4314E" w14:textId="343AC2FE" w:rsidR="002D66FE" w:rsidRPr="00187FA7" w:rsidRDefault="002D66FE" w:rsidP="00EA405E">
      <w:pPr>
        <w:pStyle w:val="FootnoteText"/>
        <w:jc w:val="both"/>
        <w:rPr>
          <w:sz w:val="20"/>
        </w:rPr>
      </w:pPr>
      <w:r w:rsidRPr="00187FA7">
        <w:rPr>
          <w:rStyle w:val="FootnoteReference"/>
          <w:sz w:val="20"/>
        </w:rPr>
        <w:footnoteRef/>
      </w:r>
      <w:r w:rsidRPr="00187FA7">
        <w:rPr>
          <w:sz w:val="20"/>
        </w:rPr>
        <w:t xml:space="preserve"> Finland, Parliamentary Ombudsman</w:t>
      </w:r>
      <w:r w:rsidR="00875A9F" w:rsidRPr="00187FA7">
        <w:rPr>
          <w:sz w:val="20"/>
        </w:rPr>
        <w:t xml:space="preserve"> </w:t>
      </w:r>
      <w:r w:rsidR="00935840" w:rsidRPr="00187FA7">
        <w:rPr>
          <w:sz w:val="20"/>
        </w:rPr>
        <w:t>(</w:t>
      </w:r>
      <w:r w:rsidR="00935840" w:rsidRPr="00187FA7">
        <w:rPr>
          <w:i/>
          <w:iCs/>
          <w:sz w:val="20"/>
        </w:rPr>
        <w:t>oikeusasiamies</w:t>
      </w:r>
      <w:r w:rsidR="00935840" w:rsidRPr="00187FA7">
        <w:rPr>
          <w:sz w:val="20"/>
        </w:rPr>
        <w:t>/</w:t>
      </w:r>
      <w:r w:rsidR="00935840" w:rsidRPr="00187FA7">
        <w:rPr>
          <w:i/>
          <w:iCs/>
          <w:sz w:val="20"/>
        </w:rPr>
        <w:t>justitieombudsmannen</w:t>
      </w:r>
      <w:r w:rsidR="00935840" w:rsidRPr="00187FA7">
        <w:rPr>
          <w:sz w:val="20"/>
        </w:rPr>
        <w:t xml:space="preserve">) </w:t>
      </w:r>
      <w:r w:rsidR="00875A9F" w:rsidRPr="00187FA7">
        <w:rPr>
          <w:sz w:val="20"/>
        </w:rPr>
        <w:t>website</w:t>
      </w:r>
      <w:r w:rsidRPr="00187FA7">
        <w:rPr>
          <w:sz w:val="20"/>
        </w:rPr>
        <w:t>, Accessibility statement (</w:t>
      </w:r>
      <w:hyperlink r:id="rId57" w:history="1">
        <w:r w:rsidRPr="00187FA7">
          <w:rPr>
            <w:rStyle w:val="Hyperlink"/>
            <w:i/>
            <w:iCs/>
            <w:sz w:val="20"/>
          </w:rPr>
          <w:t>saavutettavuusseloste</w:t>
        </w:r>
      </w:hyperlink>
      <w:r w:rsidRPr="00187FA7">
        <w:rPr>
          <w:sz w:val="20"/>
        </w:rPr>
        <w:t>/</w:t>
      </w:r>
      <w:hyperlink r:id="rId58" w:history="1">
        <w:r w:rsidRPr="00187FA7">
          <w:rPr>
            <w:rStyle w:val="Hyperlink"/>
            <w:i/>
            <w:iCs/>
            <w:sz w:val="20"/>
          </w:rPr>
          <w:t>tillgänglighetsutlåtande</w:t>
        </w:r>
      </w:hyperlink>
      <w:r w:rsidRPr="00187FA7">
        <w:rPr>
          <w:sz w:val="20"/>
        </w:rPr>
        <w:t>)</w:t>
      </w:r>
      <w:r w:rsidR="00875A9F" w:rsidRPr="00187FA7">
        <w:rPr>
          <w:sz w:val="20"/>
        </w:rPr>
        <w:t>, accessed on 14 December 2023.</w:t>
      </w:r>
    </w:p>
  </w:footnote>
  <w:footnote w:id="28">
    <w:p w14:paraId="635B091A" w14:textId="4C94E3F3" w:rsidR="00256A77" w:rsidRPr="00187FA7" w:rsidRDefault="00256A77" w:rsidP="00EA405E">
      <w:pPr>
        <w:pStyle w:val="FootnoteText"/>
        <w:jc w:val="both"/>
        <w:rPr>
          <w:sz w:val="20"/>
          <w:lang w:val="en-US"/>
        </w:rPr>
      </w:pPr>
      <w:r w:rsidRPr="00187FA7">
        <w:rPr>
          <w:rStyle w:val="FootnoteReference"/>
          <w:sz w:val="20"/>
        </w:rPr>
        <w:footnoteRef/>
      </w:r>
      <w:r w:rsidRPr="00187FA7">
        <w:rPr>
          <w:sz w:val="20"/>
          <w:lang w:val="en-US"/>
        </w:rPr>
        <w:t xml:space="preserve"> Finland, information obtained from the Office of the Parliamentary Ombudsman (</w:t>
      </w:r>
      <w:r w:rsidRPr="00187FA7">
        <w:rPr>
          <w:i/>
          <w:iCs/>
          <w:sz w:val="20"/>
          <w:lang w:val="en-US"/>
        </w:rPr>
        <w:t>oikeusasiamies</w:t>
      </w:r>
      <w:r w:rsidRPr="00187FA7">
        <w:rPr>
          <w:sz w:val="20"/>
          <w:lang w:val="en-US"/>
        </w:rPr>
        <w:t>/</w:t>
      </w:r>
      <w:r w:rsidRPr="00187FA7">
        <w:rPr>
          <w:i/>
          <w:iCs/>
          <w:sz w:val="20"/>
          <w:lang w:val="en-US"/>
        </w:rPr>
        <w:t>justitieombudsmannen</w:t>
      </w:r>
      <w:r w:rsidRPr="00187FA7">
        <w:rPr>
          <w:sz w:val="20"/>
          <w:lang w:val="en-US"/>
        </w:rPr>
        <w:t>) via e-mail on 25 October 2023.</w:t>
      </w:r>
    </w:p>
  </w:footnote>
  <w:footnote w:id="29">
    <w:p w14:paraId="50A2E2B2" w14:textId="764F3599" w:rsidR="00FE0D54" w:rsidRPr="00187FA7" w:rsidRDefault="00FE0D54" w:rsidP="00EA405E">
      <w:pPr>
        <w:pStyle w:val="FootnoteText"/>
        <w:jc w:val="both"/>
        <w:rPr>
          <w:sz w:val="20"/>
          <w:lang w:val="en-US"/>
        </w:rPr>
      </w:pPr>
      <w:r w:rsidRPr="00187FA7">
        <w:rPr>
          <w:rStyle w:val="FootnoteReference"/>
          <w:sz w:val="20"/>
        </w:rPr>
        <w:footnoteRef/>
      </w:r>
      <w:r w:rsidR="00875A9F" w:rsidRPr="00187FA7">
        <w:rPr>
          <w:sz w:val="20"/>
          <w:lang w:val="en-US"/>
        </w:rPr>
        <w:t xml:space="preserve"> </w:t>
      </w:r>
      <w:r w:rsidRPr="00187FA7">
        <w:rPr>
          <w:sz w:val="20"/>
          <w:lang w:val="en-US"/>
        </w:rPr>
        <w:t>Finland, National Non-Discrimination and Equality Tribunal (</w:t>
      </w:r>
      <w:r w:rsidRPr="00187FA7">
        <w:rPr>
          <w:i/>
          <w:iCs/>
          <w:sz w:val="20"/>
          <w:lang w:val="en-US"/>
        </w:rPr>
        <w:t>yhdenvertaisuus- ja tasa-arvolautakunta</w:t>
      </w:r>
      <w:r w:rsidRPr="00187FA7">
        <w:rPr>
          <w:sz w:val="20"/>
          <w:lang w:val="en-US"/>
        </w:rPr>
        <w:t>/</w:t>
      </w:r>
      <w:r w:rsidRPr="00187FA7">
        <w:rPr>
          <w:i/>
          <w:iCs/>
          <w:sz w:val="20"/>
          <w:lang w:val="en-US"/>
        </w:rPr>
        <w:t>diskriminerings- och jämställdhetsnämnden</w:t>
      </w:r>
      <w:r w:rsidRPr="00187FA7">
        <w:rPr>
          <w:sz w:val="20"/>
          <w:lang w:val="en-US"/>
        </w:rPr>
        <w:t>)</w:t>
      </w:r>
      <w:r w:rsidR="00935840" w:rsidRPr="00187FA7">
        <w:rPr>
          <w:sz w:val="20"/>
          <w:lang w:val="en-US"/>
        </w:rPr>
        <w:t xml:space="preserve"> website, Accessibility statement</w:t>
      </w:r>
      <w:r w:rsidRPr="00187FA7">
        <w:rPr>
          <w:sz w:val="20"/>
          <w:lang w:val="en-US"/>
        </w:rPr>
        <w:t xml:space="preserve"> </w:t>
      </w:r>
      <w:r w:rsidR="00935840" w:rsidRPr="00187FA7">
        <w:rPr>
          <w:sz w:val="20"/>
          <w:lang w:val="en-US"/>
        </w:rPr>
        <w:t>(</w:t>
      </w:r>
      <w:hyperlink r:id="rId59" w:history="1">
        <w:r w:rsidRPr="00187FA7">
          <w:rPr>
            <w:rStyle w:val="Hyperlink"/>
            <w:i/>
            <w:iCs/>
            <w:sz w:val="20"/>
            <w:lang w:val="en-US"/>
          </w:rPr>
          <w:t>saavutetta</w:t>
        </w:r>
        <w:r w:rsidR="00875A9F" w:rsidRPr="00187FA7">
          <w:rPr>
            <w:rStyle w:val="Hyperlink"/>
            <w:i/>
            <w:iCs/>
            <w:sz w:val="20"/>
            <w:lang w:val="en-US"/>
          </w:rPr>
          <w:softHyphen/>
        </w:r>
        <w:r w:rsidRPr="00187FA7">
          <w:rPr>
            <w:rStyle w:val="Hyperlink"/>
            <w:i/>
            <w:iCs/>
            <w:sz w:val="20"/>
            <w:lang w:val="en-US"/>
          </w:rPr>
          <w:t>vuus</w:t>
        </w:r>
        <w:r w:rsidR="00875A9F" w:rsidRPr="00187FA7">
          <w:rPr>
            <w:rStyle w:val="Hyperlink"/>
            <w:i/>
            <w:iCs/>
            <w:sz w:val="20"/>
            <w:lang w:val="en-US"/>
          </w:rPr>
          <w:softHyphen/>
        </w:r>
        <w:r w:rsidRPr="00187FA7">
          <w:rPr>
            <w:rStyle w:val="Hyperlink"/>
            <w:i/>
            <w:iCs/>
            <w:sz w:val="20"/>
            <w:lang w:val="en-US"/>
          </w:rPr>
          <w:t>seloste</w:t>
        </w:r>
      </w:hyperlink>
      <w:r w:rsidRPr="00187FA7">
        <w:rPr>
          <w:sz w:val="20"/>
          <w:lang w:val="en-US"/>
        </w:rPr>
        <w:t>/</w:t>
      </w:r>
      <w:hyperlink r:id="rId60" w:history="1">
        <w:r w:rsidRPr="00187FA7">
          <w:rPr>
            <w:rStyle w:val="Hyperlink"/>
            <w:i/>
            <w:iCs/>
            <w:sz w:val="20"/>
            <w:lang w:val="en-US"/>
          </w:rPr>
          <w:t>tillgänglighetsutlåtande</w:t>
        </w:r>
      </w:hyperlink>
      <w:r w:rsidRPr="00187FA7">
        <w:rPr>
          <w:sz w:val="20"/>
          <w:lang w:val="en-US"/>
        </w:rPr>
        <w:t>)</w:t>
      </w:r>
      <w:r w:rsidR="00935840" w:rsidRPr="00187FA7">
        <w:rPr>
          <w:sz w:val="20"/>
          <w:lang w:val="en-US"/>
        </w:rPr>
        <w:t>, accessed on 14 December 2023.</w:t>
      </w:r>
    </w:p>
  </w:footnote>
  <w:footnote w:id="30">
    <w:p w14:paraId="0F5954DB" w14:textId="01DBE92D" w:rsidR="005448AF" w:rsidRPr="00187FA7" w:rsidRDefault="005448AF" w:rsidP="00EA405E">
      <w:pPr>
        <w:pStyle w:val="FootnoteText"/>
        <w:jc w:val="both"/>
        <w:rPr>
          <w:sz w:val="20"/>
          <w:lang w:val="fi-FI"/>
        </w:rPr>
      </w:pPr>
      <w:r w:rsidRPr="00187FA7">
        <w:rPr>
          <w:rStyle w:val="FootnoteReference"/>
          <w:sz w:val="20"/>
        </w:rPr>
        <w:footnoteRef/>
      </w:r>
      <w:r w:rsidRPr="00187FA7">
        <w:rPr>
          <w:sz w:val="20"/>
          <w:lang w:val="fi-FI"/>
        </w:rPr>
        <w:t xml:space="preserve"> </w:t>
      </w:r>
      <w:r w:rsidR="003016BA" w:rsidRPr="00187FA7">
        <w:rPr>
          <w:sz w:val="20"/>
          <w:lang w:val="fi-FI"/>
        </w:rPr>
        <w:t xml:space="preserve">OCSE, ODIHR, </w:t>
      </w:r>
      <w:hyperlink r:id="rId61" w:history="1">
        <w:r w:rsidR="003016BA" w:rsidRPr="00017BC0">
          <w:rPr>
            <w:rStyle w:val="Hyperlink"/>
            <w:i/>
            <w:iCs/>
            <w:sz w:val="20"/>
            <w:lang w:val="fi-FI"/>
          </w:rPr>
          <w:t>Republic of Finland, Parliamentary Elections 2 April 2023, ODIHR Needs assessment mission report 25</w:t>
        </w:r>
        <w:r w:rsidR="003016BA" w:rsidRPr="00017BC0">
          <w:rPr>
            <w:rStyle w:val="Hyperlink"/>
            <w:rFonts w:cs="Calibri"/>
            <w:i/>
            <w:iCs/>
            <w:sz w:val="20"/>
            <w:lang w:val="fi-FI"/>
          </w:rPr>
          <w:t>−</w:t>
        </w:r>
        <w:r w:rsidR="003016BA" w:rsidRPr="00017BC0">
          <w:rPr>
            <w:rStyle w:val="Hyperlink"/>
            <w:i/>
            <w:iCs/>
            <w:sz w:val="20"/>
            <w:lang w:val="fi-FI"/>
          </w:rPr>
          <w:t>27 January 2023</w:t>
        </w:r>
      </w:hyperlink>
      <w:r w:rsidR="003016BA" w:rsidRPr="00187FA7">
        <w:rPr>
          <w:sz w:val="20"/>
          <w:lang w:val="fi-FI"/>
        </w:rPr>
        <w:t>, Warsaw, 16 March 2023, p. 2.</w:t>
      </w:r>
    </w:p>
  </w:footnote>
  <w:footnote w:id="31">
    <w:p w14:paraId="22C425BD" w14:textId="35270BD5" w:rsidR="00066630" w:rsidRPr="00187FA7" w:rsidRDefault="00066630" w:rsidP="002B3544">
      <w:pPr>
        <w:pStyle w:val="FRABodyText"/>
        <w:rPr>
          <w:i/>
          <w:iCs/>
          <w:lang w:val="fi-FI"/>
        </w:rPr>
      </w:pPr>
      <w:r w:rsidRPr="00187FA7">
        <w:rPr>
          <w:rStyle w:val="FootnoteReference"/>
          <w:sz w:val="20"/>
          <w:szCs w:val="20"/>
        </w:rPr>
        <w:footnoteRef/>
      </w:r>
      <w:r w:rsidR="00935840" w:rsidRPr="00187FA7">
        <w:rPr>
          <w:lang w:val="fi-FI"/>
        </w:rPr>
        <w:t xml:space="preserve"> </w:t>
      </w:r>
      <w:r w:rsidR="00935840" w:rsidRPr="00EB5754">
        <w:rPr>
          <w:lang w:val="fi-FI"/>
        </w:rPr>
        <w:t xml:space="preserve">Finland, </w:t>
      </w:r>
      <w:r w:rsidR="00935840" w:rsidRPr="00041EB5">
        <w:rPr>
          <w:lang w:val="fi-FI"/>
        </w:rPr>
        <w:t>National Non-Discrimination and Equality Tribunal (</w:t>
      </w:r>
      <w:r w:rsidR="00935840" w:rsidRPr="00017BC0">
        <w:rPr>
          <w:i/>
          <w:iCs/>
          <w:lang w:val="fi-FI"/>
        </w:rPr>
        <w:t>yhdenvertaisuus- ja tasa-arvolautakunta</w:t>
      </w:r>
      <w:r w:rsidR="00935840" w:rsidRPr="00041EB5">
        <w:rPr>
          <w:lang w:val="fi-FI"/>
        </w:rPr>
        <w:t>/</w:t>
      </w:r>
      <w:r w:rsidR="00935840" w:rsidRPr="00017BC0">
        <w:rPr>
          <w:i/>
          <w:iCs/>
          <w:lang w:val="fi-FI"/>
        </w:rPr>
        <w:t>diskriminerings- och jämställd</w:t>
      </w:r>
      <w:r w:rsidR="00935840" w:rsidRPr="00017BC0">
        <w:rPr>
          <w:i/>
          <w:iCs/>
          <w:lang w:val="fi-FI"/>
        </w:rPr>
        <w:softHyphen/>
        <w:t>hets</w:t>
      </w:r>
      <w:r w:rsidR="00935840" w:rsidRPr="00017BC0">
        <w:rPr>
          <w:i/>
          <w:iCs/>
          <w:lang w:val="fi-FI"/>
        </w:rPr>
        <w:softHyphen/>
        <w:t>nämnden</w:t>
      </w:r>
      <w:r w:rsidR="00935840" w:rsidRPr="00041EB5">
        <w:rPr>
          <w:lang w:val="fi-FI"/>
        </w:rPr>
        <w:t>), Case</w:t>
      </w:r>
      <w:r w:rsidR="00FE6F8E" w:rsidRPr="00041EB5">
        <w:rPr>
          <w:lang w:val="fi-FI"/>
        </w:rPr>
        <w:t>s website (</w:t>
      </w:r>
      <w:hyperlink r:id="rId62" w:history="1">
        <w:r w:rsidR="00FE6F8E" w:rsidRPr="00041EB5">
          <w:rPr>
            <w:rStyle w:val="Hyperlink"/>
            <w:color w:val="2E74B5" w:themeColor="accent5" w:themeShade="BF"/>
            <w:sz w:val="20"/>
            <w:szCs w:val="20"/>
            <w:lang w:val="fi-FI"/>
          </w:rPr>
          <w:t>Tapausselosteet</w:t>
        </w:r>
      </w:hyperlink>
      <w:r w:rsidR="00FE6F8E" w:rsidRPr="00041EB5">
        <w:rPr>
          <w:lang w:val="fi-FI"/>
        </w:rPr>
        <w:t>),</w:t>
      </w:r>
      <w:r w:rsidR="00FE6F8E" w:rsidRPr="00187FA7">
        <w:rPr>
          <w:lang w:val="fi-FI"/>
        </w:rPr>
        <w:t xml:space="preserve"> </w:t>
      </w:r>
      <w:r w:rsidR="00FE6F8E" w:rsidRPr="00187FA7">
        <w:rPr>
          <w:rStyle w:val="Hyperlink"/>
          <w:color w:val="595959" w:themeColor="text1" w:themeTint="A6"/>
          <w:sz w:val="20"/>
          <w:szCs w:val="20"/>
          <w:u w:val="none"/>
          <w:lang w:val="fi-FI"/>
        </w:rPr>
        <w:t>accessed on 14 December 2023.</w:t>
      </w:r>
    </w:p>
    <w:p w14:paraId="6B006DA5" w14:textId="77777777" w:rsidR="00D12A2A" w:rsidRPr="00187FA7" w:rsidRDefault="00D12A2A" w:rsidP="002B3544">
      <w:pPr>
        <w:pStyle w:val="FRABodyText"/>
        <w:rPr>
          <w:lang w:val="fi-FI"/>
        </w:rPr>
      </w:pPr>
    </w:p>
  </w:footnote>
  <w:footnote w:id="32">
    <w:p w14:paraId="05C22A21" w14:textId="4420CEB5" w:rsidR="00D12A2A" w:rsidRPr="00187FA7" w:rsidRDefault="00D12A2A" w:rsidP="006E228E">
      <w:pPr>
        <w:pStyle w:val="FootnoteText"/>
        <w:jc w:val="both"/>
        <w:rPr>
          <w:b/>
          <w:bCs/>
          <w:sz w:val="20"/>
          <w:lang w:val="sv-FI"/>
        </w:rPr>
      </w:pPr>
      <w:r w:rsidRPr="00187FA7">
        <w:rPr>
          <w:rStyle w:val="FootnoteReference"/>
          <w:sz w:val="20"/>
        </w:rPr>
        <w:footnoteRef/>
      </w:r>
      <w:r w:rsidR="00F570A3" w:rsidRPr="00187FA7">
        <w:rPr>
          <w:i/>
          <w:iCs/>
          <w:sz w:val="20"/>
          <w:lang w:val="fi-FI"/>
        </w:rPr>
        <w:t xml:space="preserve"> </w:t>
      </w:r>
      <w:r w:rsidR="00F570A3" w:rsidRPr="00187FA7">
        <w:rPr>
          <w:sz w:val="20"/>
          <w:lang w:val="fi-FI"/>
        </w:rPr>
        <w:t>Finland</w:t>
      </w:r>
      <w:bookmarkStart w:id="28" w:name="_Hlk153468969"/>
      <w:r w:rsidR="00F570A3" w:rsidRPr="00187FA7">
        <w:rPr>
          <w:i/>
          <w:iCs/>
          <w:sz w:val="20"/>
          <w:lang w:val="fi-FI"/>
        </w:rPr>
        <w:t xml:space="preserve">, </w:t>
      </w:r>
      <w:r w:rsidR="00F570A3" w:rsidRPr="00041EB5">
        <w:rPr>
          <w:sz w:val="20"/>
          <w:lang w:val="fi-FI"/>
        </w:rPr>
        <w:t>National Non-Discrimination and Equality Tribunal (</w:t>
      </w:r>
      <w:r w:rsidR="00F570A3" w:rsidRPr="00041EB5">
        <w:rPr>
          <w:i/>
          <w:iCs/>
          <w:sz w:val="20"/>
          <w:lang w:val="fi-FI"/>
        </w:rPr>
        <w:t>yhdenvertaisuus- ja tasa-arvolautakunta</w:t>
      </w:r>
      <w:r w:rsidR="00F570A3" w:rsidRPr="00041EB5">
        <w:rPr>
          <w:sz w:val="20"/>
          <w:lang w:val="fi-FI"/>
        </w:rPr>
        <w:t>/</w:t>
      </w:r>
      <w:r w:rsidR="00F570A3" w:rsidRPr="00041EB5">
        <w:rPr>
          <w:i/>
          <w:iCs/>
          <w:sz w:val="20"/>
          <w:lang w:val="fi-FI"/>
        </w:rPr>
        <w:t>diskriminerings- och jämställd</w:t>
      </w:r>
      <w:r w:rsidR="00F570A3" w:rsidRPr="00041EB5">
        <w:rPr>
          <w:i/>
          <w:iCs/>
          <w:sz w:val="20"/>
          <w:lang w:val="fi-FI"/>
        </w:rPr>
        <w:softHyphen/>
        <w:t>hets</w:t>
      </w:r>
      <w:r w:rsidR="00F570A3" w:rsidRPr="00041EB5">
        <w:rPr>
          <w:i/>
          <w:iCs/>
          <w:sz w:val="20"/>
          <w:lang w:val="fi-FI"/>
        </w:rPr>
        <w:softHyphen/>
        <w:t>nämnden),</w:t>
      </w:r>
      <w:r w:rsidRPr="00187FA7">
        <w:rPr>
          <w:sz w:val="20"/>
          <w:lang w:val="fi-FI"/>
        </w:rPr>
        <w:t xml:space="preserve"> </w:t>
      </w:r>
      <w:r w:rsidR="00DE604A">
        <w:fldChar w:fldCharType="begin"/>
      </w:r>
      <w:r w:rsidR="00DE604A" w:rsidRPr="00DE604A">
        <w:rPr>
          <w:lang w:val="fi-FI"/>
        </w:rPr>
        <w:instrText>HYPERLINK "https://www.yvtltk.fi/material/collections/20220907113251/HmF6XI0m1/Tapausseloste_YVTltk_3xx_2018_oman_avustajan_kayttaminen_aanestamisessa.pdf"</w:instrText>
      </w:r>
      <w:r w:rsidR="00DE604A">
        <w:fldChar w:fldCharType="separate"/>
      </w:r>
      <w:r w:rsidR="006E228E" w:rsidRPr="00187FA7">
        <w:rPr>
          <w:rStyle w:val="Hyperlink"/>
          <w:i/>
          <w:iCs/>
          <w:sz w:val="20"/>
          <w:lang w:val="sv-FI"/>
        </w:rPr>
        <w:t>Oman avustajan käyttäminen äänestämisessä</w:t>
      </w:r>
      <w:r w:rsidR="00DE604A">
        <w:rPr>
          <w:rStyle w:val="Hyperlink"/>
          <w:i/>
          <w:iCs/>
          <w:sz w:val="20"/>
          <w:lang w:val="sv-FI"/>
        </w:rPr>
        <w:fldChar w:fldCharType="end"/>
      </w:r>
      <w:r w:rsidR="006E228E" w:rsidRPr="00187FA7">
        <w:rPr>
          <w:sz w:val="20"/>
          <w:lang w:val="sv-FI"/>
        </w:rPr>
        <w:t xml:space="preserve">, </w:t>
      </w:r>
      <w:r w:rsidR="00F570A3" w:rsidRPr="00187FA7">
        <w:rPr>
          <w:sz w:val="20"/>
          <w:lang w:val="fi-FI"/>
        </w:rPr>
        <w:t xml:space="preserve">Case No. </w:t>
      </w:r>
      <w:bookmarkEnd w:id="28"/>
      <w:r w:rsidR="00F570A3" w:rsidRPr="00187FA7">
        <w:rPr>
          <w:sz w:val="20"/>
          <w:lang w:val="fi-FI"/>
        </w:rPr>
        <w:t xml:space="preserve">3xx/2018. </w:t>
      </w:r>
    </w:p>
  </w:footnote>
  <w:footnote w:id="33">
    <w:p w14:paraId="2FEAD6E9" w14:textId="4362CE60" w:rsidR="00066630" w:rsidRPr="00187FA7" w:rsidRDefault="00066630" w:rsidP="00EA405E">
      <w:pPr>
        <w:pStyle w:val="FootnoteText"/>
        <w:jc w:val="both"/>
        <w:rPr>
          <w:sz w:val="20"/>
          <w:lang w:val="sv-FI"/>
        </w:rPr>
      </w:pPr>
      <w:r w:rsidRPr="00187FA7">
        <w:rPr>
          <w:rStyle w:val="FootnoteReference"/>
          <w:sz w:val="20"/>
        </w:rPr>
        <w:footnoteRef/>
      </w:r>
      <w:r w:rsidRPr="00187FA7">
        <w:rPr>
          <w:sz w:val="20"/>
          <w:lang w:val="sv-FI"/>
        </w:rPr>
        <w:t xml:space="preserve"> Finland,</w:t>
      </w:r>
      <w:r w:rsidR="00F570A3" w:rsidRPr="00187FA7">
        <w:rPr>
          <w:i/>
          <w:iCs/>
          <w:color w:val="auto"/>
          <w:sz w:val="20"/>
          <w:lang w:val="fi-FI"/>
        </w:rPr>
        <w:t xml:space="preserve"> </w:t>
      </w:r>
      <w:r w:rsidR="00F570A3" w:rsidRPr="00041EB5">
        <w:rPr>
          <w:sz w:val="20"/>
          <w:lang w:val="sv-FI"/>
        </w:rPr>
        <w:t>National Non-Discrimination and Equality Tribunal (</w:t>
      </w:r>
      <w:r w:rsidR="00F570A3" w:rsidRPr="00041EB5">
        <w:rPr>
          <w:i/>
          <w:iCs/>
          <w:sz w:val="20"/>
          <w:lang w:val="sv-FI"/>
        </w:rPr>
        <w:t>yhdenvertaisuus- ja tasa-arvolautakunta</w:t>
      </w:r>
      <w:r w:rsidR="00F570A3" w:rsidRPr="00041EB5">
        <w:rPr>
          <w:sz w:val="20"/>
          <w:lang w:val="sv-FI"/>
        </w:rPr>
        <w:t>/</w:t>
      </w:r>
      <w:r w:rsidR="00F570A3" w:rsidRPr="00041EB5">
        <w:rPr>
          <w:i/>
          <w:iCs/>
          <w:sz w:val="20"/>
          <w:lang w:val="sv-FI"/>
        </w:rPr>
        <w:t>diskriminerings- och jämställd</w:t>
      </w:r>
      <w:r w:rsidR="00F570A3" w:rsidRPr="00041EB5">
        <w:rPr>
          <w:i/>
          <w:iCs/>
          <w:sz w:val="20"/>
          <w:lang w:val="sv-FI"/>
        </w:rPr>
        <w:softHyphen/>
        <w:t>hets</w:t>
      </w:r>
      <w:r w:rsidR="00F570A3" w:rsidRPr="00041EB5">
        <w:rPr>
          <w:i/>
          <w:iCs/>
          <w:sz w:val="20"/>
          <w:lang w:val="sv-FI"/>
        </w:rPr>
        <w:softHyphen/>
        <w:t>nämnden),</w:t>
      </w:r>
      <w:r w:rsidR="00F570A3" w:rsidRPr="00187FA7">
        <w:rPr>
          <w:sz w:val="20"/>
          <w:lang w:val="fi-FI"/>
        </w:rPr>
        <w:t xml:space="preserve"> </w:t>
      </w:r>
      <w:hyperlink r:id="rId63" w:history="1">
        <w:r w:rsidR="006E228E" w:rsidRPr="00187FA7">
          <w:rPr>
            <w:rStyle w:val="Hyperlink"/>
            <w:i/>
            <w:iCs/>
            <w:sz w:val="20"/>
            <w:lang w:val="fi-FI"/>
          </w:rPr>
          <w:t>Vaalikampanjatilan esteettömyys</w:t>
        </w:r>
      </w:hyperlink>
      <w:r w:rsidR="006E228E" w:rsidRPr="00187FA7">
        <w:rPr>
          <w:sz w:val="20"/>
          <w:lang w:val="fi-FI"/>
        </w:rPr>
        <w:t xml:space="preserve">, </w:t>
      </w:r>
      <w:r w:rsidR="00F570A3" w:rsidRPr="00187FA7">
        <w:rPr>
          <w:sz w:val="20"/>
          <w:lang w:val="fi-FI"/>
        </w:rPr>
        <w:t xml:space="preserve">Case No. </w:t>
      </w:r>
      <w:r w:rsidRPr="00187FA7">
        <w:rPr>
          <w:sz w:val="20"/>
          <w:lang w:val="sv-FI"/>
        </w:rPr>
        <w:t xml:space="preserve"> </w:t>
      </w:r>
      <w:r w:rsidR="006E228E" w:rsidRPr="00187FA7">
        <w:rPr>
          <w:sz w:val="20"/>
          <w:lang w:val="sv-FI"/>
        </w:rPr>
        <w:t>3xx/2018.</w:t>
      </w:r>
    </w:p>
  </w:footnote>
  <w:footnote w:id="34">
    <w:p w14:paraId="1E6C7BF5" w14:textId="18E6BAE7" w:rsidR="00066630" w:rsidRPr="00187FA7" w:rsidRDefault="00066630" w:rsidP="00EA405E">
      <w:pPr>
        <w:pStyle w:val="FootnoteText"/>
        <w:jc w:val="both"/>
        <w:rPr>
          <w:sz w:val="20"/>
          <w:lang w:val="fi-FI"/>
        </w:rPr>
      </w:pPr>
      <w:r w:rsidRPr="00187FA7">
        <w:rPr>
          <w:rStyle w:val="FootnoteReference"/>
          <w:sz w:val="20"/>
        </w:rPr>
        <w:footnoteRef/>
      </w:r>
      <w:r w:rsidRPr="00187FA7">
        <w:rPr>
          <w:sz w:val="20"/>
          <w:lang w:val="fi-FI"/>
        </w:rPr>
        <w:t xml:space="preserve"> </w:t>
      </w:r>
      <w:r w:rsidR="006E228E" w:rsidRPr="00187FA7">
        <w:rPr>
          <w:sz w:val="20"/>
          <w:lang w:val="fi-FI"/>
        </w:rPr>
        <w:t>Finland, Supreme Administrative Court (</w:t>
      </w:r>
      <w:r w:rsidR="006E228E" w:rsidRPr="00187FA7">
        <w:rPr>
          <w:i/>
          <w:iCs/>
          <w:sz w:val="20"/>
          <w:lang w:val="fi-FI"/>
        </w:rPr>
        <w:t>korkein hallinto-oikeus</w:t>
      </w:r>
      <w:r w:rsidR="006E228E" w:rsidRPr="00187FA7">
        <w:rPr>
          <w:sz w:val="20"/>
          <w:lang w:val="fi-FI"/>
        </w:rPr>
        <w:t>/</w:t>
      </w:r>
      <w:r w:rsidR="006E228E" w:rsidRPr="00187FA7">
        <w:rPr>
          <w:i/>
          <w:iCs/>
          <w:sz w:val="20"/>
          <w:lang w:val="fi-FI"/>
        </w:rPr>
        <w:t>högsta förvaltningsdomstolen</w:t>
      </w:r>
      <w:r w:rsidR="006E228E" w:rsidRPr="00187FA7">
        <w:rPr>
          <w:sz w:val="20"/>
          <w:lang w:val="fi-FI"/>
        </w:rPr>
        <w:t>)</w:t>
      </w:r>
      <w:r w:rsidR="00915E61" w:rsidRPr="00187FA7">
        <w:rPr>
          <w:sz w:val="20"/>
          <w:lang w:val="fi-FI"/>
        </w:rPr>
        <w:t>, Decision No. 1620/2018 (</w:t>
      </w:r>
      <w:r w:rsidR="00DE604A">
        <w:fldChar w:fldCharType="begin"/>
      </w:r>
      <w:r w:rsidR="00DE604A" w:rsidRPr="00DE604A">
        <w:rPr>
          <w:lang w:val="sv-FI"/>
        </w:rPr>
        <w:instrText>HYPERLINK "https://www.yvtltk.fi/material/collections/20230607083449/HsxBMRToF/Tapausseloste_YVTltk_2xx_2017_2xx_2015_Yleisotilaisuuden_esteettomyys.pdf"</w:instrText>
      </w:r>
      <w:r w:rsidR="00DE604A">
        <w:fldChar w:fldCharType="separate"/>
      </w:r>
      <w:r w:rsidR="00915E61" w:rsidRPr="00187FA7">
        <w:rPr>
          <w:rStyle w:val="Hyperlink"/>
          <w:i/>
          <w:iCs/>
          <w:sz w:val="20"/>
          <w:lang w:val="fi-FI"/>
        </w:rPr>
        <w:t>Muu päätös: Syrjintä, esteetön pääsy yleisötilaisuuteen</w:t>
      </w:r>
      <w:r w:rsidR="00DE604A">
        <w:rPr>
          <w:rStyle w:val="Hyperlink"/>
          <w:i/>
          <w:iCs/>
          <w:sz w:val="20"/>
          <w:lang w:val="fi-FI"/>
        </w:rPr>
        <w:fldChar w:fldCharType="end"/>
      </w:r>
      <w:r w:rsidR="00915E61" w:rsidRPr="00187FA7">
        <w:rPr>
          <w:sz w:val="20"/>
          <w:lang w:val="fi-FI"/>
        </w:rPr>
        <w:t>), 6 April 2018.</w:t>
      </w:r>
      <w:r w:rsidR="006E228E" w:rsidRPr="00187FA7">
        <w:rPr>
          <w:sz w:val="20"/>
          <w:lang w:val="fi-FI"/>
        </w:rPr>
        <w:t xml:space="preserve"> </w:t>
      </w:r>
    </w:p>
  </w:footnote>
  <w:footnote w:id="35">
    <w:p w14:paraId="10A66592" w14:textId="18634885" w:rsidR="0086384C" w:rsidRPr="00187FA7" w:rsidRDefault="0086384C" w:rsidP="00743E10">
      <w:pPr>
        <w:pStyle w:val="FootnoteText"/>
        <w:spacing w:after="0" w:line="240" w:lineRule="auto"/>
        <w:jc w:val="both"/>
        <w:rPr>
          <w:sz w:val="20"/>
          <w:lang w:val="fi-FI"/>
        </w:rPr>
      </w:pPr>
      <w:r w:rsidRPr="00187FA7">
        <w:rPr>
          <w:rStyle w:val="FootnoteReference"/>
          <w:sz w:val="20"/>
        </w:rPr>
        <w:footnoteRef/>
      </w:r>
      <w:r w:rsidR="00557A4A" w:rsidRPr="00187FA7">
        <w:rPr>
          <w:sz w:val="20"/>
          <w:lang w:val="fi-FI"/>
        </w:rPr>
        <w:t xml:space="preserve"> Finland, Parliamentary Ombudsman (</w:t>
      </w:r>
      <w:r w:rsidR="00557A4A" w:rsidRPr="00187FA7">
        <w:rPr>
          <w:i/>
          <w:iCs/>
          <w:sz w:val="20"/>
          <w:lang w:val="fi-FI"/>
        </w:rPr>
        <w:t>oikeusasiamies</w:t>
      </w:r>
      <w:r w:rsidR="00557A4A" w:rsidRPr="00187FA7">
        <w:rPr>
          <w:sz w:val="20"/>
          <w:lang w:val="fi-FI"/>
        </w:rPr>
        <w:t>/</w:t>
      </w:r>
      <w:r w:rsidR="00557A4A" w:rsidRPr="00187FA7">
        <w:rPr>
          <w:i/>
          <w:iCs/>
          <w:sz w:val="20"/>
          <w:lang w:val="fi-FI"/>
        </w:rPr>
        <w:t>justitieombudsmannen</w:t>
      </w:r>
      <w:r w:rsidR="00557A4A" w:rsidRPr="00187FA7">
        <w:rPr>
          <w:sz w:val="20"/>
          <w:lang w:val="fi-FI"/>
        </w:rPr>
        <w:t xml:space="preserve">), </w:t>
      </w:r>
      <w:r w:rsidR="00DE604A">
        <w:fldChar w:fldCharType="begin"/>
      </w:r>
      <w:r w:rsidR="00DE604A" w:rsidRPr="00DE604A">
        <w:rPr>
          <w:lang w:val="fi-FI"/>
        </w:rPr>
        <w:instrText>HYPERLINK "https://vaalit.fi/documents/5430845/7134623/2021-11-29,+Esteett%C3%B6myys+ja+yhdenvertaisuus+kuntavaalien+%C3%A4%C3%A4nestyspaikalla.pdf/60db3e22-bac6-22b3-1078-8c86308e5e37/2021-11-29,+Esteett%C3%B6myys+ja+yhdenvertaisuus+kuntavaalien+%C3%A4%C3%A4nestyspaikalla.pdf?version=1.0&amp;t=1640002631133"</w:instrText>
      </w:r>
      <w:r w:rsidR="00DE604A">
        <w:fldChar w:fldCharType="separate"/>
      </w:r>
      <w:r w:rsidR="00557A4A" w:rsidRPr="00187FA7">
        <w:rPr>
          <w:rStyle w:val="Hyperlink"/>
          <w:i/>
          <w:iCs/>
          <w:sz w:val="20"/>
          <w:lang w:val="fi-FI"/>
        </w:rPr>
        <w:t>Esteettömyys ja yhdenvertaisuus kuntavaalien äänestyspaikalla</w:t>
      </w:r>
      <w:r w:rsidR="00DE604A">
        <w:rPr>
          <w:rStyle w:val="Hyperlink"/>
          <w:i/>
          <w:iCs/>
          <w:sz w:val="20"/>
          <w:lang w:val="fi-FI"/>
        </w:rPr>
        <w:fldChar w:fldCharType="end"/>
      </w:r>
      <w:r w:rsidR="00557A4A" w:rsidRPr="00187FA7">
        <w:rPr>
          <w:sz w:val="20"/>
          <w:lang w:val="fi-FI"/>
        </w:rPr>
        <w:t xml:space="preserve">, decision, EOAK/4495/2021, 29 November 2021. </w:t>
      </w:r>
    </w:p>
    <w:p w14:paraId="131CC279" w14:textId="5A9355D9" w:rsidR="0086384C" w:rsidRPr="00187FA7" w:rsidRDefault="0086384C" w:rsidP="00743E10">
      <w:pPr>
        <w:pStyle w:val="FootnoteText"/>
        <w:spacing w:after="0" w:line="240" w:lineRule="auto"/>
        <w:ind w:left="0" w:firstLine="0"/>
        <w:jc w:val="both"/>
        <w:rPr>
          <w:sz w:val="20"/>
          <w:lang w:val="fi-FI"/>
        </w:rPr>
      </w:pPr>
    </w:p>
  </w:footnote>
  <w:footnote w:id="36">
    <w:p w14:paraId="11AE9F24" w14:textId="00D91ADA" w:rsidR="00363998" w:rsidRPr="00187FA7" w:rsidRDefault="00363998" w:rsidP="00743E10">
      <w:pPr>
        <w:pStyle w:val="FootnoteText"/>
        <w:spacing w:after="0" w:line="240" w:lineRule="auto"/>
        <w:jc w:val="both"/>
        <w:rPr>
          <w:sz w:val="20"/>
          <w:lang w:val="fi-FI"/>
        </w:rPr>
      </w:pPr>
      <w:r w:rsidRPr="00187FA7">
        <w:rPr>
          <w:rStyle w:val="FootnoteReference"/>
          <w:sz w:val="20"/>
        </w:rPr>
        <w:footnoteRef/>
      </w:r>
      <w:r w:rsidR="00E76697" w:rsidRPr="00187FA7">
        <w:rPr>
          <w:sz w:val="20"/>
          <w:lang w:val="fi-FI"/>
        </w:rPr>
        <w:t xml:space="preserve"> Finland, Parliamentary Ombudsman (</w:t>
      </w:r>
      <w:r w:rsidR="00E76697" w:rsidRPr="00187FA7">
        <w:rPr>
          <w:i/>
          <w:iCs/>
          <w:sz w:val="20"/>
          <w:lang w:val="fi-FI"/>
        </w:rPr>
        <w:t>oikeusasiamies</w:t>
      </w:r>
      <w:r w:rsidR="00E76697" w:rsidRPr="00187FA7">
        <w:rPr>
          <w:sz w:val="20"/>
          <w:lang w:val="fi-FI"/>
        </w:rPr>
        <w:t>/</w:t>
      </w:r>
      <w:r w:rsidR="00E76697" w:rsidRPr="00187FA7">
        <w:rPr>
          <w:i/>
          <w:iCs/>
          <w:sz w:val="20"/>
          <w:lang w:val="fi-FI"/>
        </w:rPr>
        <w:t>justitieombudsman</w:t>
      </w:r>
      <w:r w:rsidR="007D5FFC" w:rsidRPr="00187FA7">
        <w:rPr>
          <w:i/>
          <w:iCs/>
          <w:sz w:val="20"/>
          <w:lang w:val="fi-FI"/>
        </w:rPr>
        <w:t>nen</w:t>
      </w:r>
      <w:r w:rsidR="00E76697" w:rsidRPr="00187FA7">
        <w:rPr>
          <w:sz w:val="20"/>
          <w:lang w:val="fi-FI"/>
        </w:rPr>
        <w:t xml:space="preserve">), </w:t>
      </w:r>
      <w:r w:rsidR="00DE604A">
        <w:fldChar w:fldCharType="begin"/>
      </w:r>
      <w:r w:rsidR="00DE604A" w:rsidRPr="00DE604A">
        <w:rPr>
          <w:lang w:val="fi-FI"/>
        </w:rPr>
        <w:instrText>HYPERLINK "https://www.oikeusasiamies.fi/r/fi/ratkaisut/-/eoar/4326/2021"</w:instrText>
      </w:r>
      <w:r w:rsidR="00DE604A">
        <w:fldChar w:fldCharType="separate"/>
      </w:r>
      <w:r w:rsidRPr="00187FA7">
        <w:rPr>
          <w:rStyle w:val="Hyperlink"/>
          <w:i/>
          <w:iCs/>
          <w:sz w:val="20"/>
          <w:lang w:val="fi-FI"/>
        </w:rPr>
        <w:t>Äänestyspaikan valaistus ja vaalisalaisuuden turvaaminen</w:t>
      </w:r>
      <w:r w:rsidR="00DE604A">
        <w:rPr>
          <w:rStyle w:val="Hyperlink"/>
          <w:i/>
          <w:iCs/>
          <w:sz w:val="20"/>
          <w:lang w:val="fi-FI"/>
        </w:rPr>
        <w:fldChar w:fldCharType="end"/>
      </w:r>
      <w:r w:rsidR="007D5FFC" w:rsidRPr="00187FA7">
        <w:rPr>
          <w:sz w:val="20"/>
          <w:lang w:val="fi-FI"/>
        </w:rPr>
        <w:t>, decision, EOAK/4326/2021, 30 November 2021.</w:t>
      </w:r>
    </w:p>
    <w:p w14:paraId="35038283" w14:textId="77777777" w:rsidR="00743E10" w:rsidRPr="00187FA7" w:rsidRDefault="00743E10" w:rsidP="00743E10">
      <w:pPr>
        <w:pStyle w:val="FootnoteText"/>
        <w:spacing w:after="0" w:line="240" w:lineRule="auto"/>
        <w:jc w:val="both"/>
        <w:rPr>
          <w:sz w:val="20"/>
          <w:lang w:val="fi-FI"/>
        </w:rPr>
      </w:pPr>
    </w:p>
  </w:footnote>
  <w:footnote w:id="37">
    <w:p w14:paraId="371FE57F" w14:textId="6C0A4BD8" w:rsidR="002A6C44" w:rsidRPr="00187FA7" w:rsidRDefault="002A6C44" w:rsidP="00EA405E">
      <w:pPr>
        <w:pStyle w:val="FootnoteText"/>
        <w:jc w:val="both"/>
        <w:rPr>
          <w:sz w:val="20"/>
        </w:rPr>
      </w:pPr>
      <w:r w:rsidRPr="00187FA7">
        <w:rPr>
          <w:rStyle w:val="FootnoteReference"/>
          <w:sz w:val="20"/>
        </w:rPr>
        <w:footnoteRef/>
      </w:r>
      <w:r w:rsidRPr="00187FA7">
        <w:rPr>
          <w:sz w:val="20"/>
        </w:rPr>
        <w:t xml:space="preserve"> Finland, information obtained from the Office of the Parliamentary Ombudsman (</w:t>
      </w:r>
      <w:r w:rsidRPr="00187FA7">
        <w:rPr>
          <w:i/>
          <w:iCs/>
          <w:sz w:val="20"/>
        </w:rPr>
        <w:t>oikeusasiamies</w:t>
      </w:r>
      <w:r w:rsidRPr="00187FA7">
        <w:rPr>
          <w:sz w:val="20"/>
        </w:rPr>
        <w:t>/</w:t>
      </w:r>
      <w:r w:rsidRPr="00187FA7">
        <w:rPr>
          <w:i/>
          <w:iCs/>
          <w:sz w:val="20"/>
        </w:rPr>
        <w:t>justitieombudsmannen</w:t>
      </w:r>
      <w:r w:rsidRPr="00187FA7">
        <w:rPr>
          <w:sz w:val="20"/>
        </w:rPr>
        <w:t>) via e-mail on 25 October 2023.</w:t>
      </w:r>
    </w:p>
  </w:footnote>
  <w:footnote w:id="38">
    <w:p w14:paraId="27F44059" w14:textId="1E962AFF" w:rsidR="002065DA" w:rsidRPr="00187FA7" w:rsidRDefault="002065DA" w:rsidP="00EA405E">
      <w:pPr>
        <w:pStyle w:val="FootnoteText"/>
        <w:jc w:val="both"/>
        <w:rPr>
          <w:sz w:val="20"/>
        </w:rPr>
      </w:pPr>
      <w:r w:rsidRPr="00187FA7">
        <w:rPr>
          <w:rStyle w:val="FootnoteReference"/>
          <w:sz w:val="20"/>
        </w:rPr>
        <w:footnoteRef/>
      </w:r>
      <w:r w:rsidRPr="00187FA7">
        <w:rPr>
          <w:sz w:val="20"/>
        </w:rPr>
        <w:t xml:space="preserve"> </w:t>
      </w:r>
      <w:r w:rsidR="00F9468F" w:rsidRPr="00187FA7">
        <w:rPr>
          <w:sz w:val="20"/>
        </w:rPr>
        <w:t>Finland, Parliamentary Ombudsman (</w:t>
      </w:r>
      <w:r w:rsidR="00F9468F" w:rsidRPr="00187FA7">
        <w:rPr>
          <w:i/>
          <w:iCs/>
          <w:sz w:val="20"/>
        </w:rPr>
        <w:t>oikeusasiamies</w:t>
      </w:r>
      <w:r w:rsidR="00F9468F" w:rsidRPr="00187FA7">
        <w:rPr>
          <w:sz w:val="20"/>
        </w:rPr>
        <w:t>/</w:t>
      </w:r>
      <w:r w:rsidR="00F9468F" w:rsidRPr="00187FA7">
        <w:rPr>
          <w:i/>
          <w:iCs/>
          <w:sz w:val="20"/>
        </w:rPr>
        <w:t>justitieombudsman</w:t>
      </w:r>
      <w:r w:rsidR="00F9468F" w:rsidRPr="00187FA7">
        <w:rPr>
          <w:sz w:val="20"/>
        </w:rPr>
        <w:t xml:space="preserve">), </w:t>
      </w:r>
      <w:r w:rsidR="00557A4A" w:rsidRPr="00187FA7">
        <w:rPr>
          <w:color w:val="4472C4" w:themeColor="accent1"/>
          <w:sz w:val="20"/>
        </w:rPr>
        <w:t>‘</w:t>
      </w:r>
      <w:hyperlink r:id="rId64" w:history="1">
        <w:r w:rsidR="00F9468F" w:rsidRPr="00187FA7">
          <w:rPr>
            <w:rStyle w:val="Hyperlink"/>
            <w:sz w:val="20"/>
          </w:rPr>
          <w:t>Shortcomings in accessibility and protecting the secrecy of the ballot</w:t>
        </w:r>
      </w:hyperlink>
      <w:r w:rsidR="00557A4A" w:rsidRPr="00187FA7">
        <w:rPr>
          <w:rStyle w:val="Hyperlink"/>
          <w:sz w:val="20"/>
        </w:rPr>
        <w:t>’</w:t>
      </w:r>
      <w:r w:rsidR="00F9468F" w:rsidRPr="00187FA7">
        <w:rPr>
          <w:sz w:val="20"/>
        </w:rPr>
        <w:t xml:space="preserve">, press release, 27 April 2015. </w:t>
      </w:r>
    </w:p>
  </w:footnote>
  <w:footnote w:id="39">
    <w:p w14:paraId="28FB202F" w14:textId="0044CDCE" w:rsidR="00D12A2A" w:rsidRPr="00187FA7" w:rsidRDefault="00D12A2A" w:rsidP="00EA405E">
      <w:pPr>
        <w:pStyle w:val="FootnoteText"/>
        <w:jc w:val="both"/>
        <w:rPr>
          <w:sz w:val="20"/>
          <w:lang w:val="en-US"/>
        </w:rPr>
      </w:pPr>
      <w:r w:rsidRPr="00187FA7">
        <w:rPr>
          <w:rStyle w:val="FootnoteReference"/>
          <w:sz w:val="20"/>
        </w:rPr>
        <w:footnoteRef/>
      </w:r>
      <w:r w:rsidRPr="00187FA7">
        <w:rPr>
          <w:sz w:val="20"/>
        </w:rPr>
        <w:t xml:space="preserve"> </w:t>
      </w:r>
      <w:bookmarkStart w:id="29" w:name="_Hlk153296124"/>
      <w:r w:rsidRPr="00187FA7">
        <w:rPr>
          <w:sz w:val="20"/>
          <w:lang w:val="en-US"/>
        </w:rPr>
        <w:t>Finland, information obtained f</w:t>
      </w:r>
      <w:r w:rsidR="00B64498" w:rsidRPr="00187FA7">
        <w:rPr>
          <w:sz w:val="20"/>
          <w:lang w:val="en-US"/>
        </w:rPr>
        <w:t xml:space="preserve">rom the </w:t>
      </w:r>
      <w:bookmarkEnd w:id="29"/>
      <w:r w:rsidR="00B64498" w:rsidRPr="00187FA7">
        <w:rPr>
          <w:sz w:val="20"/>
          <w:lang w:val="en-US"/>
        </w:rPr>
        <w:t xml:space="preserve">Information Service of the Library of Parliament </w:t>
      </w:r>
      <w:r w:rsidR="000F6701" w:rsidRPr="00187FA7">
        <w:rPr>
          <w:sz w:val="20"/>
          <w:lang w:val="en-US"/>
        </w:rPr>
        <w:t>(</w:t>
      </w:r>
      <w:r w:rsidR="000F6701" w:rsidRPr="00187FA7">
        <w:rPr>
          <w:i/>
          <w:iCs/>
          <w:sz w:val="20"/>
          <w:lang w:val="en-US"/>
        </w:rPr>
        <w:t>eduskunnan kirjasto</w:t>
      </w:r>
      <w:r w:rsidR="000F6701" w:rsidRPr="00187FA7">
        <w:rPr>
          <w:sz w:val="20"/>
          <w:lang w:val="en-US"/>
        </w:rPr>
        <w:t>/</w:t>
      </w:r>
      <w:r w:rsidR="000F6701" w:rsidRPr="00187FA7">
        <w:rPr>
          <w:i/>
          <w:iCs/>
          <w:sz w:val="20"/>
          <w:lang w:val="en-US"/>
        </w:rPr>
        <w:t>riksdagens bibliotek</w:t>
      </w:r>
      <w:r w:rsidR="000F6701" w:rsidRPr="00187FA7">
        <w:rPr>
          <w:sz w:val="20"/>
          <w:lang w:val="en-US"/>
        </w:rPr>
        <w:t xml:space="preserve">) </w:t>
      </w:r>
      <w:r w:rsidR="00B64498" w:rsidRPr="00187FA7">
        <w:rPr>
          <w:sz w:val="20"/>
          <w:lang w:val="en-US"/>
        </w:rPr>
        <w:t>via e-mail on 28 September 2023.</w:t>
      </w:r>
    </w:p>
  </w:footnote>
  <w:footnote w:id="40">
    <w:p w14:paraId="5306BBAC" w14:textId="6A981979" w:rsidR="00C467AF" w:rsidRPr="00187FA7" w:rsidRDefault="00C467AF" w:rsidP="00EA405E">
      <w:pPr>
        <w:pStyle w:val="FootnoteText"/>
        <w:jc w:val="both"/>
        <w:rPr>
          <w:sz w:val="20"/>
        </w:rPr>
      </w:pPr>
      <w:r w:rsidRPr="00187FA7">
        <w:rPr>
          <w:rStyle w:val="FootnoteReference"/>
          <w:sz w:val="20"/>
        </w:rPr>
        <w:footnoteRef/>
      </w:r>
      <w:r w:rsidRPr="00187FA7">
        <w:rPr>
          <w:sz w:val="20"/>
        </w:rPr>
        <w:t xml:space="preserve"> Finland, information obtained from Statistics Finland</w:t>
      </w:r>
      <w:r w:rsidRPr="00187FA7">
        <w:rPr>
          <w:i/>
          <w:iCs/>
          <w:sz w:val="20"/>
        </w:rPr>
        <w:t xml:space="preserve"> (Tilastokeskus/Statistikcentralen) </w:t>
      </w:r>
      <w:r w:rsidRPr="00187FA7">
        <w:rPr>
          <w:sz w:val="20"/>
        </w:rPr>
        <w:t>and the Association of Finnish Municipalities</w:t>
      </w:r>
      <w:r w:rsidRPr="00187FA7">
        <w:rPr>
          <w:i/>
          <w:iCs/>
          <w:sz w:val="20"/>
        </w:rPr>
        <w:t xml:space="preserve"> (Kuntaliitto</w:t>
      </w:r>
      <w:r w:rsidRPr="00187FA7">
        <w:rPr>
          <w:sz w:val="20"/>
        </w:rPr>
        <w:t>/</w:t>
      </w:r>
      <w:r w:rsidRPr="00187FA7">
        <w:rPr>
          <w:i/>
          <w:iCs/>
          <w:sz w:val="20"/>
        </w:rPr>
        <w:t>Kommunförbundet</w:t>
      </w:r>
      <w:r w:rsidRPr="00187FA7">
        <w:rPr>
          <w:sz w:val="20"/>
        </w:rPr>
        <w:t>), on 2 October and 3 October 2023, respectively.</w:t>
      </w:r>
    </w:p>
  </w:footnote>
  <w:footnote w:id="41">
    <w:p w14:paraId="295416FB" w14:textId="0BDE2654" w:rsidR="00F9468F" w:rsidRPr="00187FA7" w:rsidRDefault="00F9468F">
      <w:pPr>
        <w:pStyle w:val="FootnoteText"/>
        <w:rPr>
          <w:sz w:val="20"/>
          <w:lang w:val="sv-SE"/>
        </w:rPr>
      </w:pPr>
      <w:r w:rsidRPr="00187FA7">
        <w:rPr>
          <w:rStyle w:val="FootnoteReference"/>
          <w:sz w:val="20"/>
        </w:rPr>
        <w:footnoteRef/>
      </w:r>
      <w:r w:rsidRPr="00187FA7">
        <w:rPr>
          <w:sz w:val="20"/>
        </w:rPr>
        <w:t xml:space="preserve"> </w:t>
      </w:r>
      <w:r w:rsidRPr="00187FA7">
        <w:rPr>
          <w:sz w:val="20"/>
          <w:lang w:val="en-US"/>
        </w:rPr>
        <w:t>Finland, information obtained from the Ministry of Justice (</w:t>
      </w:r>
      <w:r w:rsidRPr="00187FA7">
        <w:rPr>
          <w:i/>
          <w:iCs/>
          <w:sz w:val="20"/>
          <w:lang w:val="en-US"/>
        </w:rPr>
        <w:t>oikeusministeriö</w:t>
      </w:r>
      <w:r w:rsidRPr="00187FA7">
        <w:rPr>
          <w:sz w:val="20"/>
          <w:lang w:val="en-US"/>
        </w:rPr>
        <w:t>/</w:t>
      </w:r>
      <w:r w:rsidRPr="00187FA7">
        <w:rPr>
          <w:i/>
          <w:iCs/>
          <w:sz w:val="20"/>
          <w:lang w:val="en-US"/>
        </w:rPr>
        <w:t>justitieministeriet</w:t>
      </w:r>
      <w:r w:rsidRPr="00187FA7">
        <w:rPr>
          <w:sz w:val="20"/>
          <w:lang w:val="en-US"/>
        </w:rPr>
        <w:t>) via e-mail on 1 December 2023.</w:t>
      </w:r>
    </w:p>
  </w:footnote>
  <w:footnote w:id="42">
    <w:p w14:paraId="70BEAF02" w14:textId="7A2AC5AD" w:rsidR="00F516DB" w:rsidRPr="00187FA7" w:rsidRDefault="00F516DB" w:rsidP="00EA405E">
      <w:pPr>
        <w:pStyle w:val="FootnoteText"/>
        <w:jc w:val="both"/>
        <w:rPr>
          <w:sz w:val="20"/>
          <w:lang w:val="en-US"/>
        </w:rPr>
      </w:pPr>
      <w:r w:rsidRPr="00187FA7">
        <w:rPr>
          <w:rStyle w:val="FootnoteReference"/>
          <w:sz w:val="20"/>
        </w:rPr>
        <w:footnoteRef/>
      </w:r>
      <w:r w:rsidRPr="00187FA7">
        <w:rPr>
          <w:sz w:val="20"/>
          <w:lang w:val="en-US"/>
        </w:rPr>
        <w:t xml:space="preserve"> Finland, Ministry of Justice (</w:t>
      </w:r>
      <w:r w:rsidRPr="00187FA7">
        <w:rPr>
          <w:i/>
          <w:iCs/>
          <w:sz w:val="20"/>
          <w:lang w:val="en-US"/>
        </w:rPr>
        <w:t>oikeusministeriö</w:t>
      </w:r>
      <w:r w:rsidRPr="00187FA7">
        <w:rPr>
          <w:sz w:val="20"/>
          <w:lang w:val="en-US"/>
        </w:rPr>
        <w:t>/</w:t>
      </w:r>
      <w:r w:rsidRPr="00187FA7">
        <w:rPr>
          <w:i/>
          <w:iCs/>
          <w:sz w:val="20"/>
          <w:lang w:val="en-US"/>
        </w:rPr>
        <w:t>justitieministeriet</w:t>
      </w:r>
      <w:r w:rsidRPr="00187FA7">
        <w:rPr>
          <w:sz w:val="20"/>
          <w:lang w:val="en-US"/>
        </w:rPr>
        <w:t>), Elections, Election authorities (</w:t>
      </w:r>
      <w:hyperlink r:id="rId65" w:history="1">
        <w:r w:rsidRPr="00187FA7">
          <w:rPr>
            <w:rStyle w:val="Hyperlink"/>
            <w:i/>
            <w:iCs/>
            <w:sz w:val="20"/>
            <w:lang w:val="en-US"/>
          </w:rPr>
          <w:t>Vaaliviranomaiset</w:t>
        </w:r>
      </w:hyperlink>
      <w:r w:rsidRPr="00187FA7">
        <w:rPr>
          <w:sz w:val="20"/>
          <w:lang w:val="en-US"/>
        </w:rPr>
        <w:t>/</w:t>
      </w:r>
      <w:hyperlink r:id="rId66" w:history="1">
        <w:r w:rsidRPr="00187FA7">
          <w:rPr>
            <w:rStyle w:val="Hyperlink"/>
            <w:i/>
            <w:iCs/>
            <w:sz w:val="20"/>
            <w:lang w:val="en-US"/>
          </w:rPr>
          <w:t>Valmyndigheter</w:t>
        </w:r>
      </w:hyperlink>
      <w:r w:rsidRPr="00187FA7">
        <w:rPr>
          <w:sz w:val="20"/>
          <w:lang w:val="en-US"/>
        </w:rPr>
        <w:t>), webpage, accessed on 6 November 2023.</w:t>
      </w:r>
    </w:p>
  </w:footnote>
  <w:footnote w:id="43">
    <w:p w14:paraId="39485D48" w14:textId="412886B9" w:rsidR="00311345" w:rsidRPr="00187FA7" w:rsidRDefault="00311345" w:rsidP="00EA405E">
      <w:pPr>
        <w:pStyle w:val="FootnoteText"/>
        <w:jc w:val="both"/>
        <w:rPr>
          <w:sz w:val="20"/>
          <w:lang w:val="en-US"/>
        </w:rPr>
      </w:pPr>
      <w:r w:rsidRPr="00187FA7">
        <w:rPr>
          <w:rStyle w:val="FootnoteReference"/>
          <w:sz w:val="20"/>
        </w:rPr>
        <w:footnoteRef/>
      </w:r>
      <w:r w:rsidRPr="00187FA7">
        <w:rPr>
          <w:sz w:val="20"/>
          <w:lang w:val="en-US"/>
        </w:rPr>
        <w:t xml:space="preserve"> </w:t>
      </w:r>
      <w:r w:rsidR="00323D7D" w:rsidRPr="00187FA7">
        <w:rPr>
          <w:sz w:val="20"/>
          <w:lang w:val="en-US"/>
        </w:rPr>
        <w:t>Finland, Ministry of Justice (</w:t>
      </w:r>
      <w:r w:rsidR="00323D7D" w:rsidRPr="00187FA7">
        <w:rPr>
          <w:i/>
          <w:iCs/>
          <w:sz w:val="20"/>
          <w:lang w:val="en-US"/>
        </w:rPr>
        <w:t>oikeusministeriö</w:t>
      </w:r>
      <w:r w:rsidR="00323D7D" w:rsidRPr="00187FA7">
        <w:rPr>
          <w:sz w:val="20"/>
          <w:lang w:val="en-US"/>
        </w:rPr>
        <w:t>/</w:t>
      </w:r>
      <w:r w:rsidR="00323D7D" w:rsidRPr="00187FA7">
        <w:rPr>
          <w:i/>
          <w:iCs/>
          <w:sz w:val="20"/>
          <w:lang w:val="en-US"/>
        </w:rPr>
        <w:t>justitieministeriet</w:t>
      </w:r>
      <w:r w:rsidR="00323D7D" w:rsidRPr="00187FA7">
        <w:rPr>
          <w:sz w:val="20"/>
          <w:lang w:val="en-US"/>
        </w:rPr>
        <w:t>)</w:t>
      </w:r>
      <w:r w:rsidR="00371CA0">
        <w:rPr>
          <w:sz w:val="20"/>
          <w:lang w:val="en-US"/>
        </w:rPr>
        <w:t xml:space="preserve"> (2023)</w:t>
      </w:r>
      <w:r w:rsidR="00323D7D" w:rsidRPr="00187FA7">
        <w:rPr>
          <w:sz w:val="20"/>
          <w:lang w:val="en-US"/>
        </w:rPr>
        <w:t>, Elections,</w:t>
      </w:r>
      <w:r w:rsidR="00DC4876" w:rsidRPr="00187FA7">
        <w:rPr>
          <w:rFonts w:asciiTheme="minorHAnsi" w:eastAsiaTheme="minorHAnsi" w:hAnsiTheme="minorHAnsi" w:cstheme="minorBidi"/>
          <w:color w:val="auto"/>
          <w:kern w:val="2"/>
          <w:sz w:val="20"/>
          <w:lang w:eastAsia="en-US"/>
          <w14:ligatures w14:val="standardContextual"/>
        </w:rPr>
        <w:t xml:space="preserve"> </w:t>
      </w:r>
      <w:r w:rsidR="00DC4876" w:rsidRPr="00187FA7">
        <w:rPr>
          <w:sz w:val="20"/>
        </w:rPr>
        <w:t>Letters and memoranda to election officials</w:t>
      </w:r>
      <w:r w:rsidR="00323D7D" w:rsidRPr="00187FA7">
        <w:rPr>
          <w:sz w:val="20"/>
          <w:lang w:val="en-US"/>
        </w:rPr>
        <w:t xml:space="preserve"> (</w:t>
      </w:r>
      <w:hyperlink r:id="rId67" w:history="1">
        <w:r w:rsidR="00323D7D" w:rsidRPr="00187FA7">
          <w:rPr>
            <w:rStyle w:val="Hyperlink"/>
            <w:sz w:val="20"/>
            <w:lang w:val="en-US"/>
          </w:rPr>
          <w:t>Vaaliviranomaiskirjeitä ja -muistioita - Vaalit</w:t>
        </w:r>
      </w:hyperlink>
      <w:r w:rsidR="00323D7D" w:rsidRPr="00187FA7">
        <w:rPr>
          <w:sz w:val="20"/>
          <w:lang w:val="en-US"/>
        </w:rPr>
        <w:t>/</w:t>
      </w:r>
      <w:hyperlink r:id="rId68" w:history="1">
        <w:r w:rsidR="00323D7D" w:rsidRPr="00187FA7">
          <w:rPr>
            <w:rStyle w:val="Hyperlink"/>
            <w:sz w:val="20"/>
            <w:lang w:val="en-US"/>
          </w:rPr>
          <w:t>Brev och promemorior till valmyndigheterna</w:t>
        </w:r>
      </w:hyperlink>
      <w:r w:rsidR="00323D7D" w:rsidRPr="00187FA7">
        <w:rPr>
          <w:sz w:val="20"/>
          <w:lang w:val="en-US"/>
        </w:rPr>
        <w:t>)</w:t>
      </w:r>
      <w:r w:rsidR="00DC4876" w:rsidRPr="00187FA7">
        <w:rPr>
          <w:sz w:val="20"/>
          <w:lang w:val="en-US"/>
        </w:rPr>
        <w:t>, webpage, accessed on 6 November 2023.</w:t>
      </w:r>
    </w:p>
  </w:footnote>
  <w:footnote w:id="44">
    <w:p w14:paraId="15D67985" w14:textId="1856FC12" w:rsidR="00311345" w:rsidRPr="00187FA7" w:rsidRDefault="00311345" w:rsidP="00EA405E">
      <w:pPr>
        <w:pStyle w:val="FootnoteText"/>
        <w:jc w:val="both"/>
        <w:rPr>
          <w:sz w:val="20"/>
          <w:lang w:val="en-US"/>
        </w:rPr>
      </w:pPr>
      <w:r w:rsidRPr="00187FA7">
        <w:rPr>
          <w:rStyle w:val="FootnoteReference"/>
          <w:sz w:val="20"/>
        </w:rPr>
        <w:footnoteRef/>
      </w:r>
      <w:r w:rsidRPr="00187FA7">
        <w:rPr>
          <w:sz w:val="20"/>
          <w:lang w:val="en-US"/>
        </w:rPr>
        <w:t xml:space="preserve"> Finland, Ministry of Justice</w:t>
      </w:r>
      <w:r w:rsidR="00BA25B9" w:rsidRPr="00187FA7">
        <w:rPr>
          <w:sz w:val="20"/>
          <w:lang w:val="en-US"/>
        </w:rPr>
        <w:t xml:space="preserve"> </w:t>
      </w:r>
      <w:bookmarkStart w:id="30" w:name="_Hlk150176306"/>
      <w:r w:rsidR="00BA25B9" w:rsidRPr="00187FA7">
        <w:rPr>
          <w:sz w:val="20"/>
          <w:lang w:val="en-US"/>
        </w:rPr>
        <w:t>(</w:t>
      </w:r>
      <w:r w:rsidR="00BA25B9" w:rsidRPr="00187FA7">
        <w:rPr>
          <w:i/>
          <w:iCs/>
          <w:sz w:val="20"/>
          <w:lang w:val="en-US"/>
        </w:rPr>
        <w:t>oikeusministeriö</w:t>
      </w:r>
      <w:r w:rsidR="00BA25B9" w:rsidRPr="00187FA7">
        <w:rPr>
          <w:sz w:val="20"/>
          <w:lang w:val="en-US"/>
        </w:rPr>
        <w:t>/</w:t>
      </w:r>
      <w:r w:rsidR="00BA25B9" w:rsidRPr="00187FA7">
        <w:rPr>
          <w:i/>
          <w:iCs/>
          <w:sz w:val="20"/>
          <w:lang w:val="en-US"/>
        </w:rPr>
        <w:t>justitieministeriet</w:t>
      </w:r>
      <w:r w:rsidR="00BA25B9" w:rsidRPr="00187FA7">
        <w:rPr>
          <w:sz w:val="20"/>
          <w:lang w:val="en-US"/>
        </w:rPr>
        <w:t>)</w:t>
      </w:r>
      <w:bookmarkEnd w:id="30"/>
      <w:r w:rsidR="00371CA0">
        <w:rPr>
          <w:sz w:val="20"/>
          <w:lang w:val="en-US"/>
        </w:rPr>
        <w:t xml:space="preserve"> (2023)</w:t>
      </w:r>
      <w:r w:rsidRPr="00187FA7">
        <w:rPr>
          <w:sz w:val="20"/>
          <w:lang w:val="en-US"/>
        </w:rPr>
        <w:t xml:space="preserve">, Letter to municipal governments concerning </w:t>
      </w:r>
      <w:r w:rsidR="003F48CF" w:rsidRPr="00187FA7">
        <w:rPr>
          <w:sz w:val="20"/>
          <w:lang w:val="en-US"/>
        </w:rPr>
        <w:t xml:space="preserve">Elections in 2024: </w:t>
      </w:r>
      <w:r w:rsidR="003F48CF" w:rsidRPr="00187FA7">
        <w:rPr>
          <w:sz w:val="20"/>
          <w:lang w:val="en-US" w:bidi="en-US"/>
        </w:rPr>
        <w:t>Determination and notification of polling stations, use of the election information system, election materials, election training, etc.</w:t>
      </w:r>
      <w:r w:rsidRPr="00187FA7">
        <w:rPr>
          <w:sz w:val="20"/>
          <w:lang w:val="en-US"/>
        </w:rPr>
        <w:t xml:space="preserve">, </w:t>
      </w:r>
      <w:r w:rsidR="003F48CF" w:rsidRPr="00187FA7">
        <w:rPr>
          <w:sz w:val="20"/>
          <w:lang w:val="en-US"/>
        </w:rPr>
        <w:t>(</w:t>
      </w:r>
      <w:hyperlink r:id="rId69" w:history="1">
        <w:r w:rsidRPr="00017BC0">
          <w:rPr>
            <w:rStyle w:val="Hyperlink"/>
            <w:i/>
            <w:iCs/>
            <w:sz w:val="20"/>
            <w:lang w:val="en-US"/>
          </w:rPr>
          <w:t>Vuoden 2024 vaalit: Äänestyspaikkojen määrääminen ja niistä ilmoittaminen, vaalitietojärjestelmän käyttö, vaalimateriaali, vaalikoulutus ym</w:t>
        </w:r>
        <w:r w:rsidR="003F48CF" w:rsidRPr="00017BC0">
          <w:rPr>
            <w:rStyle w:val="Hyperlink"/>
            <w:i/>
            <w:iCs/>
            <w:sz w:val="20"/>
            <w:lang w:val="en-US"/>
          </w:rPr>
          <w:t>.</w:t>
        </w:r>
      </w:hyperlink>
      <w:r w:rsidR="003F48CF" w:rsidRPr="00187FA7">
        <w:rPr>
          <w:sz w:val="20"/>
          <w:lang w:val="en-US"/>
        </w:rPr>
        <w:t>), VN/17100/2023, 2 June 2023</w:t>
      </w:r>
      <w:r w:rsidR="00BA25B9" w:rsidRPr="00187FA7">
        <w:rPr>
          <w:sz w:val="20"/>
          <w:lang w:val="en-US"/>
        </w:rPr>
        <w:t>, pp. 14</w:t>
      </w:r>
      <w:r w:rsidR="00BA25B9" w:rsidRPr="00187FA7">
        <w:rPr>
          <w:rFonts w:cs="Calibri"/>
          <w:sz w:val="20"/>
          <w:lang w:val="en-US"/>
        </w:rPr>
        <w:t>−</w:t>
      </w:r>
      <w:r w:rsidR="00BA25B9" w:rsidRPr="00187FA7">
        <w:rPr>
          <w:sz w:val="20"/>
          <w:lang w:val="en-US"/>
        </w:rPr>
        <w:t>15.</w:t>
      </w:r>
    </w:p>
  </w:footnote>
  <w:footnote w:id="45">
    <w:p w14:paraId="561A6BE2" w14:textId="60970406" w:rsidR="00BA25B9" w:rsidRPr="00187FA7" w:rsidRDefault="00BA25B9" w:rsidP="00203939">
      <w:pPr>
        <w:pStyle w:val="FootnoteText"/>
        <w:jc w:val="both"/>
        <w:rPr>
          <w:sz w:val="20"/>
          <w:lang w:val="en-US"/>
        </w:rPr>
      </w:pPr>
      <w:r w:rsidRPr="00187FA7">
        <w:rPr>
          <w:rStyle w:val="FootnoteReference"/>
          <w:sz w:val="20"/>
        </w:rPr>
        <w:footnoteRef/>
      </w:r>
      <w:r w:rsidRPr="00187FA7">
        <w:rPr>
          <w:sz w:val="20"/>
        </w:rPr>
        <w:t xml:space="preserve"> </w:t>
      </w:r>
      <w:r w:rsidRPr="00187FA7">
        <w:rPr>
          <w:sz w:val="20"/>
          <w:lang w:val="en-US"/>
        </w:rPr>
        <w:t>Finland, Ministry of Justice</w:t>
      </w:r>
      <w:r w:rsidR="00457FFE" w:rsidRPr="00187FA7">
        <w:rPr>
          <w:sz w:val="20"/>
          <w:lang w:val="en-US"/>
        </w:rPr>
        <w:t xml:space="preserve"> </w:t>
      </w:r>
      <w:r w:rsidRPr="00187FA7">
        <w:rPr>
          <w:sz w:val="20"/>
          <w:lang w:val="en-US"/>
        </w:rPr>
        <w:t>(</w:t>
      </w:r>
      <w:r w:rsidRPr="00187FA7">
        <w:rPr>
          <w:i/>
          <w:iCs/>
          <w:sz w:val="20"/>
          <w:lang w:val="en-US"/>
        </w:rPr>
        <w:t>oikeusministeriö</w:t>
      </w:r>
      <w:r w:rsidRPr="00187FA7">
        <w:rPr>
          <w:sz w:val="20"/>
          <w:lang w:val="en-US"/>
        </w:rPr>
        <w:t>/</w:t>
      </w:r>
      <w:r w:rsidRPr="00187FA7">
        <w:rPr>
          <w:i/>
          <w:iCs/>
          <w:sz w:val="20"/>
          <w:lang w:val="en-US"/>
        </w:rPr>
        <w:t>justitieministeriet</w:t>
      </w:r>
      <w:r w:rsidRPr="00187FA7">
        <w:rPr>
          <w:sz w:val="20"/>
          <w:lang w:val="en-US"/>
        </w:rPr>
        <w:t>)</w:t>
      </w:r>
      <w:r w:rsidR="00853C2E">
        <w:rPr>
          <w:sz w:val="20"/>
          <w:lang w:val="en-US"/>
        </w:rPr>
        <w:t xml:space="preserve"> (2023)</w:t>
      </w:r>
      <w:r w:rsidRPr="00187FA7">
        <w:rPr>
          <w:sz w:val="20"/>
          <w:lang w:val="en-US"/>
        </w:rPr>
        <w:t xml:space="preserve">, Elections in 2024: </w:t>
      </w:r>
      <w:r w:rsidRPr="00187FA7">
        <w:rPr>
          <w:sz w:val="20"/>
          <w:lang w:bidi="en-US"/>
        </w:rPr>
        <w:t xml:space="preserve">Determination and notification of polling stations, use of the election information system, election materials, election </w:t>
      </w:r>
      <w:r w:rsidRPr="00187FA7">
        <w:rPr>
          <w:sz w:val="20"/>
          <w:lang w:val="en-US"/>
        </w:rPr>
        <w:t>training, etc., (</w:t>
      </w:r>
      <w:hyperlink r:id="rId70" w:history="1">
        <w:r w:rsidRPr="00187FA7">
          <w:rPr>
            <w:rStyle w:val="Hyperlink"/>
            <w:i/>
            <w:iCs/>
            <w:sz w:val="20"/>
            <w:lang w:val="en-US"/>
          </w:rPr>
          <w:t>Vuoden 2024 vaalit: Äänestyspaikkojen määrääminen ja niistä ilmoittaminen, vaalitietojärjestelmän käyttö, vaalimateriaali, vaalikoulutus ym.</w:t>
        </w:r>
      </w:hyperlink>
      <w:r w:rsidRPr="00187FA7">
        <w:rPr>
          <w:sz w:val="20"/>
          <w:lang w:val="en-US"/>
        </w:rPr>
        <w:t xml:space="preserve">), </w:t>
      </w:r>
      <w:r w:rsidR="005356FB" w:rsidRPr="00187FA7">
        <w:rPr>
          <w:sz w:val="20"/>
          <w:lang w:val="en-US"/>
        </w:rPr>
        <w:t xml:space="preserve">Letter to municipal governments, </w:t>
      </w:r>
      <w:r w:rsidRPr="00187FA7">
        <w:rPr>
          <w:sz w:val="20"/>
          <w:lang w:val="en-US"/>
        </w:rPr>
        <w:t>VN/17100/2023, 2 June 2023, p. 15.</w:t>
      </w:r>
    </w:p>
  </w:footnote>
  <w:footnote w:id="46">
    <w:p w14:paraId="1D43FCE0" w14:textId="1B2E25C5" w:rsidR="00DE1CA5" w:rsidRPr="00187FA7" w:rsidRDefault="00DE1CA5" w:rsidP="00EA405E">
      <w:pPr>
        <w:pStyle w:val="FootnoteText"/>
        <w:jc w:val="both"/>
        <w:rPr>
          <w:sz w:val="20"/>
        </w:rPr>
      </w:pPr>
      <w:r w:rsidRPr="00187FA7">
        <w:rPr>
          <w:rStyle w:val="FootnoteReference"/>
          <w:sz w:val="20"/>
        </w:rPr>
        <w:footnoteRef/>
      </w:r>
      <w:r w:rsidR="00C62540" w:rsidRPr="00187FA7">
        <w:rPr>
          <w:sz w:val="20"/>
        </w:rPr>
        <w:t xml:space="preserve"> Finnish Association of People with Physical Disabilities (</w:t>
      </w:r>
      <w:r w:rsidR="00C62540" w:rsidRPr="00187FA7">
        <w:rPr>
          <w:i/>
          <w:iCs/>
          <w:sz w:val="20"/>
        </w:rPr>
        <w:t>Invalidiliitto</w:t>
      </w:r>
      <w:r w:rsidR="00C62540" w:rsidRPr="00187FA7">
        <w:rPr>
          <w:sz w:val="20"/>
        </w:rPr>
        <w:t>/</w:t>
      </w:r>
      <w:r w:rsidR="00C62540" w:rsidRPr="00187FA7">
        <w:rPr>
          <w:i/>
          <w:iCs/>
          <w:sz w:val="20"/>
        </w:rPr>
        <w:t>Invalidförbundet</w:t>
      </w:r>
      <w:r w:rsidR="00C62540" w:rsidRPr="00187FA7">
        <w:rPr>
          <w:sz w:val="20"/>
        </w:rPr>
        <w:t xml:space="preserve">), </w:t>
      </w:r>
      <w:hyperlink r:id="rId71" w:history="1">
        <w:r w:rsidR="00C62540" w:rsidRPr="00187FA7">
          <w:rPr>
            <w:rStyle w:val="Hyperlink"/>
            <w:sz w:val="20"/>
          </w:rPr>
          <w:t>Accessibility Checklist for Polling Stations</w:t>
        </w:r>
      </w:hyperlink>
      <w:r w:rsidRPr="00187FA7">
        <w:rPr>
          <w:sz w:val="20"/>
        </w:rPr>
        <w:t xml:space="preserve"> </w:t>
      </w:r>
      <w:r w:rsidR="00C62540" w:rsidRPr="00187FA7">
        <w:rPr>
          <w:sz w:val="20"/>
        </w:rPr>
        <w:t>(</w:t>
      </w:r>
      <w:hyperlink r:id="rId72" w:history="1">
        <w:r w:rsidRPr="00187FA7">
          <w:rPr>
            <w:rStyle w:val="Hyperlink"/>
            <w:sz w:val="20"/>
          </w:rPr>
          <w:t>Äänestyspaikkojen esteettömyyden tarkistuslista</w:t>
        </w:r>
      </w:hyperlink>
      <w:r w:rsidR="00C62540" w:rsidRPr="00187FA7">
        <w:rPr>
          <w:rStyle w:val="Hyperlink"/>
          <w:color w:val="595959" w:themeColor="text1" w:themeTint="A6"/>
          <w:sz w:val="20"/>
        </w:rPr>
        <w:t>/</w:t>
      </w:r>
      <w:hyperlink r:id="rId73" w:history="1">
        <w:r w:rsidR="00C62540" w:rsidRPr="00187FA7">
          <w:rPr>
            <w:rStyle w:val="Hyperlink"/>
            <w:color w:val="2E74B5" w:themeColor="accent5" w:themeShade="BF"/>
            <w:sz w:val="20"/>
          </w:rPr>
          <w:t>Checklista för röstningsställenas tillgänglighet</w:t>
        </w:r>
      </w:hyperlink>
      <w:r w:rsidR="00C62540" w:rsidRPr="00187FA7">
        <w:rPr>
          <w:rStyle w:val="Hyperlink"/>
          <w:color w:val="595959" w:themeColor="text1" w:themeTint="A6"/>
          <w:sz w:val="20"/>
          <w:u w:val="none"/>
        </w:rPr>
        <w:t>).</w:t>
      </w:r>
    </w:p>
  </w:footnote>
  <w:footnote w:id="47">
    <w:p w14:paraId="1F5A7B6F" w14:textId="24E9A06A" w:rsidR="00457FFE" w:rsidRPr="00187FA7" w:rsidRDefault="00457FFE">
      <w:pPr>
        <w:pStyle w:val="FootnoteText"/>
        <w:rPr>
          <w:sz w:val="20"/>
          <w:lang w:val="sv-SE"/>
        </w:rPr>
      </w:pPr>
      <w:r w:rsidRPr="00187FA7">
        <w:rPr>
          <w:rStyle w:val="FootnoteReference"/>
          <w:sz w:val="20"/>
        </w:rPr>
        <w:footnoteRef/>
      </w:r>
      <w:r w:rsidRPr="00187FA7">
        <w:rPr>
          <w:sz w:val="20"/>
        </w:rPr>
        <w:t xml:space="preserve"> </w:t>
      </w:r>
      <w:r w:rsidRPr="00187FA7">
        <w:rPr>
          <w:sz w:val="20"/>
          <w:lang w:val="sv-SE"/>
        </w:rPr>
        <w:t xml:space="preserve">Finland, </w:t>
      </w:r>
      <w:r w:rsidRPr="00187FA7">
        <w:rPr>
          <w:sz w:val="20"/>
        </w:rPr>
        <w:t>Government Decree on the Advisory Board for the Rights of Persons with Disabilities (</w:t>
      </w:r>
      <w:hyperlink r:id="rId74" w:history="1">
        <w:r w:rsidRPr="00187FA7">
          <w:rPr>
            <w:rStyle w:val="Hyperlink"/>
            <w:i/>
            <w:iCs/>
            <w:sz w:val="20"/>
          </w:rPr>
          <w:t>Valtioneuvoston asetus vammaisten henkilöiden oikeuksien neuvottelu</w:t>
        </w:r>
        <w:r w:rsidRPr="00187FA7">
          <w:rPr>
            <w:rStyle w:val="Hyperlink"/>
            <w:i/>
            <w:iCs/>
            <w:sz w:val="20"/>
          </w:rPr>
          <w:softHyphen/>
          <w:t>kunnasta</w:t>
        </w:r>
      </w:hyperlink>
      <w:r w:rsidRPr="00187FA7">
        <w:rPr>
          <w:sz w:val="20"/>
          <w:u w:val="single"/>
        </w:rPr>
        <w:t>/</w:t>
      </w:r>
      <w:hyperlink r:id="rId75" w:history="1">
        <w:r w:rsidRPr="00187FA7">
          <w:rPr>
            <w:rStyle w:val="Hyperlink"/>
            <w:i/>
            <w:iCs/>
            <w:sz w:val="20"/>
          </w:rPr>
          <w:t>Statsrådets förordning om delegationen för rättigheter för personer med funktionsnedsättning</w:t>
        </w:r>
      </w:hyperlink>
      <w:r w:rsidRPr="00187FA7">
        <w:rPr>
          <w:sz w:val="20"/>
        </w:rPr>
        <w:t>), Decree No. 908/2016, 3 October 2016.</w:t>
      </w:r>
    </w:p>
  </w:footnote>
  <w:footnote w:id="48">
    <w:p w14:paraId="64CD592E" w14:textId="05685544" w:rsidR="00C62540" w:rsidRPr="00187FA7" w:rsidRDefault="00C62540">
      <w:pPr>
        <w:pStyle w:val="FootnoteText"/>
        <w:rPr>
          <w:sz w:val="20"/>
          <w:lang w:val="sv-SE"/>
        </w:rPr>
      </w:pPr>
      <w:r w:rsidRPr="00187FA7">
        <w:rPr>
          <w:rStyle w:val="FootnoteReference"/>
          <w:sz w:val="20"/>
        </w:rPr>
        <w:footnoteRef/>
      </w:r>
      <w:r w:rsidRPr="00041EB5">
        <w:rPr>
          <w:sz w:val="20"/>
          <w:lang w:val="sv-SE"/>
        </w:rPr>
        <w:t xml:space="preserve"> </w:t>
      </w:r>
      <w:r w:rsidRPr="00187FA7">
        <w:rPr>
          <w:sz w:val="20"/>
          <w:lang w:val="sv-SE"/>
        </w:rPr>
        <w:t xml:space="preserve">Finland, </w:t>
      </w:r>
      <w:r w:rsidR="00371ACB" w:rsidRPr="00041EB5">
        <w:rPr>
          <w:sz w:val="20"/>
          <w:lang w:val="sv-SE"/>
        </w:rPr>
        <w:t>Parliamentary Ombudsman Act (</w:t>
      </w:r>
      <w:hyperlink r:id="rId76" w:history="1">
        <w:r w:rsidR="00371ACB" w:rsidRPr="00041EB5">
          <w:rPr>
            <w:rStyle w:val="Hyperlink"/>
            <w:i/>
            <w:sz w:val="20"/>
            <w:lang w:val="sv-SE"/>
          </w:rPr>
          <w:t>laki eduskunnan oikeusasiamiehestä</w:t>
        </w:r>
      </w:hyperlink>
      <w:r w:rsidR="00371ACB" w:rsidRPr="00041EB5">
        <w:rPr>
          <w:i/>
          <w:sz w:val="20"/>
          <w:lang w:val="sv-SE"/>
        </w:rPr>
        <w:t>/</w:t>
      </w:r>
      <w:hyperlink r:id="rId77" w:history="1">
        <w:r w:rsidR="00371ACB" w:rsidRPr="00041EB5">
          <w:rPr>
            <w:rStyle w:val="Hyperlink"/>
            <w:i/>
            <w:sz w:val="20"/>
            <w:lang w:val="sv-SE"/>
          </w:rPr>
          <w:t>lag om riksdagens justitieombudsman</w:t>
        </w:r>
      </w:hyperlink>
      <w:r w:rsidR="00371ACB" w:rsidRPr="00041EB5">
        <w:rPr>
          <w:sz w:val="20"/>
          <w:lang w:val="sv-SE"/>
        </w:rPr>
        <w:t>), Act No. 197/2002, 14 March 2002.</w:t>
      </w:r>
    </w:p>
  </w:footnote>
  <w:footnote w:id="49">
    <w:p w14:paraId="2FBA0780" w14:textId="3B398115" w:rsidR="0010678C" w:rsidRPr="00041EB5" w:rsidRDefault="0010678C" w:rsidP="00EA405E">
      <w:pPr>
        <w:pStyle w:val="FootnoteText"/>
        <w:jc w:val="both"/>
        <w:rPr>
          <w:sz w:val="20"/>
          <w:lang w:val="sv-SE"/>
        </w:rPr>
      </w:pPr>
      <w:r w:rsidRPr="00187FA7">
        <w:rPr>
          <w:rStyle w:val="FootnoteReference"/>
          <w:sz w:val="20"/>
        </w:rPr>
        <w:footnoteRef/>
      </w:r>
      <w:r w:rsidRPr="00041EB5">
        <w:rPr>
          <w:sz w:val="20"/>
          <w:lang w:val="sv-SE"/>
        </w:rPr>
        <w:t xml:space="preserve"> Finland, Disability Forum, Opinions and statements (</w:t>
      </w:r>
      <w:r w:rsidRPr="00041EB5">
        <w:rPr>
          <w:i/>
          <w:iCs/>
          <w:sz w:val="20"/>
          <w:lang w:val="sv-SE"/>
        </w:rPr>
        <w:t>Lausuntoja</w:t>
      </w:r>
      <w:r w:rsidRPr="00041EB5">
        <w:rPr>
          <w:sz w:val="20"/>
          <w:lang w:val="sv-SE"/>
        </w:rPr>
        <w:t>/</w:t>
      </w:r>
      <w:r w:rsidRPr="00041EB5">
        <w:rPr>
          <w:i/>
          <w:iCs/>
          <w:sz w:val="20"/>
          <w:lang w:val="sv-SE"/>
        </w:rPr>
        <w:t>Utlåtanden</w:t>
      </w:r>
      <w:r w:rsidRPr="00041EB5">
        <w:rPr>
          <w:sz w:val="20"/>
          <w:lang w:val="sv-SE"/>
        </w:rPr>
        <w:t>), webpage, accessed on14 December 2023</w:t>
      </w:r>
      <w:r w:rsidR="00BB18B0" w:rsidRPr="00041EB5">
        <w:rPr>
          <w:sz w:val="20"/>
          <w:lang w:val="sv-SE"/>
        </w:rPr>
        <w:t xml:space="preserve"> and Ministry of Social Affairs and Health (</w:t>
      </w:r>
      <w:r w:rsidR="00BB18B0" w:rsidRPr="00041EB5">
        <w:rPr>
          <w:i/>
          <w:iCs/>
          <w:sz w:val="20"/>
          <w:lang w:val="sv-SE"/>
        </w:rPr>
        <w:t>sosiaali- ja terveysministeriö</w:t>
      </w:r>
      <w:r w:rsidR="00BB18B0" w:rsidRPr="00041EB5">
        <w:rPr>
          <w:sz w:val="20"/>
          <w:lang w:val="sv-SE"/>
        </w:rPr>
        <w:t>/</w:t>
      </w:r>
      <w:r w:rsidR="00BB18B0" w:rsidRPr="00041EB5">
        <w:rPr>
          <w:i/>
          <w:iCs/>
          <w:sz w:val="20"/>
          <w:lang w:val="sv-SE"/>
        </w:rPr>
        <w:t>social- och hälsovårdsministeriet</w:t>
      </w:r>
      <w:r w:rsidR="00BB18B0" w:rsidRPr="00041EB5">
        <w:rPr>
          <w:sz w:val="20"/>
          <w:lang w:val="sv-SE"/>
        </w:rPr>
        <w:t>)</w:t>
      </w:r>
      <w:r w:rsidR="00494DF0">
        <w:rPr>
          <w:sz w:val="20"/>
          <w:lang w:val="sv-SE"/>
        </w:rPr>
        <w:t xml:space="preserve"> (2023)</w:t>
      </w:r>
      <w:r w:rsidR="00BB18B0" w:rsidRPr="00041EB5">
        <w:rPr>
          <w:sz w:val="20"/>
          <w:lang w:val="sv-SE"/>
        </w:rPr>
        <w:t>,</w:t>
      </w:r>
      <w:r w:rsidR="00494DF0" w:rsidRPr="00494DF0">
        <w:rPr>
          <w:color w:val="auto"/>
          <w:sz w:val="20"/>
          <w:lang w:val="fi-FI"/>
        </w:rPr>
        <w:t xml:space="preserve"> </w:t>
      </w:r>
      <w:r w:rsidR="00494DF0" w:rsidRPr="00494DF0">
        <w:rPr>
          <w:sz w:val="20"/>
          <w:lang w:val="fi-FI"/>
        </w:rPr>
        <w:t>Follow-up report on National Action Plan on the UN Convention on the Rights of Persons with Disabilities (2020−2023) (</w:t>
      </w:r>
      <w:hyperlink r:id="rId78" w:history="1">
        <w:r w:rsidR="00494DF0" w:rsidRPr="00494DF0">
          <w:rPr>
            <w:rStyle w:val="Hyperlink"/>
            <w:i/>
            <w:iCs/>
            <w:sz w:val="20"/>
          </w:rPr>
          <w:t>Seurantaraportti: YK:n vammaisten henkilöiden oikeuksien yleissopimuksen kansallinen toimintaohjelma [2020–2023</w:t>
        </w:r>
      </w:hyperlink>
      <w:r w:rsidR="00494DF0" w:rsidRPr="00494DF0">
        <w:rPr>
          <w:i/>
          <w:iCs/>
          <w:sz w:val="20"/>
        </w:rPr>
        <w:t>]</w:t>
      </w:r>
      <w:r w:rsidR="00494DF0" w:rsidRPr="00494DF0">
        <w:rPr>
          <w:sz w:val="20"/>
        </w:rPr>
        <w:t>/ Uppföljningsrapport: Nationellt handlingsprogram för FN:s konvention om rättigheter för personer med funktionsnedsättning [2020–2023]), Helsinki, Publications of the Ministry of Social Affairs and Health 2023:24</w:t>
      </w:r>
      <w:r w:rsidR="00BB18B0" w:rsidRPr="00041EB5">
        <w:rPr>
          <w:sz w:val="20"/>
          <w:lang w:val="sv-SE"/>
        </w:rPr>
        <w:t xml:space="preserve"> , p.15.</w:t>
      </w:r>
    </w:p>
  </w:footnote>
  <w:footnote w:id="50">
    <w:p w14:paraId="000A258C" w14:textId="26FCDBA8" w:rsidR="0010678C" w:rsidRPr="00187FA7" w:rsidRDefault="0010678C" w:rsidP="00EA405E">
      <w:pPr>
        <w:pStyle w:val="FootnoteText"/>
        <w:jc w:val="both"/>
        <w:rPr>
          <w:sz w:val="20"/>
          <w:lang w:val="fi-FI"/>
        </w:rPr>
      </w:pPr>
      <w:r w:rsidRPr="00187FA7">
        <w:rPr>
          <w:rStyle w:val="FootnoteReference"/>
          <w:sz w:val="20"/>
        </w:rPr>
        <w:footnoteRef/>
      </w:r>
      <w:r w:rsidRPr="00187FA7">
        <w:rPr>
          <w:sz w:val="20"/>
          <w:lang w:val="fi-FI"/>
        </w:rPr>
        <w:t xml:space="preserve"> </w:t>
      </w:r>
      <w:r w:rsidR="00371ACB" w:rsidRPr="00187FA7">
        <w:rPr>
          <w:sz w:val="20"/>
          <w:lang w:val="fi-FI"/>
        </w:rPr>
        <w:t xml:space="preserve">Finland, Ministry of Justice, </w:t>
      </w:r>
      <w:r w:rsidR="00793AC2" w:rsidRPr="00187FA7">
        <w:rPr>
          <w:sz w:val="20"/>
          <w:lang w:val="fi-FI"/>
        </w:rPr>
        <w:t xml:space="preserve">Lausuntopalvelu.fi, </w:t>
      </w:r>
      <w:hyperlink r:id="rId79" w:history="1">
        <w:r w:rsidR="00793AC2" w:rsidRPr="00187FA7">
          <w:rPr>
            <w:rStyle w:val="Hyperlink"/>
            <w:sz w:val="20"/>
            <w:lang w:val="fi-FI"/>
          </w:rPr>
          <w:t>Lausuntopyyntö vammaispalvelulain uudistuksesta</w:t>
        </w:r>
      </w:hyperlink>
      <w:r w:rsidR="00793AC2" w:rsidRPr="00187FA7">
        <w:rPr>
          <w:sz w:val="20"/>
          <w:lang w:val="fi-FI"/>
        </w:rPr>
        <w:t xml:space="preserve">, </w:t>
      </w:r>
      <w:r w:rsidR="00793AC2" w:rsidRPr="00041EB5">
        <w:rPr>
          <w:sz w:val="20"/>
          <w:lang w:val="sv-SE"/>
        </w:rPr>
        <w:t>VN/12531/2021, 17 February 2022, web page, accessed on 14 December 2023.</w:t>
      </w:r>
    </w:p>
  </w:footnote>
  <w:footnote w:id="51">
    <w:p w14:paraId="43949A65" w14:textId="4260AB1E" w:rsidR="00793AC2" w:rsidRPr="00187FA7" w:rsidRDefault="00793AC2" w:rsidP="00793AC2">
      <w:pPr>
        <w:pStyle w:val="FootnoteText"/>
        <w:rPr>
          <w:sz w:val="20"/>
          <w:lang w:val="sv-SE"/>
        </w:rPr>
      </w:pPr>
      <w:r w:rsidRPr="00187FA7">
        <w:rPr>
          <w:rStyle w:val="FootnoteReference"/>
          <w:sz w:val="20"/>
        </w:rPr>
        <w:footnoteRef/>
      </w:r>
      <w:r w:rsidRPr="00187FA7">
        <w:rPr>
          <w:sz w:val="20"/>
        </w:rPr>
        <w:t xml:space="preserve"> Finland, Local Government Act (</w:t>
      </w:r>
      <w:hyperlink r:id="rId80" w:history="1">
        <w:r w:rsidRPr="00187FA7">
          <w:rPr>
            <w:rStyle w:val="Hyperlink"/>
            <w:i/>
            <w:iCs/>
            <w:sz w:val="20"/>
          </w:rPr>
          <w:t>kuntalaki</w:t>
        </w:r>
      </w:hyperlink>
      <w:r w:rsidRPr="00187FA7">
        <w:rPr>
          <w:sz w:val="20"/>
        </w:rPr>
        <w:t>/</w:t>
      </w:r>
      <w:hyperlink r:id="rId81" w:history="1">
        <w:r w:rsidRPr="00187FA7">
          <w:rPr>
            <w:rStyle w:val="Hyperlink"/>
            <w:sz w:val="20"/>
          </w:rPr>
          <w:t>kommunallag</w:t>
        </w:r>
      </w:hyperlink>
      <w:r w:rsidRPr="00187FA7">
        <w:rPr>
          <w:sz w:val="20"/>
        </w:rPr>
        <w:t>), Act No. 410/2015, 10 April 2015.</w:t>
      </w:r>
    </w:p>
  </w:footnote>
  <w:footnote w:id="52">
    <w:p w14:paraId="50C6A5F1" w14:textId="77777777" w:rsidR="00793AC2" w:rsidRPr="00187FA7" w:rsidRDefault="00793AC2" w:rsidP="00793AC2">
      <w:pPr>
        <w:pStyle w:val="FootnoteText"/>
        <w:rPr>
          <w:sz w:val="20"/>
          <w:lang w:val="sv-SE"/>
        </w:rPr>
      </w:pPr>
      <w:r w:rsidRPr="00187FA7">
        <w:rPr>
          <w:rStyle w:val="FootnoteReference"/>
          <w:sz w:val="20"/>
        </w:rPr>
        <w:footnoteRef/>
      </w:r>
      <w:r w:rsidRPr="00187FA7">
        <w:rPr>
          <w:sz w:val="20"/>
        </w:rPr>
        <w:t xml:space="preserve"> </w:t>
      </w:r>
      <w:r w:rsidRPr="00187FA7">
        <w:rPr>
          <w:sz w:val="20"/>
          <w:lang w:val="sv-SE"/>
        </w:rPr>
        <w:t xml:space="preserve">Finland, </w:t>
      </w:r>
      <w:r w:rsidRPr="00187FA7">
        <w:rPr>
          <w:sz w:val="20"/>
        </w:rPr>
        <w:t>Act on Wellbeing Services Counties (</w:t>
      </w:r>
      <w:hyperlink r:id="rId82" w:history="1">
        <w:r w:rsidRPr="00187FA7">
          <w:rPr>
            <w:rStyle w:val="Hyperlink"/>
            <w:i/>
            <w:iCs/>
            <w:sz w:val="20"/>
          </w:rPr>
          <w:t>laki hyvinvointialueesta</w:t>
        </w:r>
      </w:hyperlink>
      <w:r w:rsidRPr="00187FA7">
        <w:rPr>
          <w:sz w:val="20"/>
        </w:rPr>
        <w:t>/</w:t>
      </w:r>
      <w:hyperlink r:id="rId83" w:history="1">
        <w:r w:rsidRPr="00187FA7">
          <w:rPr>
            <w:rStyle w:val="Hyperlink"/>
            <w:i/>
            <w:iCs/>
            <w:sz w:val="20"/>
          </w:rPr>
          <w:t>lag om välfärdsområden</w:t>
        </w:r>
      </w:hyperlink>
      <w:r w:rsidRPr="00187FA7">
        <w:rPr>
          <w:sz w:val="20"/>
        </w:rPr>
        <w:t>), Act No. 611/2021, 29 June 2021.</w:t>
      </w:r>
    </w:p>
    <w:p w14:paraId="51FF6BCE" w14:textId="6FD8F905" w:rsidR="00793AC2" w:rsidRPr="00187FA7" w:rsidRDefault="00793AC2">
      <w:pPr>
        <w:pStyle w:val="FootnoteText"/>
        <w:rPr>
          <w:sz w:val="20"/>
          <w:lang w:val="sv-SE"/>
        </w:rPr>
      </w:pPr>
    </w:p>
  </w:footnote>
  <w:footnote w:id="53">
    <w:p w14:paraId="0945C998" w14:textId="58B379D7" w:rsidR="00240D50" w:rsidRPr="00187FA7" w:rsidRDefault="00240D50" w:rsidP="00EA405E">
      <w:pPr>
        <w:pStyle w:val="FootnoteText"/>
        <w:jc w:val="both"/>
        <w:rPr>
          <w:sz w:val="20"/>
          <w:lang w:val="fi-FI"/>
        </w:rPr>
      </w:pPr>
      <w:r w:rsidRPr="00187FA7">
        <w:rPr>
          <w:rStyle w:val="FootnoteReference"/>
          <w:sz w:val="20"/>
        </w:rPr>
        <w:footnoteRef/>
      </w:r>
      <w:r w:rsidRPr="00187FA7">
        <w:rPr>
          <w:sz w:val="20"/>
          <w:lang w:val="fi-FI"/>
        </w:rPr>
        <w:t xml:space="preserve"> </w:t>
      </w:r>
      <w:bookmarkStart w:id="31" w:name="_Hlk153529418"/>
      <w:r w:rsidR="0012346F" w:rsidRPr="00187FA7">
        <w:rPr>
          <w:sz w:val="20"/>
          <w:lang w:val="fi-FI"/>
        </w:rPr>
        <w:t>Finland, Ministry of Social Affairs and Health (</w:t>
      </w:r>
      <w:r w:rsidR="0012346F" w:rsidRPr="00187FA7">
        <w:rPr>
          <w:i/>
          <w:iCs/>
          <w:sz w:val="20"/>
          <w:lang w:val="fi-FI"/>
        </w:rPr>
        <w:t>sosiaali- ja terveysministeriö</w:t>
      </w:r>
      <w:r w:rsidR="0012346F" w:rsidRPr="00187FA7">
        <w:rPr>
          <w:sz w:val="20"/>
          <w:lang w:val="fi-FI"/>
        </w:rPr>
        <w:t>/</w:t>
      </w:r>
      <w:r w:rsidR="0012346F" w:rsidRPr="00187FA7">
        <w:rPr>
          <w:i/>
          <w:iCs/>
          <w:sz w:val="20"/>
          <w:lang w:val="fi-FI"/>
        </w:rPr>
        <w:t>social- och hälsovårdsministeriet</w:t>
      </w:r>
      <w:r w:rsidR="0012346F" w:rsidRPr="00187FA7">
        <w:rPr>
          <w:sz w:val="20"/>
          <w:lang w:val="fi-FI"/>
        </w:rPr>
        <w:t>)</w:t>
      </w:r>
      <w:r w:rsidR="00853C2E">
        <w:rPr>
          <w:sz w:val="20"/>
          <w:lang w:val="fi-FI"/>
        </w:rPr>
        <w:t xml:space="preserve"> (2023)</w:t>
      </w:r>
      <w:r w:rsidR="0012346F" w:rsidRPr="00187FA7">
        <w:rPr>
          <w:sz w:val="20"/>
          <w:lang w:val="fi-FI"/>
        </w:rPr>
        <w:t xml:space="preserve">, </w:t>
      </w:r>
      <w:bookmarkStart w:id="32" w:name="_Hlk154129775"/>
      <w:r w:rsidR="0012346F" w:rsidRPr="00187FA7">
        <w:rPr>
          <w:sz w:val="20"/>
          <w:lang w:val="fi-FI"/>
        </w:rPr>
        <w:t>Follow-up report on National Action Plan on the UN Convention on the Rights of Persons with Disabilities (2020</w:t>
      </w:r>
      <w:r w:rsidR="0012346F" w:rsidRPr="00187FA7">
        <w:rPr>
          <w:rFonts w:cs="Calibri"/>
          <w:sz w:val="20"/>
          <w:lang w:val="fi-FI"/>
        </w:rPr>
        <w:t>−</w:t>
      </w:r>
      <w:r w:rsidR="0012346F" w:rsidRPr="00187FA7">
        <w:rPr>
          <w:sz w:val="20"/>
          <w:lang w:val="fi-FI"/>
        </w:rPr>
        <w:t>2023) (</w:t>
      </w:r>
      <w:hyperlink r:id="rId84" w:history="1">
        <w:r w:rsidR="0012346F" w:rsidRPr="00017BC0">
          <w:rPr>
            <w:rStyle w:val="Hyperlink"/>
            <w:i/>
            <w:iCs/>
            <w:sz w:val="20"/>
          </w:rPr>
          <w:t>Seurantaraportti: YK:n vammaisten henkilöiden oikeuksien yleissopimuksen kansallinen toimintaohjelma [2020–2023</w:t>
        </w:r>
      </w:hyperlink>
      <w:r w:rsidR="0012346F" w:rsidRPr="00017BC0">
        <w:rPr>
          <w:i/>
          <w:iCs/>
          <w:sz w:val="20"/>
        </w:rPr>
        <w:t>]</w:t>
      </w:r>
      <w:r w:rsidR="0012346F" w:rsidRPr="00187FA7">
        <w:rPr>
          <w:sz w:val="20"/>
        </w:rPr>
        <w:t>/</w:t>
      </w:r>
      <w:r w:rsidR="0012346F" w:rsidRPr="00187FA7">
        <w:rPr>
          <w:color w:val="auto"/>
          <w:sz w:val="20"/>
        </w:rPr>
        <w:t xml:space="preserve"> </w:t>
      </w:r>
      <w:r w:rsidR="0012346F" w:rsidRPr="00187FA7">
        <w:rPr>
          <w:sz w:val="20"/>
        </w:rPr>
        <w:t>Uppföljningsrapport: Nationellt handlingsprogram för FN:s konvention om rättigheter för personer med funktionsnedsättning [2020–2023]), Helsinki, Publications of the Ministry of Social Affairs and Health 2023:24</w:t>
      </w:r>
      <w:bookmarkEnd w:id="32"/>
      <w:r w:rsidR="00AC16D0" w:rsidRPr="00187FA7">
        <w:rPr>
          <w:sz w:val="20"/>
        </w:rPr>
        <w:t xml:space="preserve">, </w:t>
      </w:r>
      <w:bookmarkEnd w:id="31"/>
      <w:r w:rsidR="00AC16D0" w:rsidRPr="00187FA7">
        <w:rPr>
          <w:sz w:val="20"/>
        </w:rPr>
        <w:t>p. 95.</w:t>
      </w:r>
      <w:r w:rsidR="00CE54E3">
        <w:rPr>
          <w:sz w:val="20"/>
        </w:rPr>
        <w:t xml:space="preserve"> See also </w:t>
      </w:r>
      <w:r w:rsidR="00CE54E3" w:rsidRPr="00CE54E3">
        <w:rPr>
          <w:sz w:val="20"/>
          <w:lang w:val="fi-FI"/>
        </w:rPr>
        <w:t>Ministry of Social Affairs and Health (</w:t>
      </w:r>
      <w:r w:rsidR="00CE54E3" w:rsidRPr="00CE54E3">
        <w:rPr>
          <w:i/>
          <w:iCs/>
          <w:sz w:val="20"/>
          <w:lang w:val="fi-FI"/>
        </w:rPr>
        <w:t>sosiaali- ja terveysministeriö</w:t>
      </w:r>
      <w:r w:rsidR="00CE54E3" w:rsidRPr="00CE54E3">
        <w:rPr>
          <w:sz w:val="20"/>
          <w:lang w:val="fi-FI"/>
        </w:rPr>
        <w:t>/</w:t>
      </w:r>
      <w:r w:rsidR="00CE54E3" w:rsidRPr="00CE54E3">
        <w:rPr>
          <w:i/>
          <w:iCs/>
          <w:sz w:val="20"/>
          <w:lang w:val="fi-FI"/>
        </w:rPr>
        <w:t>social- och hälsovårdsministeriet</w:t>
      </w:r>
      <w:r w:rsidR="00CE54E3" w:rsidRPr="00CE54E3">
        <w:rPr>
          <w:sz w:val="20"/>
          <w:lang w:val="fi-FI"/>
        </w:rPr>
        <w:t xml:space="preserve">) (2021), </w:t>
      </w:r>
      <w:hyperlink r:id="rId85" w:history="1">
        <w:r w:rsidR="00CE54E3" w:rsidRPr="00017BC0">
          <w:rPr>
            <w:rStyle w:val="Hyperlink"/>
            <w:i/>
            <w:iCs/>
            <w:sz w:val="20"/>
            <w:lang w:val="fi-FI"/>
          </w:rPr>
          <w:t>Right to social inclusion and equality: National Action Plan on the UN Convention on the Rights of Persons with Disabilities (2020–2023)</w:t>
        </w:r>
      </w:hyperlink>
      <w:r w:rsidR="00CE54E3" w:rsidRPr="00CE54E3">
        <w:rPr>
          <w:sz w:val="20"/>
          <w:lang w:val="fi-FI"/>
        </w:rPr>
        <w:t xml:space="preserve"> (</w:t>
      </w:r>
      <w:hyperlink r:id="rId86" w:history="1">
        <w:r w:rsidR="00CE54E3" w:rsidRPr="00017BC0">
          <w:rPr>
            <w:rStyle w:val="Hyperlink"/>
            <w:i/>
            <w:iCs/>
            <w:sz w:val="20"/>
            <w:lang w:val="fi-FI"/>
          </w:rPr>
          <w:t>Oikeus osallisuuteen ja yhdenvertaisuuteen: YK:n vammaisten henkilöiden oikeuksien yleissopimuksen kansallinen toimintaohjelma 2020–2023</w:t>
        </w:r>
      </w:hyperlink>
      <w:r w:rsidR="00CE54E3" w:rsidRPr="00CE54E3">
        <w:rPr>
          <w:sz w:val="20"/>
          <w:u w:val="single"/>
          <w:lang w:val="fi-FI"/>
        </w:rPr>
        <w:t>/</w:t>
      </w:r>
      <w:hyperlink r:id="rId87" w:history="1">
        <w:r w:rsidR="00CE54E3" w:rsidRPr="00017BC0">
          <w:rPr>
            <w:rStyle w:val="Hyperlink"/>
            <w:i/>
            <w:iCs/>
            <w:sz w:val="20"/>
            <w:lang w:val="fi-FI"/>
          </w:rPr>
          <w:t>Rätt till delaktighet och likabehandling Nationellt handlingsprogram för FN:s konvention om rättigheter för personer med funktionsnedsättning</w:t>
        </w:r>
      </w:hyperlink>
      <w:r w:rsidR="00CE54E3" w:rsidRPr="00017BC0">
        <w:rPr>
          <w:i/>
          <w:iCs/>
          <w:sz w:val="20"/>
          <w:lang w:val="fi-FI"/>
        </w:rPr>
        <w:t xml:space="preserve"> [2020–2023]</w:t>
      </w:r>
      <w:r w:rsidR="00CE54E3" w:rsidRPr="00CE54E3">
        <w:rPr>
          <w:sz w:val="20"/>
          <w:lang w:val="fi-FI"/>
        </w:rPr>
        <w:t>), Helsinki, Publications of the Ministry of Social Affairs and Health 2021:2, pp. </w:t>
      </w:r>
      <w:r w:rsidR="00CE54E3">
        <w:rPr>
          <w:sz w:val="20"/>
          <w:lang w:val="fi-FI"/>
        </w:rPr>
        <w:t>28</w:t>
      </w:r>
      <w:r w:rsidR="00CE54E3">
        <w:rPr>
          <w:rFonts w:cs="Calibri"/>
          <w:sz w:val="20"/>
          <w:lang w:val="fi-FI"/>
        </w:rPr>
        <w:t>−</w:t>
      </w:r>
      <w:r w:rsidR="00CE54E3">
        <w:rPr>
          <w:sz w:val="20"/>
          <w:lang w:val="fi-FI"/>
        </w:rPr>
        <w:t>31.</w:t>
      </w:r>
    </w:p>
  </w:footnote>
  <w:footnote w:id="54">
    <w:p w14:paraId="4AF73731" w14:textId="077A5DB3" w:rsidR="00F56C0E" w:rsidRPr="00187FA7" w:rsidRDefault="00F56C0E" w:rsidP="00EA405E">
      <w:pPr>
        <w:pStyle w:val="FootnoteText"/>
        <w:jc w:val="both"/>
        <w:rPr>
          <w:sz w:val="20"/>
          <w:lang w:val="fi-FI"/>
        </w:rPr>
      </w:pPr>
      <w:r w:rsidRPr="00187FA7">
        <w:rPr>
          <w:rStyle w:val="FootnoteReference"/>
          <w:sz w:val="20"/>
        </w:rPr>
        <w:footnoteRef/>
      </w:r>
      <w:r w:rsidRPr="00187FA7">
        <w:rPr>
          <w:sz w:val="20"/>
          <w:lang w:val="fi-FI"/>
        </w:rPr>
        <w:t xml:space="preserve"> Finland, Invalidiliitto/Invalidförbundet, </w:t>
      </w:r>
      <w:hyperlink r:id="rId88" w:history="1">
        <w:r w:rsidRPr="00187FA7">
          <w:rPr>
            <w:rStyle w:val="Hyperlink"/>
            <w:i/>
            <w:iCs/>
            <w:sz w:val="20"/>
            <w:lang w:val="fi-FI"/>
          </w:rPr>
          <w:t>Äänestyspaikkojen esteettömyyden tarkistuslista</w:t>
        </w:r>
      </w:hyperlink>
      <w:r w:rsidRPr="00187FA7">
        <w:rPr>
          <w:sz w:val="20"/>
          <w:lang w:val="fi-FI"/>
        </w:rPr>
        <w:t>, webpage, accessed on 14 December 2023</w:t>
      </w:r>
      <w:r w:rsidR="0012346F" w:rsidRPr="00187FA7">
        <w:rPr>
          <w:sz w:val="20"/>
          <w:lang w:val="fi-FI"/>
        </w:rPr>
        <w:t>,</w:t>
      </w:r>
      <w:r w:rsidR="00832842" w:rsidRPr="00187FA7">
        <w:rPr>
          <w:sz w:val="20"/>
          <w:lang w:val="fi-FI"/>
        </w:rPr>
        <w:t xml:space="preserve"> and information obtained from the Ministry of Justice </w:t>
      </w:r>
      <w:r w:rsidR="0012346F" w:rsidRPr="00187FA7">
        <w:rPr>
          <w:sz w:val="20"/>
          <w:lang w:val="fi-FI"/>
        </w:rPr>
        <w:t>(</w:t>
      </w:r>
      <w:r w:rsidR="0012346F" w:rsidRPr="00187FA7">
        <w:rPr>
          <w:i/>
          <w:iCs/>
          <w:sz w:val="20"/>
          <w:lang w:val="fi-FI"/>
        </w:rPr>
        <w:t>oikeusministeriö</w:t>
      </w:r>
      <w:r w:rsidR="0012346F" w:rsidRPr="00187FA7">
        <w:rPr>
          <w:sz w:val="20"/>
          <w:lang w:val="fi-FI"/>
        </w:rPr>
        <w:t>/</w:t>
      </w:r>
      <w:r w:rsidR="0012346F" w:rsidRPr="00187FA7">
        <w:rPr>
          <w:i/>
          <w:iCs/>
          <w:sz w:val="20"/>
          <w:lang w:val="fi-FI"/>
        </w:rPr>
        <w:t>justitieministeriet</w:t>
      </w:r>
      <w:r w:rsidR="0012346F" w:rsidRPr="00187FA7">
        <w:rPr>
          <w:sz w:val="20"/>
          <w:lang w:val="fi-FI"/>
        </w:rPr>
        <w:t xml:space="preserve">) </w:t>
      </w:r>
      <w:r w:rsidR="00AC16D0" w:rsidRPr="00187FA7">
        <w:rPr>
          <w:sz w:val="20"/>
          <w:lang w:val="fi-FI"/>
        </w:rPr>
        <w:t xml:space="preserve">via e-mail </w:t>
      </w:r>
      <w:r w:rsidR="00832842" w:rsidRPr="00187FA7">
        <w:rPr>
          <w:sz w:val="20"/>
          <w:lang w:val="fi-FI"/>
        </w:rPr>
        <w:t>on 1 December 2023.</w:t>
      </w:r>
    </w:p>
  </w:footnote>
  <w:footnote w:id="55">
    <w:p w14:paraId="0888ADC4" w14:textId="38CE78AA" w:rsidR="005277BB" w:rsidRPr="00187FA7" w:rsidRDefault="005277BB" w:rsidP="00EA405E">
      <w:pPr>
        <w:pStyle w:val="FootnoteText"/>
        <w:jc w:val="both"/>
        <w:rPr>
          <w:sz w:val="20"/>
          <w:lang w:val="fi-FI" w:bidi="en-US"/>
        </w:rPr>
      </w:pPr>
      <w:r w:rsidRPr="00187FA7">
        <w:rPr>
          <w:rStyle w:val="FootnoteReference"/>
          <w:sz w:val="20"/>
        </w:rPr>
        <w:footnoteRef/>
      </w:r>
      <w:r w:rsidRPr="00187FA7">
        <w:rPr>
          <w:sz w:val="20"/>
          <w:lang w:val="fi-FI"/>
        </w:rPr>
        <w:t xml:space="preserve"> </w:t>
      </w:r>
      <w:bookmarkStart w:id="33" w:name="_Hlk153539790"/>
      <w:r w:rsidRPr="00187FA7">
        <w:rPr>
          <w:sz w:val="20"/>
          <w:lang w:val="fi-FI"/>
        </w:rPr>
        <w:t xml:space="preserve">Finland, Ministry of </w:t>
      </w:r>
      <w:r w:rsidR="00F56C0E" w:rsidRPr="00187FA7">
        <w:rPr>
          <w:sz w:val="20"/>
          <w:lang w:val="fi-FI"/>
        </w:rPr>
        <w:t xml:space="preserve">the </w:t>
      </w:r>
      <w:r w:rsidR="00C519ED" w:rsidRPr="00187FA7">
        <w:rPr>
          <w:sz w:val="20"/>
          <w:lang w:val="fi-FI"/>
        </w:rPr>
        <w:t>Environment</w:t>
      </w:r>
      <w:r w:rsidR="002F41CE" w:rsidRPr="00187FA7">
        <w:rPr>
          <w:sz w:val="20"/>
          <w:lang w:val="fi-FI"/>
        </w:rPr>
        <w:t xml:space="preserve"> (</w:t>
      </w:r>
      <w:r w:rsidR="002F41CE" w:rsidRPr="00187FA7">
        <w:rPr>
          <w:i/>
          <w:iCs/>
          <w:sz w:val="20"/>
          <w:lang w:val="fi-FI"/>
        </w:rPr>
        <w:t>ympäristöministeriö</w:t>
      </w:r>
      <w:r w:rsidR="002F41CE" w:rsidRPr="00187FA7">
        <w:rPr>
          <w:sz w:val="20"/>
          <w:lang w:val="fi-FI"/>
        </w:rPr>
        <w:t>/</w:t>
      </w:r>
      <w:r w:rsidR="002F41CE" w:rsidRPr="00187FA7">
        <w:rPr>
          <w:i/>
          <w:iCs/>
          <w:sz w:val="20"/>
          <w:lang w:val="fi-FI"/>
        </w:rPr>
        <w:t>miljöministeriet</w:t>
      </w:r>
      <w:r w:rsidR="002F41CE" w:rsidRPr="00187FA7">
        <w:rPr>
          <w:sz w:val="20"/>
          <w:lang w:val="fi-FI"/>
        </w:rPr>
        <w:t>)</w:t>
      </w:r>
      <w:r w:rsidR="00853C2E">
        <w:rPr>
          <w:sz w:val="20"/>
          <w:lang w:val="fi-FI"/>
        </w:rPr>
        <w:t xml:space="preserve"> (2018)</w:t>
      </w:r>
      <w:r w:rsidR="00C519ED" w:rsidRPr="00187FA7">
        <w:rPr>
          <w:sz w:val="20"/>
          <w:lang w:val="fi-FI"/>
        </w:rPr>
        <w:t>,</w:t>
      </w:r>
      <w:r w:rsidR="009E1386" w:rsidRPr="00187FA7">
        <w:rPr>
          <w:color w:val="auto"/>
          <w:sz w:val="20"/>
          <w:lang w:val="fi-FI"/>
        </w:rPr>
        <w:t xml:space="preserve"> </w:t>
      </w:r>
      <w:r w:rsidR="009E1386" w:rsidRPr="00187FA7">
        <w:rPr>
          <w:sz w:val="20"/>
          <w:lang w:val="fi-FI" w:bidi="en-US"/>
        </w:rPr>
        <w:t xml:space="preserve">Accessibility: Ministry of the Environment guidelines on building accessibility </w:t>
      </w:r>
      <w:r w:rsidR="00F56C0E" w:rsidRPr="00187FA7">
        <w:rPr>
          <w:sz w:val="20"/>
          <w:lang w:val="fi-FI" w:bidi="en-US"/>
        </w:rPr>
        <w:t>(</w:t>
      </w:r>
      <w:hyperlink r:id="rId89" w:history="1">
        <w:r w:rsidR="00C519ED" w:rsidRPr="00187FA7">
          <w:rPr>
            <w:rStyle w:val="Hyperlink"/>
            <w:i/>
            <w:iCs/>
            <w:sz w:val="20"/>
            <w:lang w:val="fi-FI"/>
          </w:rPr>
          <w:t>Esteettömyys: Ympäristöministeriön ohje rakennuksen esteettömyydestä</w:t>
        </w:r>
      </w:hyperlink>
      <w:r w:rsidR="00F56C0E" w:rsidRPr="00187FA7">
        <w:rPr>
          <w:sz w:val="20"/>
          <w:lang w:val="fi-FI"/>
        </w:rPr>
        <w:t>)</w:t>
      </w:r>
      <w:r w:rsidR="00C519ED" w:rsidRPr="00187FA7">
        <w:rPr>
          <w:sz w:val="20"/>
          <w:lang w:val="fi-FI"/>
        </w:rPr>
        <w:t xml:space="preserve">, </w:t>
      </w:r>
      <w:r w:rsidR="009E1386" w:rsidRPr="00187FA7">
        <w:rPr>
          <w:sz w:val="20"/>
          <w:lang w:val="fi-FI"/>
        </w:rPr>
        <w:t>2018.</w:t>
      </w:r>
      <w:bookmarkEnd w:id="33"/>
    </w:p>
  </w:footnote>
  <w:footnote w:id="56">
    <w:p w14:paraId="19DB846D" w14:textId="0C039476" w:rsidR="0045022F" w:rsidRPr="00187FA7" w:rsidRDefault="0045022F">
      <w:pPr>
        <w:pStyle w:val="FootnoteText"/>
        <w:rPr>
          <w:sz w:val="20"/>
          <w:lang w:val="sv-SE"/>
        </w:rPr>
      </w:pPr>
      <w:r w:rsidRPr="00187FA7">
        <w:rPr>
          <w:rStyle w:val="FootnoteReference"/>
          <w:sz w:val="20"/>
        </w:rPr>
        <w:footnoteRef/>
      </w:r>
      <w:r w:rsidRPr="00187FA7">
        <w:rPr>
          <w:sz w:val="20"/>
        </w:rPr>
        <w:t xml:space="preserve"> </w:t>
      </w:r>
      <w:bookmarkStart w:id="35" w:name="_Hlk153538970"/>
      <w:r w:rsidRPr="00187FA7">
        <w:rPr>
          <w:sz w:val="20"/>
          <w:lang w:val="sv-SE"/>
        </w:rPr>
        <w:t xml:space="preserve">Finland, Government decree on accessibility of buildings </w:t>
      </w:r>
      <w:r w:rsidRPr="00187FA7">
        <w:rPr>
          <w:sz w:val="20"/>
        </w:rPr>
        <w:t>(</w:t>
      </w:r>
      <w:hyperlink r:id="rId90" w:history="1">
        <w:r w:rsidRPr="00017BC0">
          <w:rPr>
            <w:rStyle w:val="Hyperlink"/>
            <w:i/>
            <w:iCs/>
            <w:sz w:val="20"/>
          </w:rPr>
          <w:t>valtioneuvos</w:t>
        </w:r>
        <w:r w:rsidRPr="00017BC0">
          <w:rPr>
            <w:rStyle w:val="Hyperlink"/>
            <w:i/>
            <w:iCs/>
            <w:sz w:val="20"/>
          </w:rPr>
          <w:softHyphen/>
          <w:t>ton asetus rakennuksen esteettömyy</w:t>
        </w:r>
        <w:r w:rsidRPr="00017BC0">
          <w:rPr>
            <w:rStyle w:val="Hyperlink"/>
            <w:i/>
            <w:iCs/>
            <w:sz w:val="20"/>
          </w:rPr>
          <w:softHyphen/>
          <w:t>destä</w:t>
        </w:r>
      </w:hyperlink>
      <w:r w:rsidRPr="00187FA7">
        <w:rPr>
          <w:sz w:val="20"/>
        </w:rPr>
        <w:t>/</w:t>
      </w:r>
      <w:hyperlink r:id="rId91" w:history="1">
        <w:r w:rsidRPr="00017BC0">
          <w:rPr>
            <w:rStyle w:val="Hyperlink"/>
            <w:i/>
            <w:iCs/>
            <w:sz w:val="20"/>
          </w:rPr>
          <w:t>stats</w:t>
        </w:r>
        <w:r w:rsidRPr="00017BC0">
          <w:rPr>
            <w:rStyle w:val="Hyperlink"/>
            <w:i/>
            <w:iCs/>
            <w:sz w:val="20"/>
          </w:rPr>
          <w:softHyphen/>
          <w:t>rådets förordning om byggna</w:t>
        </w:r>
        <w:r w:rsidRPr="00017BC0">
          <w:rPr>
            <w:rStyle w:val="Hyperlink"/>
            <w:i/>
            <w:iCs/>
            <w:sz w:val="20"/>
          </w:rPr>
          <w:softHyphen/>
          <w:t>d</w:t>
        </w:r>
        <w:r w:rsidRPr="00017BC0">
          <w:rPr>
            <w:rStyle w:val="Hyperlink"/>
            <w:i/>
            <w:iCs/>
            <w:sz w:val="20"/>
          </w:rPr>
          <w:softHyphen/>
          <w:t>ers tillgänglighet</w:t>
        </w:r>
      </w:hyperlink>
      <w:r w:rsidRPr="00187FA7">
        <w:rPr>
          <w:sz w:val="20"/>
        </w:rPr>
        <w:t>), (Decree No. 241/2017), 4 May 2017.</w:t>
      </w:r>
      <w:bookmarkEnd w:id="35"/>
    </w:p>
  </w:footnote>
  <w:footnote w:id="57">
    <w:p w14:paraId="3A9D2AEA" w14:textId="73B8085C" w:rsidR="00317F6A" w:rsidRPr="00187FA7" w:rsidRDefault="00317F6A" w:rsidP="00EA405E">
      <w:pPr>
        <w:pStyle w:val="FootnoteText"/>
        <w:jc w:val="both"/>
        <w:rPr>
          <w:sz w:val="20"/>
          <w:lang w:val="fi-FI"/>
        </w:rPr>
      </w:pPr>
      <w:r w:rsidRPr="00187FA7">
        <w:rPr>
          <w:rStyle w:val="FootnoteReference"/>
          <w:sz w:val="20"/>
        </w:rPr>
        <w:footnoteRef/>
      </w:r>
      <w:r w:rsidRPr="00187FA7">
        <w:rPr>
          <w:sz w:val="20"/>
          <w:lang w:val="fi-FI"/>
        </w:rPr>
        <w:t xml:space="preserve"> </w:t>
      </w:r>
      <w:r w:rsidR="005B1F5E" w:rsidRPr="00187FA7">
        <w:rPr>
          <w:sz w:val="20"/>
          <w:lang w:val="fi-FI"/>
        </w:rPr>
        <w:t>Kilpelä, N., (2019)</w:t>
      </w:r>
      <w:r w:rsidR="00196DA1" w:rsidRPr="00187FA7">
        <w:rPr>
          <w:sz w:val="20"/>
          <w:lang w:val="fi-FI"/>
        </w:rPr>
        <w:t>,</w:t>
      </w:r>
      <w:r w:rsidR="005B1F5E" w:rsidRPr="00187FA7">
        <w:rPr>
          <w:sz w:val="20"/>
          <w:lang w:val="fi-FI"/>
        </w:rPr>
        <w:t xml:space="preserve"> </w:t>
      </w:r>
      <w:r w:rsidR="00DE604A">
        <w:fldChar w:fldCharType="begin"/>
      </w:r>
      <w:r w:rsidR="00DE604A" w:rsidRPr="00DE604A">
        <w:rPr>
          <w:lang w:val="sv-SE"/>
        </w:rPr>
        <w:instrText>HYPERLINK "https://ym.fi/documents/1410903/40549091/Esteet%C3%B6n+rakennus+ja+ymp%C3%A4rist%C3%B6.pdf/6e0ba1cf-d5f5-f5b1-da08-6a15e5dfa7f5/Esteet%C3%B6n+rakennus+ja+ymp%C3%A4rist%C3%B6.pdf?t=1696569011974"</w:instrText>
      </w:r>
      <w:r w:rsidR="00DE604A">
        <w:fldChar w:fldCharType="separate"/>
      </w:r>
      <w:r w:rsidR="005B1F5E" w:rsidRPr="00187FA7">
        <w:rPr>
          <w:rStyle w:val="Hyperlink"/>
          <w:i/>
          <w:iCs/>
          <w:sz w:val="20"/>
          <w:lang w:val="fi-FI"/>
        </w:rPr>
        <w:t>Esteetön rakennus ja ympäristö</w:t>
      </w:r>
      <w:r w:rsidR="00DE604A">
        <w:rPr>
          <w:rStyle w:val="Hyperlink"/>
          <w:i/>
          <w:iCs/>
          <w:sz w:val="20"/>
          <w:lang w:val="fi-FI"/>
        </w:rPr>
        <w:fldChar w:fldCharType="end"/>
      </w:r>
      <w:r w:rsidR="005B1F5E" w:rsidRPr="00187FA7">
        <w:rPr>
          <w:sz w:val="20"/>
          <w:lang w:val="fi-FI"/>
        </w:rPr>
        <w:t xml:space="preserve">, </w:t>
      </w:r>
      <w:r w:rsidR="005531BB" w:rsidRPr="00187FA7">
        <w:rPr>
          <w:sz w:val="20"/>
          <w:lang w:val="fi-FI"/>
        </w:rPr>
        <w:t xml:space="preserve">Helsinki, </w:t>
      </w:r>
      <w:r w:rsidR="00853C2E">
        <w:rPr>
          <w:sz w:val="20"/>
          <w:lang w:val="fi-FI"/>
        </w:rPr>
        <w:t>Ministry of the Environment (</w:t>
      </w:r>
      <w:r w:rsidR="00853C2E" w:rsidRPr="00853C2E">
        <w:rPr>
          <w:i/>
          <w:iCs/>
          <w:sz w:val="20"/>
          <w:lang w:val="fi-FI"/>
        </w:rPr>
        <w:t>y</w:t>
      </w:r>
      <w:r w:rsidR="005531BB" w:rsidRPr="00853C2E">
        <w:rPr>
          <w:i/>
          <w:iCs/>
          <w:sz w:val="20"/>
          <w:lang w:val="fi-FI"/>
        </w:rPr>
        <w:t>mpäristöministeriö</w:t>
      </w:r>
      <w:r w:rsidR="00853C2E" w:rsidRPr="00853C2E">
        <w:rPr>
          <w:i/>
          <w:iCs/>
          <w:sz w:val="20"/>
          <w:lang w:val="fi-FI"/>
        </w:rPr>
        <w:t>/miljöministeriet</w:t>
      </w:r>
      <w:r w:rsidR="00853C2E">
        <w:rPr>
          <w:sz w:val="20"/>
          <w:lang w:val="fi-FI"/>
        </w:rPr>
        <w:t>).</w:t>
      </w:r>
      <w:r w:rsidR="00EB5953" w:rsidRPr="00187FA7">
        <w:rPr>
          <w:sz w:val="20"/>
          <w:lang w:val="fi-FI"/>
        </w:rPr>
        <w:t xml:space="preserve"> </w:t>
      </w:r>
    </w:p>
  </w:footnote>
  <w:footnote w:id="58">
    <w:p w14:paraId="47100097" w14:textId="5A79BCB9" w:rsidR="005531BB" w:rsidRPr="00187FA7" w:rsidRDefault="005531BB" w:rsidP="00EA405E">
      <w:pPr>
        <w:pStyle w:val="FootnoteText"/>
        <w:jc w:val="both"/>
        <w:rPr>
          <w:sz w:val="20"/>
          <w:lang w:val="fi-FI"/>
        </w:rPr>
      </w:pPr>
      <w:r w:rsidRPr="00187FA7">
        <w:rPr>
          <w:rStyle w:val="FootnoteReference"/>
          <w:sz w:val="20"/>
        </w:rPr>
        <w:footnoteRef/>
      </w:r>
      <w:r w:rsidRPr="00187FA7">
        <w:rPr>
          <w:sz w:val="20"/>
          <w:lang w:val="fi-FI"/>
        </w:rPr>
        <w:t xml:space="preserve"> Finland, Finnish Association of People with Physic</w:t>
      </w:r>
      <w:r w:rsidRPr="00187FA7">
        <w:rPr>
          <w:sz w:val="20"/>
          <w:lang w:val="fi-FI"/>
        </w:rPr>
        <w:softHyphen/>
        <w:t>al Disabilities (</w:t>
      </w:r>
      <w:r w:rsidRPr="00187FA7">
        <w:rPr>
          <w:i/>
          <w:iCs/>
          <w:sz w:val="20"/>
          <w:lang w:val="fi-FI"/>
        </w:rPr>
        <w:t>Invalidiliitto</w:t>
      </w:r>
      <w:r w:rsidRPr="00187FA7">
        <w:rPr>
          <w:sz w:val="20"/>
          <w:lang w:val="fi-FI"/>
        </w:rPr>
        <w:t>/</w:t>
      </w:r>
      <w:r w:rsidRPr="00187FA7">
        <w:rPr>
          <w:i/>
          <w:iCs/>
          <w:sz w:val="20"/>
          <w:lang w:val="fi-FI"/>
        </w:rPr>
        <w:t>Invalidförbundet</w:t>
      </w:r>
      <w:r w:rsidRPr="00187FA7">
        <w:rPr>
          <w:sz w:val="20"/>
          <w:lang w:val="fi-FI"/>
        </w:rPr>
        <w:t xml:space="preserve">), </w:t>
      </w:r>
      <w:r w:rsidR="00E82C3F">
        <w:rPr>
          <w:sz w:val="20"/>
          <w:lang w:val="fi-FI"/>
        </w:rPr>
        <w:t>’</w:t>
      </w:r>
      <w:r w:rsidRPr="00187FA7">
        <w:rPr>
          <w:sz w:val="20"/>
          <w:lang w:val="fi-FI"/>
        </w:rPr>
        <w:t>Esteettömyyden toteutumisessa puutteita kevään 2023 eduskuntavaalien äänestyspaikoilla</w:t>
      </w:r>
      <w:r w:rsidR="00E82C3F">
        <w:rPr>
          <w:sz w:val="20"/>
          <w:lang w:val="fi-FI"/>
        </w:rPr>
        <w:t>’</w:t>
      </w:r>
      <w:r w:rsidRPr="00187FA7">
        <w:rPr>
          <w:sz w:val="20"/>
          <w:lang w:val="fi-FI"/>
        </w:rPr>
        <w:t>, news, 29 May 2023.</w:t>
      </w:r>
    </w:p>
  </w:footnote>
  <w:footnote w:id="59">
    <w:p w14:paraId="44B63CB3" w14:textId="736DC51F" w:rsidR="009562CE" w:rsidRPr="00187FA7" w:rsidRDefault="009562CE" w:rsidP="00EA405E">
      <w:pPr>
        <w:pStyle w:val="FootnoteText"/>
        <w:jc w:val="both"/>
        <w:rPr>
          <w:sz w:val="20"/>
          <w:lang w:val="fi-FI"/>
        </w:rPr>
      </w:pPr>
      <w:r w:rsidRPr="00187FA7">
        <w:rPr>
          <w:rStyle w:val="FootnoteReference"/>
          <w:sz w:val="20"/>
        </w:rPr>
        <w:footnoteRef/>
      </w:r>
      <w:r w:rsidRPr="00187FA7">
        <w:rPr>
          <w:sz w:val="20"/>
          <w:lang w:val="fi-FI"/>
        </w:rPr>
        <w:t xml:space="preserve"> </w:t>
      </w:r>
      <w:r w:rsidR="0045022F" w:rsidRPr="00187FA7">
        <w:rPr>
          <w:sz w:val="20"/>
          <w:lang w:val="fi-FI"/>
        </w:rPr>
        <w:t>Finland, Ministry of Justice</w:t>
      </w:r>
      <w:r w:rsidR="000F1863" w:rsidRPr="00187FA7">
        <w:rPr>
          <w:sz w:val="20"/>
          <w:lang w:val="fi-FI"/>
        </w:rPr>
        <w:t xml:space="preserve"> (</w:t>
      </w:r>
      <w:r w:rsidR="000F1863" w:rsidRPr="00187FA7">
        <w:rPr>
          <w:i/>
          <w:iCs/>
          <w:sz w:val="20"/>
          <w:lang w:val="fi-FI"/>
        </w:rPr>
        <w:t>oikeusministeriö</w:t>
      </w:r>
      <w:r w:rsidR="000F1863" w:rsidRPr="00187FA7">
        <w:rPr>
          <w:sz w:val="20"/>
          <w:lang w:val="fi-FI"/>
        </w:rPr>
        <w:t>/</w:t>
      </w:r>
      <w:r w:rsidR="000F1863" w:rsidRPr="00187FA7">
        <w:rPr>
          <w:i/>
          <w:iCs/>
          <w:sz w:val="20"/>
          <w:lang w:val="fi-FI"/>
        </w:rPr>
        <w:t>justitieministerit</w:t>
      </w:r>
      <w:r w:rsidR="000F1863" w:rsidRPr="00187FA7">
        <w:rPr>
          <w:sz w:val="20"/>
          <w:lang w:val="fi-FI"/>
        </w:rPr>
        <w:t>)</w:t>
      </w:r>
      <w:r w:rsidR="0045022F" w:rsidRPr="00187FA7">
        <w:rPr>
          <w:sz w:val="20"/>
          <w:lang w:val="fi-FI"/>
        </w:rPr>
        <w:t xml:space="preserve">, </w:t>
      </w:r>
      <w:hyperlink r:id="rId92" w:history="1">
        <w:r w:rsidR="0045022F" w:rsidRPr="00187FA7">
          <w:rPr>
            <w:rStyle w:val="Hyperlink"/>
            <w:sz w:val="20"/>
            <w:lang w:val="fi-FI"/>
          </w:rPr>
          <w:t>Elections website</w:t>
        </w:r>
      </w:hyperlink>
      <w:r w:rsidR="0045022F" w:rsidRPr="00187FA7">
        <w:rPr>
          <w:sz w:val="20"/>
          <w:lang w:val="fi-FI"/>
        </w:rPr>
        <w:t xml:space="preserve"> (</w:t>
      </w:r>
      <w:hyperlink r:id="rId93" w:history="1">
        <w:r w:rsidR="0045722A" w:rsidRPr="00187FA7">
          <w:rPr>
            <w:rStyle w:val="Hyperlink"/>
            <w:sz w:val="20"/>
          </w:rPr>
          <w:t>Vaalit</w:t>
        </w:r>
      </w:hyperlink>
      <w:r w:rsidR="0045022F" w:rsidRPr="00187FA7">
        <w:rPr>
          <w:sz w:val="20"/>
          <w:lang w:val="fi-FI"/>
        </w:rPr>
        <w:t>/</w:t>
      </w:r>
      <w:bookmarkStart w:id="37" w:name="_Hlk153530792"/>
      <w:r w:rsidR="0045722A" w:rsidRPr="00187FA7">
        <w:rPr>
          <w:sz w:val="20"/>
        </w:rPr>
        <w:fldChar w:fldCharType="begin"/>
      </w:r>
      <w:r w:rsidR="0045722A" w:rsidRPr="00187FA7">
        <w:rPr>
          <w:sz w:val="20"/>
        </w:rPr>
        <w:instrText>HYPERLINK "https://vaalit.fi/sv/framsida?p_p_id=fi_yja_language_version_tool_web_portlet_LanguageVersionToolMissingNotificationPortlet&amp;_fi_yja_language_version_tool_web_portlet_LanguageVersionToolMissingNotificationPortlet_missingLanguageVersion=1"</w:instrText>
      </w:r>
      <w:r w:rsidR="0045722A" w:rsidRPr="00187FA7">
        <w:rPr>
          <w:sz w:val="20"/>
        </w:rPr>
      </w:r>
      <w:r w:rsidR="0045722A" w:rsidRPr="00187FA7">
        <w:rPr>
          <w:sz w:val="20"/>
        </w:rPr>
        <w:fldChar w:fldCharType="separate"/>
      </w:r>
      <w:r w:rsidR="0045722A" w:rsidRPr="00187FA7">
        <w:rPr>
          <w:rStyle w:val="Hyperlink"/>
          <w:sz w:val="20"/>
        </w:rPr>
        <w:t>Val</w:t>
      </w:r>
      <w:r w:rsidR="0045722A" w:rsidRPr="00187FA7">
        <w:rPr>
          <w:sz w:val="20"/>
          <w:lang w:val="fi-FI"/>
        </w:rPr>
        <w:fldChar w:fldCharType="end"/>
      </w:r>
      <w:r w:rsidR="0045022F" w:rsidRPr="00187FA7">
        <w:rPr>
          <w:sz w:val="20"/>
          <w:lang w:val="fi-FI"/>
        </w:rPr>
        <w:t>)</w:t>
      </w:r>
      <w:r w:rsidR="0045722A" w:rsidRPr="00187FA7">
        <w:rPr>
          <w:sz w:val="20"/>
          <w:lang w:val="fi-FI"/>
        </w:rPr>
        <w:t xml:space="preserve">, </w:t>
      </w:r>
      <w:bookmarkEnd w:id="37"/>
      <w:r w:rsidR="0045722A" w:rsidRPr="00187FA7">
        <w:rPr>
          <w:sz w:val="20"/>
          <w:lang w:val="fi-FI"/>
        </w:rPr>
        <w:t>Accessibility statement</w:t>
      </w:r>
      <w:r w:rsidR="0045022F" w:rsidRPr="00187FA7">
        <w:rPr>
          <w:sz w:val="20"/>
          <w:lang w:val="fi-FI"/>
        </w:rPr>
        <w:t xml:space="preserve"> </w:t>
      </w:r>
      <w:r w:rsidR="0045722A" w:rsidRPr="00187FA7">
        <w:rPr>
          <w:sz w:val="20"/>
          <w:lang w:val="fi-FI"/>
        </w:rPr>
        <w:t>(</w:t>
      </w:r>
      <w:hyperlink r:id="rId94" w:history="1">
        <w:r w:rsidR="00203939" w:rsidRPr="00187FA7">
          <w:rPr>
            <w:rStyle w:val="Hyperlink"/>
            <w:sz w:val="20"/>
          </w:rPr>
          <w:t>Saavutettavuusseloste</w:t>
        </w:r>
      </w:hyperlink>
      <w:r w:rsidR="0045722A" w:rsidRPr="00187FA7">
        <w:rPr>
          <w:sz w:val="20"/>
          <w:lang w:val="fi-FI"/>
        </w:rPr>
        <w:t>), accessed on 14 December 2023</w:t>
      </w:r>
      <w:r w:rsidR="000F1863" w:rsidRPr="00187FA7">
        <w:rPr>
          <w:sz w:val="20"/>
          <w:lang w:val="fi-FI"/>
        </w:rPr>
        <w:t>, and information obtained from the Ministry of Justice via e-mail on 1 December 2023.</w:t>
      </w:r>
    </w:p>
  </w:footnote>
  <w:footnote w:id="60">
    <w:p w14:paraId="120ECC29" w14:textId="105E15B0" w:rsidR="00C34B02" w:rsidRPr="00187FA7" w:rsidRDefault="00C34B02" w:rsidP="00EA405E">
      <w:pPr>
        <w:pStyle w:val="FootnoteText"/>
        <w:jc w:val="both"/>
        <w:rPr>
          <w:sz w:val="20"/>
          <w:lang w:val="fi-FI"/>
        </w:rPr>
      </w:pPr>
      <w:r w:rsidRPr="00187FA7">
        <w:rPr>
          <w:rStyle w:val="FootnoteReference"/>
          <w:sz w:val="20"/>
        </w:rPr>
        <w:footnoteRef/>
      </w:r>
      <w:r w:rsidRPr="00187FA7">
        <w:rPr>
          <w:sz w:val="20"/>
          <w:lang w:val="fi-FI"/>
        </w:rPr>
        <w:t xml:space="preserve"> Finland, Finnish Federation of the Visually Impaired (</w:t>
      </w:r>
      <w:r w:rsidRPr="00187FA7">
        <w:rPr>
          <w:i/>
          <w:iCs/>
          <w:sz w:val="20"/>
          <w:lang w:val="fi-FI"/>
        </w:rPr>
        <w:t>Näkövammaisten liitto</w:t>
      </w:r>
      <w:r w:rsidRPr="00187FA7">
        <w:rPr>
          <w:sz w:val="20"/>
          <w:lang w:val="fi-FI"/>
        </w:rPr>
        <w:t>)</w:t>
      </w:r>
      <w:r w:rsidR="00870C01" w:rsidRPr="00187FA7">
        <w:rPr>
          <w:sz w:val="20"/>
          <w:lang w:val="fi-FI"/>
        </w:rPr>
        <w:t xml:space="preserve">, </w:t>
      </w:r>
      <w:r w:rsidR="00657D78" w:rsidRPr="00187FA7">
        <w:rPr>
          <w:sz w:val="20"/>
          <w:lang w:val="fi-FI"/>
        </w:rPr>
        <w:t>’</w:t>
      </w:r>
      <w:r w:rsidR="00DE604A">
        <w:fldChar w:fldCharType="begin"/>
      </w:r>
      <w:r w:rsidR="00DE604A" w:rsidRPr="00DE604A">
        <w:rPr>
          <w:lang w:val="fi-FI"/>
        </w:rPr>
        <w:instrText>HYPERLINK "https://www.nakovammaistenliitto.fi/fi/artikkeli/nakovammaisten-liitossa-testattiin-vaalikoneiden-saavutettavuutta"</w:instrText>
      </w:r>
      <w:r w:rsidR="00DE604A">
        <w:fldChar w:fldCharType="separate"/>
      </w:r>
      <w:r w:rsidR="00657D78" w:rsidRPr="00187FA7">
        <w:rPr>
          <w:rStyle w:val="Hyperlink"/>
          <w:sz w:val="20"/>
          <w:lang w:val="fi-FI"/>
        </w:rPr>
        <w:t>Näkövammaisten liitossa testattiin vaalikoneiden saavutettavuutta: Vaalikoneista löytyi valitettavan paljon saavutettavuuspuutteita</w:t>
      </w:r>
      <w:r w:rsidR="00DE604A">
        <w:rPr>
          <w:rStyle w:val="Hyperlink"/>
          <w:sz w:val="20"/>
          <w:lang w:val="fi-FI"/>
        </w:rPr>
        <w:fldChar w:fldCharType="end"/>
      </w:r>
      <w:r w:rsidR="00657D78" w:rsidRPr="00187FA7">
        <w:rPr>
          <w:sz w:val="20"/>
          <w:lang w:val="fi-FI"/>
        </w:rPr>
        <w:t xml:space="preserve">’, </w:t>
      </w:r>
      <w:r w:rsidR="00870C01" w:rsidRPr="00187FA7">
        <w:rPr>
          <w:sz w:val="20"/>
          <w:lang w:val="fi-FI"/>
        </w:rPr>
        <w:t xml:space="preserve">press release, </w:t>
      </w:r>
      <w:r w:rsidR="00657D78" w:rsidRPr="00187FA7">
        <w:rPr>
          <w:sz w:val="20"/>
          <w:lang w:val="fi-FI"/>
        </w:rPr>
        <w:t>20 January 2022.</w:t>
      </w:r>
    </w:p>
  </w:footnote>
  <w:footnote w:id="61">
    <w:p w14:paraId="7B1971DE" w14:textId="215C4E54" w:rsidR="00F874FC" w:rsidRPr="00187FA7" w:rsidRDefault="00F874FC" w:rsidP="00EA405E">
      <w:pPr>
        <w:pStyle w:val="FootnoteText"/>
        <w:jc w:val="both"/>
        <w:rPr>
          <w:rFonts w:asciiTheme="minorHAnsi" w:hAnsiTheme="minorHAnsi" w:cstheme="minorHAnsi"/>
          <w:color w:val="4E4E4E"/>
          <w:sz w:val="20"/>
          <w:lang w:val="fi-FI" w:eastAsia="sv-FI"/>
        </w:rPr>
      </w:pPr>
      <w:r w:rsidRPr="00187FA7">
        <w:rPr>
          <w:rStyle w:val="FootnoteReference"/>
          <w:sz w:val="20"/>
        </w:rPr>
        <w:footnoteRef/>
      </w:r>
      <w:r w:rsidRPr="00187FA7">
        <w:rPr>
          <w:sz w:val="20"/>
          <w:lang w:val="fi-FI"/>
        </w:rPr>
        <w:t xml:space="preserve"> Finland, Amendment to the Act on Electronic Communications Services</w:t>
      </w:r>
      <w:r w:rsidRPr="00187FA7">
        <w:rPr>
          <w:rFonts w:asciiTheme="minorHAnsi" w:hAnsiTheme="minorHAnsi" w:cstheme="minorHAnsi"/>
          <w:sz w:val="20"/>
          <w:lang w:val="fi-FI"/>
        </w:rPr>
        <w:t>,</w:t>
      </w:r>
      <w:r w:rsidRPr="00187FA7">
        <w:rPr>
          <w:rFonts w:asciiTheme="minorHAnsi" w:hAnsiTheme="minorHAnsi" w:cstheme="minorHAnsi"/>
          <w:color w:val="4E4E4E"/>
          <w:sz w:val="20"/>
          <w:lang w:val="fi-FI" w:eastAsia="sv-FI"/>
        </w:rPr>
        <w:t xml:space="preserve"> </w:t>
      </w:r>
      <w:bookmarkStart w:id="39" w:name="_Hlk153532635"/>
      <w:r w:rsidR="00B5252A" w:rsidRPr="00187FA7">
        <w:rPr>
          <w:rFonts w:asciiTheme="minorHAnsi" w:hAnsiTheme="minorHAnsi" w:cstheme="minorHAnsi"/>
          <w:color w:val="4E4E4E"/>
          <w:sz w:val="20"/>
          <w:lang w:val="fi-FI" w:eastAsia="sv-FI"/>
        </w:rPr>
        <w:t>Making software available to people with visual and hearing impairments (</w:t>
      </w:r>
      <w:hyperlink r:id="rId95" w:anchor="O8L25P211" w:history="1">
        <w:r w:rsidR="00B5252A" w:rsidRPr="00187FA7">
          <w:rPr>
            <w:rStyle w:val="Hyperlink"/>
            <w:rFonts w:asciiTheme="minorHAnsi" w:hAnsiTheme="minorHAnsi" w:cstheme="minorHAnsi"/>
            <w:sz w:val="20"/>
            <w:lang w:val="fi-FI" w:eastAsia="sv-FI"/>
          </w:rPr>
          <w:t>Ohjelmiston saattaminen näkö- ja kuulorajoitteisten saataville</w:t>
        </w:r>
        <w:bookmarkEnd w:id="39"/>
      </w:hyperlink>
      <w:r w:rsidR="00CA4D64" w:rsidRPr="00187FA7">
        <w:rPr>
          <w:rFonts w:asciiTheme="minorHAnsi" w:hAnsiTheme="minorHAnsi" w:cstheme="minorHAnsi"/>
          <w:color w:val="4E4E4E"/>
          <w:sz w:val="20"/>
          <w:lang w:val="fi-FI" w:eastAsia="sv-FI"/>
        </w:rPr>
        <w:t>/</w:t>
      </w:r>
      <w:hyperlink r:id="rId96" w:anchor="a30.12.2020-1207" w:history="1">
        <w:r w:rsidRPr="00187FA7">
          <w:rPr>
            <w:rStyle w:val="Hyperlink"/>
            <w:sz w:val="20"/>
            <w:lang w:val="fi-FI"/>
          </w:rPr>
          <w:t>Syn- och hörselskadades tillgång till programutbud</w:t>
        </w:r>
      </w:hyperlink>
      <w:r w:rsidR="00B5252A" w:rsidRPr="00187FA7">
        <w:rPr>
          <w:sz w:val="20"/>
          <w:lang w:val="fi-FI"/>
        </w:rPr>
        <w:t>),</w:t>
      </w:r>
      <w:r w:rsidR="00CA4D64" w:rsidRPr="00187FA7">
        <w:rPr>
          <w:rFonts w:asciiTheme="minorHAnsi" w:hAnsiTheme="minorHAnsi" w:cstheme="minorHAnsi"/>
          <w:color w:val="4E4E4E"/>
          <w:sz w:val="20"/>
          <w:lang w:val="fi-FI" w:eastAsia="sv-FI"/>
        </w:rPr>
        <w:t xml:space="preserve"> </w:t>
      </w:r>
      <w:r w:rsidRPr="00187FA7">
        <w:rPr>
          <w:sz w:val="20"/>
          <w:lang w:val="fi-FI"/>
        </w:rPr>
        <w:t>Amendment No. 1207/2020</w:t>
      </w:r>
      <w:r w:rsidR="0084326A" w:rsidRPr="00187FA7">
        <w:rPr>
          <w:sz w:val="20"/>
          <w:lang w:val="fi-FI"/>
        </w:rPr>
        <w:t>, 30 December 2020.</w:t>
      </w:r>
    </w:p>
  </w:footnote>
  <w:footnote w:id="62">
    <w:p w14:paraId="27F4EC66" w14:textId="142BC356" w:rsidR="0056713F" w:rsidRPr="00187FA7" w:rsidRDefault="0056713F">
      <w:pPr>
        <w:pStyle w:val="FootnoteText"/>
        <w:rPr>
          <w:sz w:val="20"/>
          <w:lang w:val="sv-SE"/>
        </w:rPr>
      </w:pPr>
      <w:r w:rsidRPr="00187FA7">
        <w:rPr>
          <w:rStyle w:val="FootnoteReference"/>
          <w:sz w:val="20"/>
        </w:rPr>
        <w:footnoteRef/>
      </w:r>
      <w:r w:rsidRPr="00187FA7">
        <w:rPr>
          <w:sz w:val="20"/>
        </w:rPr>
        <w:t xml:space="preserve"> </w:t>
      </w:r>
      <w:r w:rsidRPr="00187FA7">
        <w:rPr>
          <w:sz w:val="20"/>
          <w:lang w:val="sv-SE"/>
        </w:rPr>
        <w:t>Finnish Broadcasting Company</w:t>
      </w:r>
      <w:r w:rsidR="00EE0788" w:rsidRPr="00187FA7">
        <w:rPr>
          <w:sz w:val="20"/>
          <w:lang w:val="sv-SE"/>
        </w:rPr>
        <w:t xml:space="preserve"> (</w:t>
      </w:r>
      <w:r w:rsidR="00EE0788" w:rsidRPr="00187FA7">
        <w:rPr>
          <w:i/>
          <w:iCs/>
          <w:sz w:val="20"/>
          <w:lang w:val="sv-SE"/>
        </w:rPr>
        <w:t>Yleisradio</w:t>
      </w:r>
      <w:r w:rsidR="00EE0788" w:rsidRPr="00187FA7">
        <w:rPr>
          <w:sz w:val="20"/>
          <w:lang w:val="sv-SE"/>
        </w:rPr>
        <w:t>/</w:t>
      </w:r>
      <w:r w:rsidR="00EE0788" w:rsidRPr="00187FA7">
        <w:rPr>
          <w:i/>
          <w:iCs/>
          <w:sz w:val="20"/>
          <w:lang w:val="sv-SE"/>
        </w:rPr>
        <w:t>Rundradion</w:t>
      </w:r>
      <w:r w:rsidR="00EE0788" w:rsidRPr="00187FA7">
        <w:rPr>
          <w:sz w:val="20"/>
          <w:lang w:val="sv-SE"/>
        </w:rPr>
        <w:t>)</w:t>
      </w:r>
      <w:r w:rsidRPr="00187FA7">
        <w:rPr>
          <w:sz w:val="20"/>
          <w:lang w:val="sv-SE"/>
        </w:rPr>
        <w:t xml:space="preserve">, </w:t>
      </w:r>
      <w:hyperlink r:id="rId97" w:history="1">
        <w:r w:rsidRPr="00187FA7">
          <w:rPr>
            <w:rStyle w:val="Hyperlink"/>
            <w:sz w:val="20"/>
            <w:lang w:val="sv-SE"/>
          </w:rPr>
          <w:t>Accessibility in Yle’s Services</w:t>
        </w:r>
      </w:hyperlink>
      <w:r w:rsidRPr="00187FA7">
        <w:rPr>
          <w:sz w:val="20"/>
          <w:lang w:val="sv-SE"/>
        </w:rPr>
        <w:t>, website, accessed on 14 December 2023.</w:t>
      </w:r>
      <w:r w:rsidR="00EE0788" w:rsidRPr="00187FA7">
        <w:rPr>
          <w:sz w:val="20"/>
          <w:lang w:val="sv-SE"/>
        </w:rPr>
        <w:t xml:space="preserve">  </w:t>
      </w:r>
    </w:p>
  </w:footnote>
  <w:footnote w:id="63">
    <w:p w14:paraId="0C5C340C" w14:textId="30408B35" w:rsidR="00863003" w:rsidRPr="00187FA7" w:rsidRDefault="00863003">
      <w:pPr>
        <w:pStyle w:val="FootnoteText"/>
        <w:rPr>
          <w:sz w:val="20"/>
          <w:lang w:val="sv-SE"/>
        </w:rPr>
      </w:pPr>
      <w:r w:rsidRPr="00187FA7">
        <w:rPr>
          <w:rStyle w:val="FootnoteReference"/>
          <w:sz w:val="20"/>
        </w:rPr>
        <w:footnoteRef/>
      </w:r>
      <w:r w:rsidRPr="00187FA7">
        <w:rPr>
          <w:sz w:val="20"/>
        </w:rPr>
        <w:t xml:space="preserve"> </w:t>
      </w:r>
      <w:r w:rsidR="00754885" w:rsidRPr="00187FA7">
        <w:rPr>
          <w:sz w:val="20"/>
          <w:lang w:val="sv-SE"/>
        </w:rPr>
        <w:t>Finland, information obtained from the Ministry of Justice (</w:t>
      </w:r>
      <w:r w:rsidR="00754885" w:rsidRPr="00187FA7">
        <w:rPr>
          <w:i/>
          <w:iCs/>
          <w:sz w:val="20"/>
          <w:lang w:val="sv-SE"/>
        </w:rPr>
        <w:t>oikeusministeriö</w:t>
      </w:r>
      <w:r w:rsidR="00754885" w:rsidRPr="00187FA7">
        <w:rPr>
          <w:sz w:val="20"/>
          <w:lang w:val="sv-SE"/>
        </w:rPr>
        <w:t>/</w:t>
      </w:r>
      <w:r w:rsidR="00754885" w:rsidRPr="00187FA7">
        <w:rPr>
          <w:i/>
          <w:iCs/>
          <w:sz w:val="20"/>
          <w:lang w:val="sv-SE"/>
        </w:rPr>
        <w:t>justitieministeriet</w:t>
      </w:r>
      <w:r w:rsidR="00754885" w:rsidRPr="00187FA7">
        <w:rPr>
          <w:sz w:val="20"/>
          <w:lang w:val="sv-SE"/>
        </w:rPr>
        <w:t>) via e-mail on 1 December 2023.</w:t>
      </w:r>
    </w:p>
  </w:footnote>
  <w:footnote w:id="64">
    <w:p w14:paraId="2AA8CD14" w14:textId="4D3569EE" w:rsidR="00B9705D" w:rsidRPr="00187FA7" w:rsidRDefault="00B9705D" w:rsidP="00EA405E">
      <w:pPr>
        <w:pStyle w:val="FootnoteText"/>
        <w:jc w:val="both"/>
        <w:rPr>
          <w:sz w:val="20"/>
          <w:lang w:val="en-US"/>
        </w:rPr>
      </w:pPr>
      <w:r w:rsidRPr="00187FA7">
        <w:rPr>
          <w:rStyle w:val="FootnoteReference"/>
          <w:sz w:val="20"/>
        </w:rPr>
        <w:footnoteRef/>
      </w:r>
      <w:r w:rsidRPr="00187FA7">
        <w:rPr>
          <w:sz w:val="20"/>
          <w:lang w:val="en-US"/>
        </w:rPr>
        <w:t xml:space="preserve"> Finland, Finnish Broadcasting Company (</w:t>
      </w:r>
      <w:r w:rsidRPr="00187FA7">
        <w:rPr>
          <w:i/>
          <w:iCs/>
          <w:sz w:val="20"/>
          <w:lang w:val="en-US"/>
        </w:rPr>
        <w:t>Yleisradio</w:t>
      </w:r>
      <w:r w:rsidRPr="00187FA7">
        <w:rPr>
          <w:sz w:val="20"/>
          <w:lang w:val="en-US"/>
        </w:rPr>
        <w:t>/</w:t>
      </w:r>
      <w:r w:rsidRPr="00187FA7">
        <w:rPr>
          <w:i/>
          <w:iCs/>
          <w:sz w:val="20"/>
          <w:lang w:val="en-US"/>
        </w:rPr>
        <w:t>Rundradion</w:t>
      </w:r>
      <w:r w:rsidRPr="00187FA7">
        <w:rPr>
          <w:sz w:val="20"/>
          <w:lang w:val="en-US"/>
        </w:rPr>
        <w:t>, Yle), ‘</w:t>
      </w:r>
      <w:hyperlink r:id="rId98" w:history="1">
        <w:r w:rsidRPr="00187FA7">
          <w:rPr>
            <w:rStyle w:val="Hyperlink"/>
            <w:sz w:val="20"/>
            <w:lang w:val="en-US"/>
          </w:rPr>
          <w:t>Yle’s election offering is for everyone – multilingual election discussions reach a wider audience of Finns’</w:t>
        </w:r>
      </w:hyperlink>
      <w:r w:rsidRPr="00187FA7">
        <w:rPr>
          <w:sz w:val="20"/>
          <w:lang w:val="en-US"/>
        </w:rPr>
        <w:t>, press release, 28 February 2023.</w:t>
      </w:r>
    </w:p>
  </w:footnote>
  <w:footnote w:id="65">
    <w:p w14:paraId="6C8A6BD4" w14:textId="33386073" w:rsidR="004869DD" w:rsidRPr="00187FA7" w:rsidRDefault="004869DD" w:rsidP="00EA405E">
      <w:pPr>
        <w:pStyle w:val="FootnoteText"/>
        <w:jc w:val="both"/>
        <w:rPr>
          <w:sz w:val="20"/>
          <w:lang w:val="en-US"/>
        </w:rPr>
      </w:pPr>
      <w:r w:rsidRPr="00187FA7">
        <w:rPr>
          <w:rStyle w:val="FootnoteReference"/>
          <w:sz w:val="20"/>
        </w:rPr>
        <w:footnoteRef/>
      </w:r>
      <w:r w:rsidRPr="00187FA7">
        <w:rPr>
          <w:sz w:val="20"/>
          <w:lang w:val="en-US"/>
        </w:rPr>
        <w:t xml:space="preserve"> </w:t>
      </w:r>
      <w:bookmarkStart w:id="40" w:name="_Hlk153535912"/>
      <w:r w:rsidRPr="00187FA7">
        <w:rPr>
          <w:sz w:val="20"/>
          <w:lang w:val="en-US"/>
        </w:rPr>
        <w:t>Finland, Finnish Broadcasting Company (</w:t>
      </w:r>
      <w:r w:rsidRPr="00187FA7">
        <w:rPr>
          <w:i/>
          <w:iCs/>
          <w:sz w:val="20"/>
          <w:lang w:val="en-US"/>
        </w:rPr>
        <w:t>Yleisradio</w:t>
      </w:r>
      <w:r w:rsidRPr="00187FA7">
        <w:rPr>
          <w:sz w:val="20"/>
          <w:lang w:val="en-US"/>
        </w:rPr>
        <w:t>/</w:t>
      </w:r>
      <w:r w:rsidRPr="00187FA7">
        <w:rPr>
          <w:i/>
          <w:iCs/>
          <w:sz w:val="20"/>
          <w:lang w:val="en-US"/>
        </w:rPr>
        <w:t>Rundradion</w:t>
      </w:r>
      <w:r w:rsidRPr="00187FA7">
        <w:rPr>
          <w:sz w:val="20"/>
          <w:lang w:val="en-US"/>
        </w:rPr>
        <w:t>, Yle),</w:t>
      </w:r>
      <w:bookmarkEnd w:id="40"/>
      <w:r w:rsidR="00724BE3" w:rsidRPr="00187FA7">
        <w:rPr>
          <w:sz w:val="20"/>
          <w:lang w:val="en-US"/>
        </w:rPr>
        <w:t xml:space="preserve"> </w:t>
      </w:r>
      <w:r w:rsidR="005C3988" w:rsidRPr="00187FA7">
        <w:rPr>
          <w:sz w:val="20"/>
          <w:lang w:val="en-US"/>
        </w:rPr>
        <w:t>‘</w:t>
      </w:r>
      <w:hyperlink r:id="rId99" w:history="1">
        <w:r w:rsidR="00724BE3" w:rsidRPr="00187FA7">
          <w:rPr>
            <w:rStyle w:val="Hyperlink"/>
            <w:sz w:val="20"/>
            <w:lang w:val="en-US"/>
          </w:rPr>
          <w:t>Yle välittää vaalikeskustelut tulkattuna suomalaiselle viittomakielelle Yle Areenassa</w:t>
        </w:r>
        <w:r w:rsidR="005C3988" w:rsidRPr="00187FA7">
          <w:rPr>
            <w:rStyle w:val="Hyperlink"/>
            <w:sz w:val="20"/>
            <w:lang w:val="en-US"/>
          </w:rPr>
          <w:t>’</w:t>
        </w:r>
      </w:hyperlink>
      <w:r w:rsidR="00724BE3" w:rsidRPr="00187FA7">
        <w:rPr>
          <w:sz w:val="20"/>
          <w:lang w:val="en-US"/>
        </w:rPr>
        <w:t xml:space="preserve"> </w:t>
      </w:r>
      <w:r w:rsidR="005C3988" w:rsidRPr="00187FA7">
        <w:rPr>
          <w:sz w:val="20"/>
          <w:lang w:val="en-US"/>
        </w:rPr>
        <w:t xml:space="preserve">(Yle broadcasts election debates interpreted into Finnish Sign language) </w:t>
      </w:r>
      <w:r w:rsidR="00724BE3" w:rsidRPr="00187FA7">
        <w:rPr>
          <w:sz w:val="20"/>
          <w:lang w:val="en-US"/>
        </w:rPr>
        <w:t>News, 24 March 2023.</w:t>
      </w:r>
    </w:p>
  </w:footnote>
  <w:footnote w:id="66">
    <w:p w14:paraId="1745EA8B" w14:textId="3A3A77B6" w:rsidR="00A250CF" w:rsidRPr="00187FA7" w:rsidRDefault="00A250CF">
      <w:pPr>
        <w:pStyle w:val="FootnoteText"/>
        <w:rPr>
          <w:sz w:val="20"/>
          <w:lang w:val="sv-SE"/>
        </w:rPr>
      </w:pPr>
      <w:r w:rsidRPr="00187FA7">
        <w:rPr>
          <w:rStyle w:val="FootnoteReference"/>
          <w:sz w:val="20"/>
        </w:rPr>
        <w:footnoteRef/>
      </w:r>
      <w:r w:rsidRPr="00187FA7">
        <w:rPr>
          <w:sz w:val="20"/>
        </w:rPr>
        <w:t xml:space="preserve"> </w:t>
      </w:r>
      <w:r w:rsidR="00C81D0A" w:rsidRPr="00187FA7">
        <w:rPr>
          <w:sz w:val="20"/>
          <w:lang w:val="en-US"/>
        </w:rPr>
        <w:t>Finland, Finnish Broadcasting Company (</w:t>
      </w:r>
      <w:r w:rsidR="00C81D0A" w:rsidRPr="00187FA7">
        <w:rPr>
          <w:i/>
          <w:iCs/>
          <w:sz w:val="20"/>
          <w:lang w:val="en-US"/>
        </w:rPr>
        <w:t>Yleisradio</w:t>
      </w:r>
      <w:r w:rsidR="00C81D0A" w:rsidRPr="00187FA7">
        <w:rPr>
          <w:sz w:val="20"/>
          <w:lang w:val="en-US"/>
        </w:rPr>
        <w:t>/</w:t>
      </w:r>
      <w:r w:rsidR="00C81D0A" w:rsidRPr="00187FA7">
        <w:rPr>
          <w:i/>
          <w:iCs/>
          <w:sz w:val="20"/>
          <w:lang w:val="en-US"/>
        </w:rPr>
        <w:t>Rundradion</w:t>
      </w:r>
      <w:r w:rsidR="00C81D0A" w:rsidRPr="00187FA7">
        <w:rPr>
          <w:sz w:val="20"/>
          <w:lang w:val="en-US"/>
        </w:rPr>
        <w:t xml:space="preserve">, Yle), </w:t>
      </w:r>
      <w:hyperlink r:id="rId100" w:history="1">
        <w:r w:rsidR="00C81D0A" w:rsidRPr="00187FA7">
          <w:rPr>
            <w:rStyle w:val="Hyperlink"/>
            <w:sz w:val="20"/>
            <w:lang w:val="en-US"/>
          </w:rPr>
          <w:t>Kuvatulkatut ohjelmat</w:t>
        </w:r>
      </w:hyperlink>
      <w:r w:rsidR="00C81D0A" w:rsidRPr="00187FA7">
        <w:rPr>
          <w:sz w:val="20"/>
          <w:lang w:val="en-US"/>
        </w:rPr>
        <w:t xml:space="preserve"> </w:t>
      </w:r>
      <w:r w:rsidR="005C3988" w:rsidRPr="00187FA7">
        <w:rPr>
          <w:sz w:val="20"/>
          <w:lang w:val="en-US"/>
        </w:rPr>
        <w:t xml:space="preserve">(Audio described programmes) </w:t>
      </w:r>
      <w:r w:rsidR="00C81D0A" w:rsidRPr="00187FA7">
        <w:rPr>
          <w:sz w:val="20"/>
          <w:lang w:val="en-US"/>
        </w:rPr>
        <w:t>webpage, accessed on 14 December 2023.</w:t>
      </w:r>
    </w:p>
  </w:footnote>
  <w:footnote w:id="67">
    <w:p w14:paraId="6846F0A7" w14:textId="6546EBE9" w:rsidR="00754885" w:rsidRPr="00187FA7" w:rsidRDefault="00754885">
      <w:pPr>
        <w:pStyle w:val="FootnoteText"/>
        <w:rPr>
          <w:sz w:val="20"/>
          <w:lang w:val="sv-SE"/>
        </w:rPr>
      </w:pPr>
      <w:r w:rsidRPr="00187FA7">
        <w:rPr>
          <w:rStyle w:val="FootnoteReference"/>
          <w:sz w:val="20"/>
        </w:rPr>
        <w:footnoteRef/>
      </w:r>
      <w:r w:rsidRPr="00187FA7">
        <w:rPr>
          <w:sz w:val="20"/>
        </w:rPr>
        <w:t xml:space="preserve"> </w:t>
      </w:r>
      <w:r w:rsidRPr="00187FA7">
        <w:rPr>
          <w:sz w:val="20"/>
          <w:lang w:val="sv-SE"/>
        </w:rPr>
        <w:t>Finland, information obtained from the Ministry of Justice (</w:t>
      </w:r>
      <w:r w:rsidRPr="00187FA7">
        <w:rPr>
          <w:i/>
          <w:iCs/>
          <w:sz w:val="20"/>
          <w:lang w:val="sv-SE"/>
        </w:rPr>
        <w:t>oikeusministeriö</w:t>
      </w:r>
      <w:r w:rsidRPr="00187FA7">
        <w:rPr>
          <w:sz w:val="20"/>
          <w:lang w:val="sv-SE"/>
        </w:rPr>
        <w:t>/</w:t>
      </w:r>
      <w:r w:rsidRPr="00187FA7">
        <w:rPr>
          <w:i/>
          <w:iCs/>
          <w:sz w:val="20"/>
          <w:lang w:val="sv-SE"/>
        </w:rPr>
        <w:t>justitieministeriet</w:t>
      </w:r>
      <w:r w:rsidRPr="00187FA7">
        <w:rPr>
          <w:sz w:val="20"/>
          <w:lang w:val="sv-SE"/>
        </w:rPr>
        <w:t>) via e-mail on 1 December 2023.</w:t>
      </w:r>
    </w:p>
  </w:footnote>
  <w:footnote w:id="68">
    <w:p w14:paraId="35B8075D" w14:textId="6DA83B76" w:rsidR="00D40684" w:rsidRPr="00187FA7" w:rsidRDefault="00D40684" w:rsidP="001B6D41">
      <w:pPr>
        <w:pStyle w:val="FootnoteText"/>
        <w:jc w:val="both"/>
        <w:rPr>
          <w:sz w:val="20"/>
          <w:lang w:val="fi-FI"/>
        </w:rPr>
      </w:pPr>
      <w:r w:rsidRPr="00187FA7">
        <w:rPr>
          <w:rStyle w:val="FootnoteReference"/>
          <w:sz w:val="20"/>
        </w:rPr>
        <w:footnoteRef/>
      </w:r>
      <w:r w:rsidRPr="00187FA7">
        <w:rPr>
          <w:sz w:val="20"/>
          <w:lang w:val="fi-FI"/>
        </w:rPr>
        <w:t xml:space="preserve"> </w:t>
      </w:r>
      <w:r w:rsidR="00DE604A">
        <w:fldChar w:fldCharType="begin"/>
      </w:r>
      <w:r w:rsidR="00DE604A" w:rsidRPr="00DE604A">
        <w:rPr>
          <w:lang w:val="sv-SE"/>
        </w:rPr>
        <w:instrText>HYPERLINK "https://www.kokoomus.fi/kokoomuksen-eduskuntavaaliohjelma-2023/"</w:instrText>
      </w:r>
      <w:r w:rsidR="00DE604A">
        <w:fldChar w:fldCharType="separate"/>
      </w:r>
      <w:r w:rsidRPr="00187FA7">
        <w:rPr>
          <w:rStyle w:val="Hyperlink"/>
          <w:sz w:val="20"/>
          <w:lang w:val="fi-FI"/>
        </w:rPr>
        <w:t>Kokoomuksen eduskuntavaaliohjelma 2023 – kokoomus.fi</w:t>
      </w:r>
      <w:r w:rsidR="00DE604A">
        <w:rPr>
          <w:rStyle w:val="Hyperlink"/>
          <w:sz w:val="20"/>
          <w:lang w:val="fi-FI"/>
        </w:rPr>
        <w:fldChar w:fldCharType="end"/>
      </w:r>
      <w:r w:rsidRPr="00187FA7">
        <w:rPr>
          <w:sz w:val="20"/>
          <w:lang w:val="fi-FI"/>
        </w:rPr>
        <w:t xml:space="preserve">, </w:t>
      </w:r>
      <w:hyperlink r:id="rId101" w:history="1">
        <w:r w:rsidRPr="00187FA7">
          <w:rPr>
            <w:rStyle w:val="Hyperlink"/>
            <w:sz w:val="20"/>
            <w:lang w:val="fi-FI"/>
          </w:rPr>
          <w:t>Eduskuntavaaliohjelma 2023 - SDP - Eduskuntavaalit 2023 - SDP</w:t>
        </w:r>
      </w:hyperlink>
      <w:r w:rsidRPr="00187FA7">
        <w:rPr>
          <w:sz w:val="20"/>
          <w:lang w:val="fi-FI"/>
        </w:rPr>
        <w:t xml:space="preserve">, </w:t>
      </w:r>
      <w:hyperlink r:id="rId102" w:history="1">
        <w:r w:rsidRPr="00187FA7">
          <w:rPr>
            <w:rStyle w:val="Hyperlink"/>
            <w:sz w:val="20"/>
            <w:lang w:val="fi-FI"/>
          </w:rPr>
          <w:t>Selkokielinen vaaliohjelma 2023 — Eduskuntavaalit 2023 (sfp.fi)</w:t>
        </w:r>
      </w:hyperlink>
      <w:r w:rsidRPr="00187FA7">
        <w:rPr>
          <w:sz w:val="20"/>
          <w:lang w:val="fi-FI"/>
        </w:rPr>
        <w:t>.</w:t>
      </w:r>
    </w:p>
  </w:footnote>
  <w:footnote w:id="69">
    <w:p w14:paraId="1B2A14E8" w14:textId="2978A9DA" w:rsidR="00C63A2D" w:rsidRPr="00187FA7" w:rsidRDefault="00C63A2D" w:rsidP="00E54FC9">
      <w:pPr>
        <w:pStyle w:val="FootnoteText"/>
        <w:jc w:val="both"/>
        <w:rPr>
          <w:sz w:val="20"/>
          <w:lang w:val="sv-FI"/>
        </w:rPr>
      </w:pPr>
      <w:r w:rsidRPr="00187FA7">
        <w:rPr>
          <w:rStyle w:val="FootnoteReference"/>
          <w:sz w:val="20"/>
        </w:rPr>
        <w:footnoteRef/>
      </w:r>
      <w:r w:rsidRPr="00187FA7">
        <w:rPr>
          <w:sz w:val="20"/>
          <w:lang w:val="sv-FI"/>
        </w:rPr>
        <w:t xml:space="preserve"> </w:t>
      </w:r>
      <w:r w:rsidR="00F11159" w:rsidRPr="00187FA7">
        <w:rPr>
          <w:sz w:val="20"/>
          <w:lang w:val="sv-FI"/>
        </w:rPr>
        <w:t>Finland, Act on the Provision of Digital Services (</w:t>
      </w:r>
      <w:hyperlink r:id="rId103" w:history="1">
        <w:r w:rsidR="00F11159" w:rsidRPr="00187FA7">
          <w:rPr>
            <w:rStyle w:val="Hyperlink"/>
            <w:i/>
            <w:iCs/>
            <w:sz w:val="20"/>
            <w:lang w:val="sv-FI"/>
          </w:rPr>
          <w:t>laki digitaalisten palvelujen tarjoamisesta</w:t>
        </w:r>
      </w:hyperlink>
      <w:r w:rsidR="00F11159" w:rsidRPr="00187FA7">
        <w:rPr>
          <w:i/>
          <w:iCs/>
          <w:sz w:val="20"/>
          <w:lang w:val="sv-FI"/>
        </w:rPr>
        <w:t>/</w:t>
      </w:r>
      <w:hyperlink r:id="rId104" w:history="1">
        <w:r w:rsidR="00F11159" w:rsidRPr="00187FA7">
          <w:rPr>
            <w:rStyle w:val="Hyperlink"/>
            <w:i/>
            <w:iCs/>
            <w:sz w:val="20"/>
            <w:lang w:val="sv-FI"/>
          </w:rPr>
          <w:t>lag om tillhandahållande av digitala tjänster</w:t>
        </w:r>
      </w:hyperlink>
      <w:r w:rsidR="00F11159" w:rsidRPr="00187FA7">
        <w:rPr>
          <w:sz w:val="20"/>
          <w:lang w:val="sv-FI"/>
        </w:rPr>
        <w:t>), Act No. 306/2019</w:t>
      </w:r>
      <w:r w:rsidR="005C3988" w:rsidRPr="00187FA7">
        <w:rPr>
          <w:sz w:val="20"/>
          <w:lang w:val="sv-FI"/>
        </w:rPr>
        <w:t>, 15 March 2019.</w:t>
      </w:r>
    </w:p>
  </w:footnote>
  <w:footnote w:id="70">
    <w:p w14:paraId="2F4F33DC" w14:textId="69B02058" w:rsidR="00F57B0B" w:rsidRPr="00187FA7" w:rsidRDefault="00F57B0B">
      <w:pPr>
        <w:pStyle w:val="FootnoteText"/>
        <w:rPr>
          <w:sz w:val="20"/>
          <w:lang w:val="sv-SE"/>
        </w:rPr>
      </w:pPr>
      <w:r w:rsidRPr="00187FA7">
        <w:rPr>
          <w:rStyle w:val="FootnoteReference"/>
          <w:sz w:val="20"/>
        </w:rPr>
        <w:footnoteRef/>
      </w:r>
      <w:r w:rsidRPr="00041EB5">
        <w:rPr>
          <w:sz w:val="20"/>
          <w:lang w:val="sv-FI"/>
        </w:rPr>
        <w:t xml:space="preserve"> </w:t>
      </w:r>
      <w:r w:rsidR="0076507E" w:rsidRPr="00041EB5">
        <w:rPr>
          <w:sz w:val="20"/>
          <w:lang w:val="sv-FI"/>
        </w:rPr>
        <w:t>Finland,</w:t>
      </w:r>
      <w:r w:rsidR="0076507E" w:rsidRPr="00041EB5">
        <w:rPr>
          <w:color w:val="auto"/>
          <w:sz w:val="20"/>
          <w:lang w:val="sv-FI"/>
        </w:rPr>
        <w:t xml:space="preserve"> </w:t>
      </w:r>
      <w:r w:rsidR="0076507E" w:rsidRPr="00041EB5">
        <w:rPr>
          <w:sz w:val="20"/>
          <w:lang w:val="sv-FI"/>
        </w:rPr>
        <w:t>Act on Electronic Communications Services (</w:t>
      </w:r>
      <w:hyperlink r:id="rId105" w:history="1">
        <w:r w:rsidR="0076507E" w:rsidRPr="00041EB5">
          <w:rPr>
            <w:rStyle w:val="Hyperlink"/>
            <w:i/>
            <w:iCs/>
            <w:sz w:val="20"/>
            <w:lang w:val="sv-FI"/>
          </w:rPr>
          <w:t>laki sähköisen viestinnän palveluista</w:t>
        </w:r>
      </w:hyperlink>
      <w:r w:rsidR="0076507E" w:rsidRPr="00041EB5">
        <w:rPr>
          <w:sz w:val="20"/>
          <w:lang w:val="sv-FI"/>
        </w:rPr>
        <w:t>/</w:t>
      </w:r>
      <w:hyperlink r:id="rId106" w:history="1">
        <w:r w:rsidR="0076507E" w:rsidRPr="00041EB5">
          <w:rPr>
            <w:rStyle w:val="Hyperlink"/>
            <w:i/>
            <w:iCs/>
            <w:sz w:val="20"/>
            <w:lang w:val="sv-FI"/>
          </w:rPr>
          <w:t>lag om tjänster inom elektronisk kommunikation</w:t>
        </w:r>
      </w:hyperlink>
      <w:r w:rsidR="0076507E" w:rsidRPr="00041EB5">
        <w:rPr>
          <w:sz w:val="20"/>
          <w:lang w:val="sv-FI"/>
        </w:rPr>
        <w:t xml:space="preserve">), Act No. 917/2014,  7 November 2014. </w:t>
      </w:r>
    </w:p>
  </w:footnote>
  <w:footnote w:id="71">
    <w:p w14:paraId="4C761A78" w14:textId="339851CE" w:rsidR="00FD5508" w:rsidRPr="00187FA7" w:rsidRDefault="00FD5508">
      <w:pPr>
        <w:pStyle w:val="FootnoteText"/>
        <w:rPr>
          <w:sz w:val="20"/>
          <w:lang w:val="sv-SE"/>
        </w:rPr>
      </w:pPr>
      <w:r w:rsidRPr="00187FA7">
        <w:rPr>
          <w:rStyle w:val="FootnoteReference"/>
          <w:sz w:val="20"/>
        </w:rPr>
        <w:footnoteRef/>
      </w:r>
      <w:r w:rsidRPr="00041EB5">
        <w:rPr>
          <w:sz w:val="20"/>
          <w:lang w:val="sv-SE"/>
        </w:rPr>
        <w:t xml:space="preserve"> Finland, Ministry of Finance (</w:t>
      </w:r>
      <w:r w:rsidRPr="00041EB5">
        <w:rPr>
          <w:i/>
          <w:iCs/>
          <w:sz w:val="20"/>
          <w:lang w:val="sv-SE"/>
        </w:rPr>
        <w:t>valtiovarainministeriö</w:t>
      </w:r>
      <w:r w:rsidRPr="00041EB5">
        <w:rPr>
          <w:sz w:val="20"/>
          <w:lang w:val="sv-SE"/>
        </w:rPr>
        <w:t>/</w:t>
      </w:r>
      <w:r w:rsidRPr="00041EB5">
        <w:rPr>
          <w:i/>
          <w:iCs/>
          <w:sz w:val="20"/>
          <w:lang w:val="sv-SE"/>
        </w:rPr>
        <w:t>finansministeriet</w:t>
      </w:r>
      <w:r w:rsidRPr="00041EB5">
        <w:rPr>
          <w:sz w:val="20"/>
          <w:lang w:val="sv-SE"/>
        </w:rPr>
        <w:t>)</w:t>
      </w:r>
      <w:r w:rsidRPr="00041EB5">
        <w:rPr>
          <w:color w:val="auto"/>
          <w:sz w:val="20"/>
          <w:lang w:val="sv-SE"/>
        </w:rPr>
        <w:t xml:space="preserve"> </w:t>
      </w:r>
      <w:hyperlink r:id="rId107" w:history="1">
        <w:r w:rsidRPr="00041EB5">
          <w:rPr>
            <w:rStyle w:val="Hyperlink"/>
            <w:sz w:val="20"/>
            <w:lang w:val="sv-SE"/>
          </w:rPr>
          <w:t>Valtioneuvoston periaatepäätös valtion toimitilastrategiaksi</w:t>
        </w:r>
      </w:hyperlink>
      <w:r w:rsidRPr="00041EB5">
        <w:rPr>
          <w:sz w:val="20"/>
          <w:lang w:val="sv-SE"/>
        </w:rPr>
        <w:t xml:space="preserve">, VN/2650/2021, 16.12.2021, p. 2. </w:t>
      </w:r>
    </w:p>
  </w:footnote>
  <w:footnote w:id="72">
    <w:p w14:paraId="54873FFF" w14:textId="57E92A39" w:rsidR="00AA3A1F" w:rsidRPr="00187FA7" w:rsidRDefault="00AA3A1F">
      <w:pPr>
        <w:pStyle w:val="FootnoteText"/>
        <w:rPr>
          <w:sz w:val="20"/>
          <w:lang w:val="sv-SE"/>
        </w:rPr>
      </w:pPr>
      <w:r w:rsidRPr="00187FA7">
        <w:rPr>
          <w:rStyle w:val="FootnoteReference"/>
          <w:sz w:val="20"/>
        </w:rPr>
        <w:footnoteRef/>
      </w:r>
      <w:r w:rsidRPr="00041EB5">
        <w:rPr>
          <w:sz w:val="20"/>
          <w:lang w:val="sv-SE"/>
        </w:rPr>
        <w:t xml:space="preserve"> Finland, Land Use and Building Act (</w:t>
      </w:r>
      <w:hyperlink r:id="rId108" w:history="1">
        <w:r w:rsidRPr="00041EB5">
          <w:rPr>
            <w:rStyle w:val="Hyperlink"/>
            <w:i/>
            <w:iCs/>
            <w:sz w:val="20"/>
            <w:lang w:val="sv-SE"/>
          </w:rPr>
          <w:t>maankäyttö- ja rakennuslaki</w:t>
        </w:r>
      </w:hyperlink>
      <w:r w:rsidRPr="00041EB5">
        <w:rPr>
          <w:sz w:val="20"/>
          <w:lang w:val="sv-SE"/>
        </w:rPr>
        <w:t>/</w:t>
      </w:r>
      <w:hyperlink r:id="rId109" w:history="1">
        <w:r w:rsidRPr="00041EB5">
          <w:rPr>
            <w:rStyle w:val="Hyperlink"/>
            <w:i/>
            <w:iCs/>
            <w:sz w:val="20"/>
            <w:lang w:val="sv-SE"/>
          </w:rPr>
          <w:t>markanvändings- och bygglag</w:t>
        </w:r>
      </w:hyperlink>
      <w:r w:rsidRPr="00041EB5">
        <w:rPr>
          <w:sz w:val="20"/>
          <w:lang w:val="sv-SE"/>
        </w:rPr>
        <w:t xml:space="preserve">), Act No. 132/1999, </w:t>
      </w:r>
    </w:p>
  </w:footnote>
  <w:footnote w:id="73">
    <w:p w14:paraId="340527B9" w14:textId="18249F71" w:rsidR="00AA3A1F" w:rsidRPr="00187FA7" w:rsidRDefault="00AA3A1F">
      <w:pPr>
        <w:pStyle w:val="FootnoteText"/>
        <w:rPr>
          <w:sz w:val="20"/>
          <w:lang w:val="sv-SE"/>
        </w:rPr>
      </w:pPr>
      <w:r w:rsidRPr="00187FA7">
        <w:rPr>
          <w:rStyle w:val="FootnoteReference"/>
          <w:sz w:val="20"/>
        </w:rPr>
        <w:footnoteRef/>
      </w:r>
      <w:r w:rsidRPr="00187FA7">
        <w:rPr>
          <w:sz w:val="20"/>
        </w:rPr>
        <w:t xml:space="preserve"> </w:t>
      </w:r>
      <w:r w:rsidRPr="00187FA7">
        <w:rPr>
          <w:sz w:val="20"/>
          <w:lang w:val="sv-SE"/>
        </w:rPr>
        <w:t xml:space="preserve">Finland, Government decree on accessibility of buildings </w:t>
      </w:r>
      <w:r w:rsidRPr="00187FA7">
        <w:rPr>
          <w:sz w:val="20"/>
        </w:rPr>
        <w:t>(</w:t>
      </w:r>
      <w:hyperlink r:id="rId110" w:history="1">
        <w:r w:rsidRPr="00187FA7">
          <w:rPr>
            <w:rStyle w:val="Hyperlink"/>
            <w:i/>
            <w:iCs/>
            <w:sz w:val="20"/>
          </w:rPr>
          <w:t>valtioneuvos</w:t>
        </w:r>
        <w:r w:rsidRPr="00187FA7">
          <w:rPr>
            <w:rStyle w:val="Hyperlink"/>
            <w:i/>
            <w:iCs/>
            <w:sz w:val="20"/>
          </w:rPr>
          <w:softHyphen/>
          <w:t>ton asetus rakennuksen esteettömyy</w:t>
        </w:r>
        <w:r w:rsidRPr="00187FA7">
          <w:rPr>
            <w:rStyle w:val="Hyperlink"/>
            <w:i/>
            <w:iCs/>
            <w:sz w:val="20"/>
          </w:rPr>
          <w:softHyphen/>
          <w:t>destä</w:t>
        </w:r>
      </w:hyperlink>
      <w:r w:rsidRPr="00187FA7">
        <w:rPr>
          <w:sz w:val="20"/>
        </w:rPr>
        <w:t>/</w:t>
      </w:r>
      <w:hyperlink r:id="rId111" w:history="1">
        <w:r w:rsidRPr="00187FA7">
          <w:rPr>
            <w:rStyle w:val="Hyperlink"/>
            <w:i/>
            <w:iCs/>
            <w:sz w:val="20"/>
          </w:rPr>
          <w:t>stats</w:t>
        </w:r>
        <w:r w:rsidRPr="00187FA7">
          <w:rPr>
            <w:rStyle w:val="Hyperlink"/>
            <w:i/>
            <w:iCs/>
            <w:sz w:val="20"/>
          </w:rPr>
          <w:softHyphen/>
          <w:t>rådets förordning om byggna</w:t>
        </w:r>
        <w:r w:rsidRPr="00187FA7">
          <w:rPr>
            <w:rStyle w:val="Hyperlink"/>
            <w:i/>
            <w:iCs/>
            <w:sz w:val="20"/>
          </w:rPr>
          <w:softHyphen/>
          <w:t>d</w:t>
        </w:r>
        <w:r w:rsidRPr="00187FA7">
          <w:rPr>
            <w:rStyle w:val="Hyperlink"/>
            <w:i/>
            <w:iCs/>
            <w:sz w:val="20"/>
          </w:rPr>
          <w:softHyphen/>
          <w:t>ers tillgänglighet</w:t>
        </w:r>
      </w:hyperlink>
      <w:r w:rsidRPr="00187FA7">
        <w:rPr>
          <w:sz w:val="20"/>
        </w:rPr>
        <w:t>), (Decree No. 241/2017), 4 May 2017.</w:t>
      </w:r>
    </w:p>
  </w:footnote>
  <w:footnote w:id="74">
    <w:p w14:paraId="6D2AEC95" w14:textId="5CA8FB3C" w:rsidR="003F3A99" w:rsidRPr="00187FA7" w:rsidRDefault="003F3A99" w:rsidP="00EA405E">
      <w:pPr>
        <w:pStyle w:val="FootnoteText"/>
        <w:jc w:val="both"/>
        <w:rPr>
          <w:sz w:val="20"/>
          <w:lang w:val="fi-FI"/>
        </w:rPr>
      </w:pPr>
      <w:r w:rsidRPr="00187FA7">
        <w:rPr>
          <w:rStyle w:val="FootnoteReference"/>
          <w:sz w:val="20"/>
        </w:rPr>
        <w:footnoteRef/>
      </w:r>
      <w:r w:rsidRPr="00187FA7">
        <w:rPr>
          <w:sz w:val="20"/>
          <w:lang w:val="fi-FI"/>
        </w:rPr>
        <w:t xml:space="preserve"> </w:t>
      </w:r>
      <w:r w:rsidR="00FB4D85" w:rsidRPr="00187FA7">
        <w:rPr>
          <w:sz w:val="20"/>
          <w:lang w:val="fi-FI"/>
        </w:rPr>
        <w:t xml:space="preserve"> Finland, Ministry of the Environment (</w:t>
      </w:r>
      <w:r w:rsidR="00FB4D85" w:rsidRPr="00187FA7">
        <w:rPr>
          <w:i/>
          <w:iCs/>
          <w:sz w:val="20"/>
          <w:lang w:val="fi-FI"/>
        </w:rPr>
        <w:t>ympäristöministeriö</w:t>
      </w:r>
      <w:r w:rsidR="00FB4D85" w:rsidRPr="00187FA7">
        <w:rPr>
          <w:sz w:val="20"/>
          <w:lang w:val="fi-FI"/>
        </w:rPr>
        <w:t>/</w:t>
      </w:r>
      <w:r w:rsidR="00FB4D85" w:rsidRPr="00187FA7">
        <w:rPr>
          <w:i/>
          <w:iCs/>
          <w:sz w:val="20"/>
          <w:lang w:val="fi-FI"/>
        </w:rPr>
        <w:t>miljöministeriet</w:t>
      </w:r>
      <w:r w:rsidR="00FB4D85" w:rsidRPr="00187FA7">
        <w:rPr>
          <w:sz w:val="20"/>
          <w:lang w:val="fi-FI"/>
        </w:rPr>
        <w:t>)</w:t>
      </w:r>
      <w:r w:rsidR="00187FA7">
        <w:rPr>
          <w:sz w:val="20"/>
          <w:lang w:val="fi-FI"/>
        </w:rPr>
        <w:t xml:space="preserve"> (2018)</w:t>
      </w:r>
      <w:r w:rsidR="00FB4D85" w:rsidRPr="00187FA7">
        <w:rPr>
          <w:sz w:val="20"/>
          <w:lang w:val="fi-FI"/>
        </w:rPr>
        <w:t>, Accessibility: Ministry of the Environment guidelines on building accessibility (</w:t>
      </w:r>
      <w:hyperlink r:id="rId112" w:history="1">
        <w:r w:rsidR="00FB4D85" w:rsidRPr="00187FA7">
          <w:rPr>
            <w:rStyle w:val="Hyperlink"/>
            <w:i/>
            <w:iCs/>
            <w:sz w:val="20"/>
            <w:lang w:val="fi-FI"/>
          </w:rPr>
          <w:t>Esteettömyys: Ympäristöministeriön ohje rakennuksen esteettömyydestä</w:t>
        </w:r>
      </w:hyperlink>
      <w:r w:rsidR="00FB4D85" w:rsidRPr="00187FA7">
        <w:rPr>
          <w:sz w:val="20"/>
          <w:lang w:val="fi-FI"/>
        </w:rPr>
        <w:t>).</w:t>
      </w:r>
    </w:p>
  </w:footnote>
  <w:footnote w:id="75">
    <w:p w14:paraId="65CD47E3" w14:textId="2ECF9C03" w:rsidR="0028154D" w:rsidRPr="00187FA7" w:rsidRDefault="0028154D" w:rsidP="00EA405E">
      <w:pPr>
        <w:pStyle w:val="FootnoteText"/>
        <w:jc w:val="both"/>
        <w:rPr>
          <w:sz w:val="20"/>
          <w:lang w:val="fi-FI"/>
        </w:rPr>
      </w:pPr>
      <w:r w:rsidRPr="00187FA7">
        <w:rPr>
          <w:rStyle w:val="FootnoteReference"/>
          <w:sz w:val="20"/>
        </w:rPr>
        <w:footnoteRef/>
      </w:r>
      <w:r w:rsidRPr="00187FA7">
        <w:rPr>
          <w:sz w:val="20"/>
          <w:lang w:val="fi-FI"/>
        </w:rPr>
        <w:t xml:space="preserve"> </w:t>
      </w:r>
      <w:bookmarkStart w:id="44" w:name="_Hlk153540945"/>
      <w:r w:rsidR="006D53E0" w:rsidRPr="00187FA7">
        <w:rPr>
          <w:sz w:val="20"/>
          <w:lang w:val="fi-FI"/>
        </w:rPr>
        <w:t>Finland, Ministry of the Environment (</w:t>
      </w:r>
      <w:r w:rsidR="006D53E0" w:rsidRPr="00187FA7">
        <w:rPr>
          <w:i/>
          <w:iCs/>
          <w:sz w:val="20"/>
          <w:lang w:val="fi-FI"/>
        </w:rPr>
        <w:t>ympäristöministeriö</w:t>
      </w:r>
      <w:r w:rsidR="00D3703C" w:rsidRPr="00187FA7">
        <w:rPr>
          <w:sz w:val="20"/>
          <w:lang w:val="fi-FI"/>
        </w:rPr>
        <w:t>/</w:t>
      </w:r>
      <w:r w:rsidR="00D3703C" w:rsidRPr="00187FA7">
        <w:rPr>
          <w:i/>
          <w:iCs/>
          <w:sz w:val="20"/>
          <w:lang w:val="fi-FI"/>
        </w:rPr>
        <w:t>miljöministeriet</w:t>
      </w:r>
      <w:r w:rsidR="00D3703C" w:rsidRPr="00187FA7">
        <w:rPr>
          <w:sz w:val="20"/>
          <w:lang w:val="fi-FI"/>
        </w:rPr>
        <w:t>)</w:t>
      </w:r>
      <w:r w:rsidR="00187FA7">
        <w:rPr>
          <w:sz w:val="20"/>
          <w:lang w:val="fi-FI"/>
        </w:rPr>
        <w:t xml:space="preserve"> (2023)</w:t>
      </w:r>
      <w:r w:rsidR="00D3703C" w:rsidRPr="00187FA7">
        <w:rPr>
          <w:sz w:val="20"/>
          <w:lang w:val="fi-FI"/>
        </w:rPr>
        <w:t xml:space="preserve">, </w:t>
      </w:r>
      <w:r w:rsidR="00DE604A">
        <w:fldChar w:fldCharType="begin"/>
      </w:r>
      <w:r w:rsidR="00DE604A" w:rsidRPr="00DE604A">
        <w:rPr>
          <w:lang w:val="fi-FI"/>
        </w:rPr>
        <w:instrText>HYPERLINK "https://api.hankeikkuna.fi/asiakirjat/eedc7b72-fc05-4c75-a932-a91d16befdc0/e4776510-df56-447f-ab76-af496235d27a/RAPORTTI_20230419120046.PDF"</w:instrText>
      </w:r>
      <w:r w:rsidR="00DE604A">
        <w:fldChar w:fldCharType="separate"/>
      </w:r>
      <w:r w:rsidR="00D3703C" w:rsidRPr="00187FA7">
        <w:rPr>
          <w:rStyle w:val="Hyperlink"/>
          <w:i/>
          <w:iCs/>
          <w:sz w:val="20"/>
          <w:lang w:val="fi-FI"/>
        </w:rPr>
        <w:t xml:space="preserve">Rakennettu ympäristö kaikille: </w:t>
      </w:r>
      <w:r w:rsidRPr="00187FA7">
        <w:rPr>
          <w:rStyle w:val="Hyperlink"/>
          <w:i/>
          <w:iCs/>
          <w:sz w:val="20"/>
          <w:lang w:val="fi-FI"/>
        </w:rPr>
        <w:t>Esteettömyystyöryhmän raportti</w:t>
      </w:r>
      <w:r w:rsidR="00DE604A">
        <w:rPr>
          <w:rStyle w:val="Hyperlink"/>
          <w:i/>
          <w:iCs/>
          <w:sz w:val="20"/>
          <w:lang w:val="fi-FI"/>
        </w:rPr>
        <w:fldChar w:fldCharType="end"/>
      </w:r>
      <w:r w:rsidR="00D3703C" w:rsidRPr="00187FA7">
        <w:rPr>
          <w:sz w:val="20"/>
          <w:lang w:val="fi-FI"/>
        </w:rPr>
        <w:t>,</w:t>
      </w:r>
      <w:bookmarkEnd w:id="44"/>
      <w:r w:rsidRPr="00187FA7">
        <w:rPr>
          <w:sz w:val="20"/>
          <w:lang w:val="fi-FI"/>
        </w:rPr>
        <w:t xml:space="preserve"> </w:t>
      </w:r>
      <w:r w:rsidR="00187FA7">
        <w:rPr>
          <w:sz w:val="20"/>
          <w:lang w:val="fi-FI"/>
        </w:rPr>
        <w:t xml:space="preserve">Helsinki, </w:t>
      </w:r>
      <w:r w:rsidR="00D3703C" w:rsidRPr="00187FA7">
        <w:rPr>
          <w:sz w:val="20"/>
          <w:lang w:val="fi-FI"/>
        </w:rPr>
        <w:t>p</w:t>
      </w:r>
      <w:r w:rsidRPr="00187FA7">
        <w:rPr>
          <w:sz w:val="20"/>
          <w:lang w:val="fi-FI"/>
        </w:rPr>
        <w:t>. 22.</w:t>
      </w:r>
    </w:p>
  </w:footnote>
  <w:footnote w:id="76">
    <w:p w14:paraId="6B7FFD68" w14:textId="01FF9DC4" w:rsidR="00E26A9E" w:rsidRPr="00187FA7" w:rsidRDefault="00E26A9E" w:rsidP="00EA405E">
      <w:pPr>
        <w:pStyle w:val="FootnoteText"/>
        <w:jc w:val="both"/>
        <w:rPr>
          <w:sz w:val="20"/>
          <w:lang w:val="fi-FI"/>
        </w:rPr>
      </w:pPr>
      <w:r w:rsidRPr="00187FA7">
        <w:rPr>
          <w:rStyle w:val="FootnoteReference"/>
          <w:sz w:val="20"/>
        </w:rPr>
        <w:footnoteRef/>
      </w:r>
      <w:r w:rsidRPr="00187FA7">
        <w:rPr>
          <w:sz w:val="20"/>
          <w:lang w:val="fi-FI"/>
        </w:rPr>
        <w:t xml:space="preserve"> </w:t>
      </w:r>
      <w:r w:rsidR="00187FA7" w:rsidRPr="00187FA7">
        <w:rPr>
          <w:sz w:val="20"/>
          <w:lang w:val="fi-FI"/>
        </w:rPr>
        <w:t>Finland, Government proposal on Building Act (</w:t>
      </w:r>
      <w:hyperlink r:id="rId113" w:history="1">
        <w:r w:rsidR="00187FA7" w:rsidRPr="00017BC0">
          <w:rPr>
            <w:rStyle w:val="Hyperlink"/>
            <w:i/>
            <w:iCs/>
            <w:sz w:val="20"/>
            <w:lang w:val="fi-FI"/>
          </w:rPr>
          <w:t>Hallituksen esitys eduskunnalle rakentamislaiksi ja siihen liittyviksi laeiksi</w:t>
        </w:r>
      </w:hyperlink>
      <w:r w:rsidR="00187FA7" w:rsidRPr="00041EB5">
        <w:rPr>
          <w:sz w:val="20"/>
          <w:lang w:val="fi-FI"/>
        </w:rPr>
        <w:t>/</w:t>
      </w:r>
      <w:r w:rsidR="00187FA7" w:rsidRPr="00041EB5">
        <w:rPr>
          <w:color w:val="auto"/>
          <w:sz w:val="20"/>
          <w:lang w:val="fi-FI"/>
        </w:rPr>
        <w:t xml:space="preserve"> </w:t>
      </w:r>
      <w:hyperlink r:id="rId114" w:history="1">
        <w:r w:rsidR="00187FA7" w:rsidRPr="00017BC0">
          <w:rPr>
            <w:rStyle w:val="Hyperlink"/>
            <w:i/>
            <w:iCs/>
            <w:sz w:val="20"/>
            <w:lang w:val="fi-FI"/>
          </w:rPr>
          <w:t>Regeringens proposition till riksdagen med förslag till bygglag och till vissa lagar som har samband med den</w:t>
        </w:r>
      </w:hyperlink>
      <w:r w:rsidR="00187FA7" w:rsidRPr="00041EB5">
        <w:rPr>
          <w:sz w:val="20"/>
          <w:lang w:val="fi-FI"/>
        </w:rPr>
        <w:t xml:space="preserve">), Proposal No. </w:t>
      </w:r>
      <w:r w:rsidRPr="00187FA7">
        <w:rPr>
          <w:sz w:val="20"/>
          <w:lang w:val="fi-FI"/>
        </w:rPr>
        <w:t>HE 139/2022, p. 153.</w:t>
      </w:r>
    </w:p>
  </w:footnote>
  <w:footnote w:id="77">
    <w:p w14:paraId="4BA77D9E" w14:textId="1B3F8A99" w:rsidR="00275023" w:rsidRPr="00187FA7" w:rsidRDefault="00275023" w:rsidP="00EA405E">
      <w:pPr>
        <w:pStyle w:val="FootnoteText"/>
        <w:jc w:val="both"/>
        <w:rPr>
          <w:sz w:val="20"/>
        </w:rPr>
      </w:pPr>
      <w:r w:rsidRPr="00187FA7">
        <w:rPr>
          <w:rStyle w:val="FootnoteReference"/>
          <w:sz w:val="20"/>
        </w:rPr>
        <w:footnoteRef/>
      </w:r>
      <w:r w:rsidRPr="00187FA7">
        <w:rPr>
          <w:sz w:val="20"/>
        </w:rPr>
        <w:t xml:space="preserve"> Finland, Ministry of Environment (</w:t>
      </w:r>
      <w:r w:rsidRPr="00187FA7">
        <w:rPr>
          <w:i/>
          <w:iCs/>
          <w:sz w:val="20"/>
        </w:rPr>
        <w:t>ympäristöministeriö</w:t>
      </w:r>
      <w:r w:rsidRPr="00187FA7">
        <w:rPr>
          <w:sz w:val="20"/>
        </w:rPr>
        <w:t>/</w:t>
      </w:r>
      <w:r w:rsidRPr="00187FA7">
        <w:rPr>
          <w:i/>
          <w:iCs/>
          <w:sz w:val="20"/>
        </w:rPr>
        <w:t>miljöministeriet</w:t>
      </w:r>
      <w:r w:rsidRPr="00187FA7">
        <w:rPr>
          <w:sz w:val="20"/>
        </w:rPr>
        <w:t>), information obtained via phone on 23 November 2023.</w:t>
      </w:r>
    </w:p>
  </w:footnote>
  <w:footnote w:id="78">
    <w:p w14:paraId="70BC3ED7" w14:textId="586BF9B3" w:rsidR="005A1791" w:rsidRPr="00187FA7" w:rsidRDefault="005A1791" w:rsidP="00203939">
      <w:pPr>
        <w:pStyle w:val="FootnoteText"/>
        <w:jc w:val="both"/>
        <w:rPr>
          <w:sz w:val="20"/>
          <w:lang w:val="fi-FI"/>
        </w:rPr>
      </w:pPr>
      <w:r w:rsidRPr="00187FA7">
        <w:rPr>
          <w:rStyle w:val="FootnoteReference"/>
          <w:sz w:val="20"/>
        </w:rPr>
        <w:footnoteRef/>
      </w:r>
      <w:r w:rsidRPr="00187FA7">
        <w:rPr>
          <w:sz w:val="20"/>
          <w:lang w:val="fi-FI"/>
        </w:rPr>
        <w:t xml:space="preserve"> </w:t>
      </w:r>
      <w:bookmarkStart w:id="45" w:name="_Hlk153541259"/>
      <w:r w:rsidR="00187FA7" w:rsidRPr="00187FA7">
        <w:rPr>
          <w:sz w:val="20"/>
          <w:lang w:val="fi-FI"/>
        </w:rPr>
        <w:t>Finland, Ministry of the Environment (</w:t>
      </w:r>
      <w:r w:rsidR="00187FA7" w:rsidRPr="00187FA7">
        <w:rPr>
          <w:i/>
          <w:iCs/>
          <w:sz w:val="20"/>
          <w:lang w:val="fi-FI"/>
        </w:rPr>
        <w:t>ympäristöministeriö</w:t>
      </w:r>
      <w:r w:rsidR="00187FA7" w:rsidRPr="00187FA7">
        <w:rPr>
          <w:sz w:val="20"/>
          <w:lang w:val="fi-FI"/>
        </w:rPr>
        <w:t>/</w:t>
      </w:r>
      <w:r w:rsidR="00187FA7" w:rsidRPr="00187FA7">
        <w:rPr>
          <w:i/>
          <w:iCs/>
          <w:sz w:val="20"/>
          <w:lang w:val="fi-FI"/>
        </w:rPr>
        <w:t>miljöministeriet</w:t>
      </w:r>
      <w:r w:rsidR="00187FA7" w:rsidRPr="00187FA7">
        <w:rPr>
          <w:sz w:val="20"/>
          <w:lang w:val="fi-FI"/>
        </w:rPr>
        <w:t>)</w:t>
      </w:r>
      <w:r w:rsidR="00187FA7">
        <w:rPr>
          <w:sz w:val="20"/>
          <w:lang w:val="fi-FI"/>
        </w:rPr>
        <w:t xml:space="preserve"> (2023)</w:t>
      </w:r>
      <w:r w:rsidR="00187FA7" w:rsidRPr="00187FA7">
        <w:rPr>
          <w:sz w:val="20"/>
          <w:lang w:val="fi-FI"/>
        </w:rPr>
        <w:t xml:space="preserve">, </w:t>
      </w:r>
      <w:hyperlink r:id="rId115" w:history="1">
        <w:r w:rsidR="00187FA7" w:rsidRPr="00187FA7">
          <w:rPr>
            <w:rStyle w:val="Hyperlink"/>
            <w:i/>
            <w:iCs/>
            <w:sz w:val="20"/>
            <w:lang w:val="fi-FI"/>
          </w:rPr>
          <w:t>Rakennettu ympäristö kaikille: Esteettömyystyöryhmän raportti</w:t>
        </w:r>
      </w:hyperlink>
      <w:r w:rsidR="00187FA7">
        <w:rPr>
          <w:sz w:val="20"/>
          <w:lang w:val="fi-FI"/>
        </w:rPr>
        <w:t xml:space="preserve">, Helsinki. </w:t>
      </w:r>
      <w:bookmarkEnd w:id="45"/>
    </w:p>
  </w:footnote>
  <w:footnote w:id="79">
    <w:p w14:paraId="6DE33F2A" w14:textId="7104B5ED" w:rsidR="00660B34" w:rsidRPr="00187FA7" w:rsidRDefault="00660B34" w:rsidP="00EA405E">
      <w:pPr>
        <w:pStyle w:val="FootnoteText"/>
        <w:jc w:val="both"/>
        <w:rPr>
          <w:sz w:val="20"/>
          <w:lang w:val="fi-FI"/>
        </w:rPr>
      </w:pPr>
      <w:r w:rsidRPr="00187FA7">
        <w:rPr>
          <w:rStyle w:val="FootnoteReference"/>
          <w:sz w:val="20"/>
        </w:rPr>
        <w:footnoteRef/>
      </w:r>
      <w:r w:rsidRPr="00187FA7">
        <w:rPr>
          <w:sz w:val="20"/>
          <w:lang w:val="fi-FI"/>
        </w:rPr>
        <w:t xml:space="preserve"> </w:t>
      </w:r>
      <w:bookmarkStart w:id="46" w:name="_Hlk153541599"/>
      <w:r w:rsidR="00823DC9" w:rsidRPr="00823DC9">
        <w:rPr>
          <w:sz w:val="20"/>
          <w:lang w:val="fi-FI"/>
        </w:rPr>
        <w:t>Finland, Ministry of the Environment (</w:t>
      </w:r>
      <w:r w:rsidR="00823DC9" w:rsidRPr="00823DC9">
        <w:rPr>
          <w:i/>
          <w:iCs/>
          <w:sz w:val="20"/>
          <w:lang w:val="fi-FI"/>
        </w:rPr>
        <w:t>ympäristöministeriö</w:t>
      </w:r>
      <w:r w:rsidR="00823DC9" w:rsidRPr="00823DC9">
        <w:rPr>
          <w:sz w:val="20"/>
          <w:lang w:val="fi-FI"/>
        </w:rPr>
        <w:t>/</w:t>
      </w:r>
      <w:r w:rsidR="00823DC9" w:rsidRPr="00823DC9">
        <w:rPr>
          <w:i/>
          <w:iCs/>
          <w:sz w:val="20"/>
          <w:lang w:val="fi-FI"/>
        </w:rPr>
        <w:t>miljöministeriet</w:t>
      </w:r>
      <w:r w:rsidR="00823DC9" w:rsidRPr="00823DC9">
        <w:rPr>
          <w:sz w:val="20"/>
          <w:lang w:val="fi-FI"/>
        </w:rPr>
        <w:t xml:space="preserve">) (2023), </w:t>
      </w:r>
      <w:r w:rsidR="00DE604A">
        <w:fldChar w:fldCharType="begin"/>
      </w:r>
      <w:r w:rsidR="00DE604A" w:rsidRPr="00DE604A">
        <w:rPr>
          <w:lang w:val="fi-FI"/>
        </w:rPr>
        <w:instrText>HYPERLINK "https://api.hankeikkuna.fi/asiakirjat/eedc7b72-fc05-4c75-a932-a91d16befdc0/e4776510-df56-447f-ab76-af496235d27a/RAPORTTI_20230419120046.PDF"</w:instrText>
      </w:r>
      <w:r w:rsidR="00DE604A">
        <w:fldChar w:fldCharType="separate"/>
      </w:r>
      <w:r w:rsidR="00823DC9" w:rsidRPr="00823DC9">
        <w:rPr>
          <w:rStyle w:val="Hyperlink"/>
          <w:i/>
          <w:iCs/>
          <w:sz w:val="20"/>
          <w:lang w:val="fi-FI"/>
        </w:rPr>
        <w:t>Rakennettu ympäristö kaikille: Esteettömyystyöryhmän raportti</w:t>
      </w:r>
      <w:r w:rsidR="00DE604A">
        <w:rPr>
          <w:rStyle w:val="Hyperlink"/>
          <w:i/>
          <w:iCs/>
          <w:sz w:val="20"/>
          <w:lang w:val="fi-FI"/>
        </w:rPr>
        <w:fldChar w:fldCharType="end"/>
      </w:r>
      <w:r w:rsidR="00823DC9" w:rsidRPr="00823DC9">
        <w:rPr>
          <w:sz w:val="20"/>
          <w:lang w:val="fi-FI"/>
        </w:rPr>
        <w:t>, Helsinki</w:t>
      </w:r>
      <w:r w:rsidR="00823DC9">
        <w:rPr>
          <w:sz w:val="20"/>
          <w:lang w:val="fi-FI"/>
        </w:rPr>
        <w:t xml:space="preserve">, p. </w:t>
      </w:r>
      <w:bookmarkEnd w:id="46"/>
      <w:r w:rsidR="00823DC9">
        <w:rPr>
          <w:sz w:val="20"/>
          <w:lang w:val="fi-FI"/>
        </w:rPr>
        <w:t>21.</w:t>
      </w:r>
    </w:p>
  </w:footnote>
  <w:footnote w:id="80">
    <w:p w14:paraId="4748FB8D" w14:textId="5BE49076" w:rsidR="00937073" w:rsidRPr="00187FA7" w:rsidRDefault="00937073" w:rsidP="00EA405E">
      <w:pPr>
        <w:pStyle w:val="FootnoteText"/>
        <w:jc w:val="both"/>
        <w:rPr>
          <w:sz w:val="20"/>
          <w:lang w:val="fi-FI"/>
        </w:rPr>
      </w:pPr>
      <w:r w:rsidRPr="00187FA7">
        <w:rPr>
          <w:rStyle w:val="FootnoteReference"/>
          <w:sz w:val="20"/>
        </w:rPr>
        <w:footnoteRef/>
      </w:r>
      <w:r w:rsidRPr="00187FA7">
        <w:rPr>
          <w:sz w:val="20"/>
          <w:lang w:val="fi-FI"/>
        </w:rPr>
        <w:t xml:space="preserve"> Finland, Ministry of Justice (</w:t>
      </w:r>
      <w:r w:rsidRPr="00187FA7">
        <w:rPr>
          <w:i/>
          <w:iCs/>
          <w:sz w:val="20"/>
          <w:lang w:val="fi-FI"/>
        </w:rPr>
        <w:t>oikeusministeriö</w:t>
      </w:r>
      <w:r w:rsidRPr="00187FA7">
        <w:rPr>
          <w:sz w:val="20"/>
          <w:lang w:val="fi-FI"/>
        </w:rPr>
        <w:t>/</w:t>
      </w:r>
      <w:r w:rsidRPr="00187FA7">
        <w:rPr>
          <w:i/>
          <w:iCs/>
          <w:sz w:val="20"/>
          <w:lang w:val="fi-FI"/>
        </w:rPr>
        <w:t>justitieministeriet</w:t>
      </w:r>
      <w:r w:rsidRPr="00187FA7">
        <w:rPr>
          <w:sz w:val="20"/>
          <w:lang w:val="fi-FI"/>
        </w:rPr>
        <w:t>), Parliamentary working group to develop election and voting practices – ensuring accessibility of polling stations (</w:t>
      </w:r>
      <w:r w:rsidR="00F03039">
        <w:rPr>
          <w:sz w:val="20"/>
          <w:lang w:val="fi-FI"/>
        </w:rPr>
        <w:t>’</w:t>
      </w:r>
      <w:hyperlink r:id="rId116" w:history="1">
        <w:r w:rsidRPr="00187FA7">
          <w:rPr>
            <w:rStyle w:val="Hyperlink"/>
            <w:sz w:val="20"/>
            <w:lang w:val="fi-FI"/>
          </w:rPr>
          <w:t>Parlamentaarinen työryhmä kehittämään vaalien ja äänestämisen käytäntöjä – äänestyspaikkojen esteettömyys varmistetaan</w:t>
        </w:r>
      </w:hyperlink>
      <w:r w:rsidR="00F03039">
        <w:rPr>
          <w:rStyle w:val="Hyperlink"/>
          <w:sz w:val="20"/>
          <w:lang w:val="fi-FI"/>
        </w:rPr>
        <w:t>’</w:t>
      </w:r>
      <w:r w:rsidRPr="00187FA7">
        <w:rPr>
          <w:sz w:val="20"/>
          <w:lang w:val="fi-FI"/>
        </w:rPr>
        <w:t>), press release, 24 November 2023.</w:t>
      </w:r>
    </w:p>
  </w:footnote>
  <w:footnote w:id="81">
    <w:p w14:paraId="1ACC3827" w14:textId="14380913" w:rsidR="001573D2" w:rsidRPr="00187FA7" w:rsidRDefault="001573D2">
      <w:pPr>
        <w:pStyle w:val="FootnoteText"/>
        <w:rPr>
          <w:sz w:val="20"/>
          <w:lang w:val="sv-SE"/>
        </w:rPr>
      </w:pPr>
      <w:r w:rsidRPr="00187FA7">
        <w:rPr>
          <w:rStyle w:val="FootnoteReference"/>
          <w:sz w:val="20"/>
        </w:rPr>
        <w:footnoteRef/>
      </w:r>
      <w:r w:rsidRPr="00187FA7">
        <w:rPr>
          <w:sz w:val="20"/>
        </w:rPr>
        <w:t xml:space="preserve"> </w:t>
      </w:r>
      <w:r w:rsidR="00203939" w:rsidRPr="00187FA7">
        <w:rPr>
          <w:sz w:val="20"/>
        </w:rPr>
        <w:t>Finland, information obtained from the Ministry of Justice via e-mail on 1 December 2023.</w:t>
      </w:r>
    </w:p>
  </w:footnote>
  <w:footnote w:id="82">
    <w:p w14:paraId="0E168766" w14:textId="1227A68A" w:rsidR="007D1D3E" w:rsidRPr="00187FA7" w:rsidRDefault="007D1D3E">
      <w:pPr>
        <w:pStyle w:val="FootnoteText"/>
        <w:rPr>
          <w:sz w:val="20"/>
          <w:lang w:val="sv-SE"/>
        </w:rPr>
      </w:pPr>
      <w:r w:rsidRPr="00187FA7">
        <w:rPr>
          <w:rStyle w:val="FootnoteReference"/>
          <w:sz w:val="20"/>
        </w:rPr>
        <w:footnoteRef/>
      </w:r>
      <w:r w:rsidRPr="00187FA7">
        <w:rPr>
          <w:sz w:val="20"/>
        </w:rPr>
        <w:t xml:space="preserve"> </w:t>
      </w:r>
      <w:r w:rsidRPr="00187FA7">
        <w:rPr>
          <w:sz w:val="20"/>
          <w:lang w:val="fi-FI"/>
        </w:rPr>
        <w:t>Finland, Ministry of Social Affairs and Health (</w:t>
      </w:r>
      <w:r w:rsidRPr="00187FA7">
        <w:rPr>
          <w:i/>
          <w:iCs/>
          <w:sz w:val="20"/>
          <w:lang w:val="fi-FI"/>
        </w:rPr>
        <w:t>sosiaali- ja terveysministeriö</w:t>
      </w:r>
      <w:r w:rsidRPr="00187FA7">
        <w:rPr>
          <w:sz w:val="20"/>
          <w:lang w:val="fi-FI"/>
        </w:rPr>
        <w:t>/</w:t>
      </w:r>
      <w:r w:rsidRPr="00187FA7">
        <w:rPr>
          <w:i/>
          <w:iCs/>
          <w:sz w:val="20"/>
          <w:lang w:val="fi-FI"/>
        </w:rPr>
        <w:t>social- och hälsovårdsministeriet</w:t>
      </w:r>
      <w:r w:rsidRPr="00187FA7">
        <w:rPr>
          <w:sz w:val="20"/>
          <w:lang w:val="fi-FI"/>
        </w:rPr>
        <w:t>)</w:t>
      </w:r>
      <w:r w:rsidR="00F03039">
        <w:rPr>
          <w:sz w:val="20"/>
          <w:lang w:val="fi-FI"/>
        </w:rPr>
        <w:t xml:space="preserve"> (2023)</w:t>
      </w:r>
      <w:r w:rsidRPr="00187FA7">
        <w:rPr>
          <w:sz w:val="20"/>
          <w:lang w:val="fi-FI"/>
        </w:rPr>
        <w:t>, Follow-up report on National Action Plan on the UN Convention on the Rights of Persons with Disabilities (2020−2023) (</w:t>
      </w:r>
      <w:hyperlink r:id="rId117" w:history="1">
        <w:r w:rsidRPr="00187FA7">
          <w:rPr>
            <w:rStyle w:val="Hyperlink"/>
            <w:sz w:val="20"/>
          </w:rPr>
          <w:t>Seurantaraportti: YK:n vammaisten henkilöiden oikeuksien yleissopimuksen kansallinen toimintaohjelma [2020–2023</w:t>
        </w:r>
      </w:hyperlink>
      <w:r w:rsidRPr="00187FA7">
        <w:rPr>
          <w:sz w:val="20"/>
        </w:rPr>
        <w:t>]/ Uppföljningsrapport: Nationellt handlingsprogram för FN:s konvention om rättigheter för personer med funktionsnedsättning [2020–2023]), Helsinki, Publications of the Ministry of Social Affairs and Health 2023:24, p. 33.</w:t>
      </w:r>
    </w:p>
  </w:footnote>
  <w:footnote w:id="83">
    <w:p w14:paraId="273F0615" w14:textId="48979176" w:rsidR="00943F30" w:rsidRPr="00187FA7" w:rsidRDefault="00943F30" w:rsidP="0095178A">
      <w:pPr>
        <w:pStyle w:val="FootnoteText"/>
        <w:jc w:val="both"/>
        <w:rPr>
          <w:sz w:val="20"/>
        </w:rPr>
      </w:pPr>
      <w:r w:rsidRPr="00187FA7">
        <w:rPr>
          <w:rStyle w:val="FootnoteReference"/>
          <w:sz w:val="20"/>
        </w:rPr>
        <w:footnoteRef/>
      </w:r>
      <w:r w:rsidRPr="00187FA7">
        <w:rPr>
          <w:sz w:val="20"/>
        </w:rPr>
        <w:t xml:space="preserve"> </w:t>
      </w:r>
      <w:r w:rsidR="00E56238" w:rsidRPr="00187FA7">
        <w:rPr>
          <w:sz w:val="20"/>
        </w:rPr>
        <w:t>Arpiainen, Laura; Wäre</w:t>
      </w:r>
      <w:r w:rsidR="000718D4" w:rsidRPr="00187FA7">
        <w:rPr>
          <w:sz w:val="20"/>
        </w:rPr>
        <w:t>-</w:t>
      </w:r>
      <w:r w:rsidR="00E56238" w:rsidRPr="00187FA7">
        <w:rPr>
          <w:sz w:val="20"/>
        </w:rPr>
        <w:t>Åkerblom, Satu; Hillukkala, Eeva; Mäkinen, Raisa; Roberts, Vera (2021), UN Convention on the Rights of Persons with Disabilities and accessibility in the built environment: Legislation and policy needs of the future (</w:t>
      </w:r>
      <w:hyperlink r:id="rId118" w:history="1">
        <w:r w:rsidR="00E56238" w:rsidRPr="00187FA7">
          <w:rPr>
            <w:rStyle w:val="Hyperlink"/>
            <w:sz w:val="20"/>
          </w:rPr>
          <w:t>YK:n vammaissopimus ja rakennetun ympäristön esteettömyys : Tulevaisuuden lainsäädäntö- ja ohjaustarpeet</w:t>
        </w:r>
      </w:hyperlink>
      <w:r w:rsidR="00E56238" w:rsidRPr="00187FA7">
        <w:rPr>
          <w:sz w:val="20"/>
        </w:rPr>
        <w:t>), Publications of the Government’s analysis, assessment and research activities 2021:71</w:t>
      </w:r>
      <w:r w:rsidR="00B25E78" w:rsidRPr="00187FA7">
        <w:rPr>
          <w:sz w:val="20"/>
        </w:rPr>
        <w:t>, p. 96.</w:t>
      </w:r>
    </w:p>
  </w:footnote>
  <w:footnote w:id="84">
    <w:p w14:paraId="6312ED82" w14:textId="2BFA4A41" w:rsidR="001573D2" w:rsidRPr="00187FA7" w:rsidRDefault="001573D2">
      <w:pPr>
        <w:pStyle w:val="FootnoteText"/>
        <w:rPr>
          <w:sz w:val="20"/>
          <w:lang w:val="sv-SE"/>
        </w:rPr>
      </w:pPr>
      <w:r w:rsidRPr="00187FA7">
        <w:rPr>
          <w:rStyle w:val="FootnoteReference"/>
          <w:sz w:val="20"/>
        </w:rPr>
        <w:footnoteRef/>
      </w:r>
      <w:r w:rsidRPr="00187FA7">
        <w:rPr>
          <w:sz w:val="20"/>
        </w:rPr>
        <w:t xml:space="preserve"> </w:t>
      </w:r>
      <w:r w:rsidR="00065EA5" w:rsidRPr="00065EA5">
        <w:rPr>
          <w:sz w:val="20"/>
          <w:lang w:val="fi-FI"/>
        </w:rPr>
        <w:t>Finland, Ministry of the Environment (</w:t>
      </w:r>
      <w:r w:rsidR="00065EA5" w:rsidRPr="00065EA5">
        <w:rPr>
          <w:i/>
          <w:iCs/>
          <w:sz w:val="20"/>
          <w:lang w:val="fi-FI"/>
        </w:rPr>
        <w:t>ympäristöministeriö</w:t>
      </w:r>
      <w:r w:rsidR="00065EA5" w:rsidRPr="00065EA5">
        <w:rPr>
          <w:sz w:val="20"/>
          <w:lang w:val="fi-FI"/>
        </w:rPr>
        <w:t>/</w:t>
      </w:r>
      <w:r w:rsidR="00065EA5" w:rsidRPr="00065EA5">
        <w:rPr>
          <w:i/>
          <w:iCs/>
          <w:sz w:val="20"/>
          <w:lang w:val="fi-FI"/>
        </w:rPr>
        <w:t>miljöministeriet</w:t>
      </w:r>
      <w:r w:rsidR="00065EA5" w:rsidRPr="00065EA5">
        <w:rPr>
          <w:sz w:val="20"/>
          <w:lang w:val="fi-FI"/>
        </w:rPr>
        <w:t xml:space="preserve">) (2023), </w:t>
      </w:r>
      <w:hyperlink r:id="rId119" w:history="1">
        <w:r w:rsidR="00065EA5" w:rsidRPr="00065EA5">
          <w:rPr>
            <w:rStyle w:val="Hyperlink"/>
            <w:i/>
            <w:iCs/>
            <w:sz w:val="20"/>
            <w:lang w:val="fi-FI"/>
          </w:rPr>
          <w:t>Rakennettu ympäristö kaikille: Esteettömyystyöryhmän raportti</w:t>
        </w:r>
      </w:hyperlink>
      <w:r w:rsidR="00065EA5" w:rsidRPr="00065EA5">
        <w:rPr>
          <w:sz w:val="20"/>
          <w:lang w:val="fi-FI"/>
        </w:rPr>
        <w:t>, Helsinki, p.</w:t>
      </w:r>
      <w:r w:rsidR="00065EA5">
        <w:rPr>
          <w:sz w:val="20"/>
          <w:lang w:val="fi-FI"/>
        </w:rPr>
        <w:t xml:space="preserve"> 29.</w:t>
      </w:r>
    </w:p>
  </w:footnote>
  <w:footnote w:id="85">
    <w:p w14:paraId="45958B66" w14:textId="2A4543D1" w:rsidR="0035696D" w:rsidRPr="00187FA7" w:rsidRDefault="0035696D" w:rsidP="00EA405E">
      <w:pPr>
        <w:pStyle w:val="FootnoteText"/>
        <w:jc w:val="both"/>
        <w:rPr>
          <w:sz w:val="20"/>
          <w:lang w:val="en-US"/>
        </w:rPr>
      </w:pPr>
      <w:r w:rsidRPr="00187FA7">
        <w:rPr>
          <w:rStyle w:val="FootnoteReference"/>
          <w:sz w:val="20"/>
        </w:rPr>
        <w:footnoteRef/>
      </w:r>
      <w:r w:rsidRPr="00187FA7">
        <w:rPr>
          <w:sz w:val="20"/>
        </w:rPr>
        <w:t xml:space="preserve"> Finland, Parliamentary </w:t>
      </w:r>
      <w:bookmarkStart w:id="49" w:name="_Hlk153288341"/>
      <w:r w:rsidRPr="00187FA7">
        <w:rPr>
          <w:sz w:val="20"/>
        </w:rPr>
        <w:t>Ombu</w:t>
      </w:r>
      <w:bookmarkEnd w:id="49"/>
      <w:r w:rsidRPr="00187FA7">
        <w:rPr>
          <w:sz w:val="20"/>
        </w:rPr>
        <w:t>dsman (</w:t>
      </w:r>
      <w:r w:rsidRPr="00187FA7">
        <w:rPr>
          <w:i/>
          <w:iCs/>
          <w:sz w:val="20"/>
        </w:rPr>
        <w:t>oikeusasiamies</w:t>
      </w:r>
      <w:r w:rsidRPr="00187FA7">
        <w:rPr>
          <w:sz w:val="20"/>
        </w:rPr>
        <w:t>/</w:t>
      </w:r>
      <w:r w:rsidRPr="00187FA7">
        <w:rPr>
          <w:i/>
          <w:iCs/>
          <w:sz w:val="20"/>
        </w:rPr>
        <w:t>justitieombudsman</w:t>
      </w:r>
      <w:r w:rsidRPr="00187FA7">
        <w:rPr>
          <w:sz w:val="20"/>
        </w:rPr>
        <w:t>),</w:t>
      </w:r>
      <w:r w:rsidRPr="00187FA7">
        <w:rPr>
          <w:color w:val="auto"/>
          <w:sz w:val="20"/>
        </w:rPr>
        <w:t xml:space="preserve"> </w:t>
      </w:r>
      <w:hyperlink r:id="rId120" w:history="1">
        <w:r w:rsidRPr="00187FA7">
          <w:rPr>
            <w:rStyle w:val="Hyperlink"/>
            <w:sz w:val="20"/>
          </w:rPr>
          <w:t>The rights of persons with disabilities</w:t>
        </w:r>
      </w:hyperlink>
      <w:r w:rsidR="00B32989" w:rsidRPr="00187FA7">
        <w:rPr>
          <w:sz w:val="20"/>
        </w:rPr>
        <w:t>, webpage, accessed on 14 December 2023.</w:t>
      </w:r>
    </w:p>
  </w:footnote>
  <w:footnote w:id="86">
    <w:p w14:paraId="55DFB6A8" w14:textId="77777777" w:rsidR="00C15A23" w:rsidRPr="00187FA7" w:rsidRDefault="00C15A23" w:rsidP="00C15A23">
      <w:pPr>
        <w:pStyle w:val="FootnoteText"/>
        <w:jc w:val="both"/>
        <w:rPr>
          <w:sz w:val="20"/>
          <w:lang w:val="en-US"/>
        </w:rPr>
      </w:pPr>
      <w:r w:rsidRPr="00187FA7">
        <w:rPr>
          <w:rStyle w:val="FootnoteReference"/>
          <w:sz w:val="20"/>
        </w:rPr>
        <w:footnoteRef/>
      </w:r>
      <w:r w:rsidRPr="00187FA7">
        <w:rPr>
          <w:sz w:val="20"/>
        </w:rPr>
        <w:t xml:space="preserve"> </w:t>
      </w:r>
      <w:bookmarkStart w:id="50" w:name="_Hlk152598121"/>
      <w:bookmarkStart w:id="51" w:name="_Hlk152597730"/>
      <w:bookmarkStart w:id="52" w:name="_Hlk153296257"/>
      <w:r w:rsidRPr="00187FA7">
        <w:rPr>
          <w:sz w:val="20"/>
        </w:rPr>
        <w:t xml:space="preserve">Finland, Parliamentary </w:t>
      </w:r>
      <w:bookmarkStart w:id="53" w:name="_Hlk153204332"/>
      <w:r w:rsidRPr="00187FA7">
        <w:rPr>
          <w:sz w:val="20"/>
        </w:rPr>
        <w:t>O</w:t>
      </w:r>
      <w:bookmarkStart w:id="54" w:name="_Hlk153288905"/>
      <w:r w:rsidRPr="00187FA7">
        <w:rPr>
          <w:sz w:val="20"/>
        </w:rPr>
        <w:t>mbu</w:t>
      </w:r>
      <w:bookmarkEnd w:id="54"/>
      <w:r w:rsidRPr="00187FA7">
        <w:rPr>
          <w:sz w:val="20"/>
        </w:rPr>
        <w:t>d</w:t>
      </w:r>
      <w:bookmarkEnd w:id="53"/>
      <w:r w:rsidRPr="00187FA7">
        <w:rPr>
          <w:sz w:val="20"/>
        </w:rPr>
        <w:t>sman (</w:t>
      </w:r>
      <w:r w:rsidRPr="00187FA7">
        <w:rPr>
          <w:i/>
          <w:iCs/>
          <w:sz w:val="20"/>
        </w:rPr>
        <w:t>oikeusasiamies</w:t>
      </w:r>
      <w:r w:rsidRPr="00187FA7">
        <w:rPr>
          <w:sz w:val="20"/>
        </w:rPr>
        <w:t>/</w:t>
      </w:r>
      <w:r w:rsidRPr="00187FA7">
        <w:rPr>
          <w:i/>
          <w:iCs/>
          <w:sz w:val="20"/>
        </w:rPr>
        <w:t>justitieombudsman</w:t>
      </w:r>
      <w:r w:rsidRPr="00187FA7">
        <w:rPr>
          <w:sz w:val="20"/>
        </w:rPr>
        <w:t>),</w:t>
      </w:r>
      <w:bookmarkEnd w:id="50"/>
      <w:r w:rsidRPr="00187FA7">
        <w:rPr>
          <w:sz w:val="20"/>
        </w:rPr>
        <w:t xml:space="preserve"> </w:t>
      </w:r>
      <w:bookmarkEnd w:id="51"/>
      <w:r w:rsidRPr="00187FA7">
        <w:rPr>
          <w:sz w:val="20"/>
        </w:rPr>
        <w:fldChar w:fldCharType="begin"/>
      </w:r>
      <w:r w:rsidRPr="00187FA7">
        <w:rPr>
          <w:sz w:val="20"/>
        </w:rPr>
        <w:instrText>HYPERLINK "https://www.oikeusasiamies.fi/en/-/shortcomings-in-accessibility-and-protecting-the-secrecy-of-the-ballot?redirect=%2Fen%2Ftiedotteet1%2F-%2Fcategories%2F56461"</w:instrText>
      </w:r>
      <w:r w:rsidRPr="00187FA7">
        <w:rPr>
          <w:sz w:val="20"/>
        </w:rPr>
      </w:r>
      <w:r w:rsidRPr="00187FA7">
        <w:rPr>
          <w:sz w:val="20"/>
        </w:rPr>
        <w:fldChar w:fldCharType="separate"/>
      </w:r>
      <w:r w:rsidRPr="00187FA7">
        <w:rPr>
          <w:rStyle w:val="Hyperlink"/>
          <w:sz w:val="20"/>
        </w:rPr>
        <w:t>Shortcomings in accessibility and protecting the secrecy of the ballot</w:t>
      </w:r>
      <w:r w:rsidRPr="00187FA7">
        <w:rPr>
          <w:sz w:val="20"/>
        </w:rPr>
        <w:fldChar w:fldCharType="end"/>
      </w:r>
      <w:r w:rsidRPr="00187FA7">
        <w:rPr>
          <w:sz w:val="20"/>
        </w:rPr>
        <w:t>, press release, 27 April 2015.</w:t>
      </w:r>
      <w:bookmarkEnd w:id="52"/>
    </w:p>
  </w:footnote>
  <w:footnote w:id="87">
    <w:p w14:paraId="3876E506" w14:textId="6E1D460C" w:rsidR="00D26757" w:rsidRPr="00187FA7" w:rsidRDefault="00D26757" w:rsidP="00EA405E">
      <w:pPr>
        <w:pStyle w:val="FootnoteText"/>
        <w:jc w:val="both"/>
        <w:rPr>
          <w:sz w:val="20"/>
          <w:lang w:val="en-US"/>
        </w:rPr>
      </w:pPr>
      <w:r w:rsidRPr="00187FA7">
        <w:rPr>
          <w:rStyle w:val="FootnoteReference"/>
          <w:sz w:val="20"/>
        </w:rPr>
        <w:footnoteRef/>
      </w:r>
      <w:r w:rsidR="00D47EE9" w:rsidRPr="00187FA7">
        <w:rPr>
          <w:sz w:val="20"/>
        </w:rPr>
        <w:t xml:space="preserve"> </w:t>
      </w:r>
      <w:bookmarkStart w:id="55" w:name="_Hlk153213104"/>
      <w:bookmarkStart w:id="56" w:name="_Hlk153270424"/>
      <w:r w:rsidR="00D47EE9" w:rsidRPr="00187FA7">
        <w:rPr>
          <w:sz w:val="20"/>
        </w:rPr>
        <w:t xml:space="preserve">Finland, </w:t>
      </w:r>
      <w:bookmarkStart w:id="57" w:name="_Hlk153208614"/>
      <w:r w:rsidR="00D47EE9" w:rsidRPr="00187FA7">
        <w:rPr>
          <w:sz w:val="20"/>
        </w:rPr>
        <w:t xml:space="preserve">Parliamentary </w:t>
      </w:r>
      <w:bookmarkStart w:id="58" w:name="_Hlk153270285"/>
      <w:r w:rsidR="00D47EE9" w:rsidRPr="00187FA7">
        <w:rPr>
          <w:sz w:val="20"/>
        </w:rPr>
        <w:t>Ombud</w:t>
      </w:r>
      <w:bookmarkEnd w:id="58"/>
      <w:r w:rsidR="00D47EE9" w:rsidRPr="00187FA7">
        <w:rPr>
          <w:sz w:val="20"/>
        </w:rPr>
        <w:t>sman (</w:t>
      </w:r>
      <w:r w:rsidR="00D47EE9" w:rsidRPr="00187FA7">
        <w:rPr>
          <w:i/>
          <w:iCs/>
          <w:sz w:val="20"/>
        </w:rPr>
        <w:t>oikeusasiamies</w:t>
      </w:r>
      <w:r w:rsidR="00D47EE9" w:rsidRPr="00187FA7">
        <w:rPr>
          <w:sz w:val="20"/>
        </w:rPr>
        <w:t>/</w:t>
      </w:r>
      <w:r w:rsidR="00D47EE9" w:rsidRPr="00187FA7">
        <w:rPr>
          <w:i/>
          <w:iCs/>
          <w:sz w:val="20"/>
        </w:rPr>
        <w:t>justitieombudsman</w:t>
      </w:r>
      <w:r w:rsidR="00D47EE9" w:rsidRPr="00187FA7">
        <w:rPr>
          <w:sz w:val="20"/>
        </w:rPr>
        <w:t>)</w:t>
      </w:r>
      <w:bookmarkEnd w:id="55"/>
      <w:bookmarkEnd w:id="57"/>
      <w:r w:rsidR="00D47EE9" w:rsidRPr="00187FA7">
        <w:rPr>
          <w:sz w:val="20"/>
        </w:rPr>
        <w:t>,</w:t>
      </w:r>
      <w:bookmarkEnd w:id="56"/>
      <w:r w:rsidRPr="00187FA7">
        <w:rPr>
          <w:sz w:val="20"/>
        </w:rPr>
        <w:t xml:space="preserve"> </w:t>
      </w:r>
      <w:r w:rsidR="00E3756B" w:rsidRPr="00187FA7">
        <w:rPr>
          <w:sz w:val="20"/>
        </w:rPr>
        <w:t>‘</w:t>
      </w:r>
      <w:hyperlink r:id="rId121" w:history="1">
        <w:r w:rsidRPr="00187FA7">
          <w:rPr>
            <w:rStyle w:val="Hyperlink"/>
            <w:sz w:val="20"/>
          </w:rPr>
          <w:t>Wheelchair access to voting is increasingly accessible (oikeusasiamies.fi)</w:t>
        </w:r>
      </w:hyperlink>
      <w:r w:rsidR="00E3756B" w:rsidRPr="00187FA7">
        <w:rPr>
          <w:sz w:val="20"/>
        </w:rPr>
        <w:t>’, press release, 10 June 2021.</w:t>
      </w:r>
    </w:p>
  </w:footnote>
  <w:footnote w:id="88">
    <w:p w14:paraId="171154E1" w14:textId="0C3FF084" w:rsidR="00E3756B" w:rsidRPr="00187FA7" w:rsidRDefault="00E3756B" w:rsidP="00EA405E">
      <w:pPr>
        <w:pStyle w:val="FootnoteText"/>
        <w:jc w:val="both"/>
        <w:rPr>
          <w:sz w:val="20"/>
          <w:lang w:val="en-US"/>
        </w:rPr>
      </w:pPr>
      <w:r w:rsidRPr="00187FA7">
        <w:rPr>
          <w:rStyle w:val="FootnoteReference"/>
          <w:sz w:val="20"/>
        </w:rPr>
        <w:footnoteRef/>
      </w:r>
      <w:r w:rsidR="00C63723" w:rsidRPr="00187FA7">
        <w:rPr>
          <w:sz w:val="20"/>
          <w:lang w:val="en-US"/>
        </w:rPr>
        <w:t xml:space="preserve"> </w:t>
      </w:r>
      <w:bookmarkStart w:id="59" w:name="_Hlk153291390"/>
      <w:r w:rsidRPr="00187FA7">
        <w:rPr>
          <w:sz w:val="20"/>
          <w:lang w:val="en-US"/>
        </w:rPr>
        <w:t>Finland, Parliamentary Ombudsman (</w:t>
      </w:r>
      <w:r w:rsidRPr="00187FA7">
        <w:rPr>
          <w:i/>
          <w:iCs/>
          <w:sz w:val="20"/>
          <w:lang w:val="en-US"/>
        </w:rPr>
        <w:t>oikeusasiamies</w:t>
      </w:r>
      <w:r w:rsidRPr="00187FA7">
        <w:rPr>
          <w:sz w:val="20"/>
          <w:lang w:val="en-US"/>
        </w:rPr>
        <w:t>/</w:t>
      </w:r>
      <w:r w:rsidRPr="00187FA7">
        <w:rPr>
          <w:i/>
          <w:iCs/>
          <w:sz w:val="20"/>
          <w:lang w:val="en-US"/>
        </w:rPr>
        <w:t>justitieombudsman</w:t>
      </w:r>
      <w:r w:rsidRPr="00187FA7">
        <w:rPr>
          <w:sz w:val="20"/>
          <w:lang w:val="en-US"/>
        </w:rPr>
        <w:t xml:space="preserve">), </w:t>
      </w:r>
      <w:hyperlink r:id="rId122" w:history="1">
        <w:r w:rsidRPr="00187FA7">
          <w:rPr>
            <w:rStyle w:val="Hyperlink"/>
            <w:sz w:val="20"/>
            <w:lang w:val="en-US"/>
          </w:rPr>
          <w:t>’Deficiencies in arrange</w:t>
        </w:r>
        <w:r w:rsidR="00C63723" w:rsidRPr="00187FA7">
          <w:rPr>
            <w:rStyle w:val="Hyperlink"/>
            <w:sz w:val="20"/>
            <w:lang w:val="en-US"/>
          </w:rPr>
          <w:softHyphen/>
        </w:r>
        <w:r w:rsidRPr="00187FA7">
          <w:rPr>
            <w:rStyle w:val="Hyperlink"/>
            <w:sz w:val="20"/>
            <w:lang w:val="en-US"/>
          </w:rPr>
          <w:t>ments for advance voting and voting at special advance voting facilities found in unannounced inspections</w:t>
        </w:r>
      </w:hyperlink>
      <w:r w:rsidRPr="00187FA7">
        <w:rPr>
          <w:sz w:val="20"/>
          <w:lang w:val="en-US"/>
        </w:rPr>
        <w:t>’, press release, 31 March 2023.</w:t>
      </w:r>
    </w:p>
    <w:bookmarkEnd w:id="59"/>
  </w:footnote>
  <w:footnote w:id="89">
    <w:p w14:paraId="1220D52A" w14:textId="22D25D61" w:rsidR="00D03AF6" w:rsidRPr="00187FA7" w:rsidRDefault="00D03AF6" w:rsidP="006B33CF">
      <w:pPr>
        <w:pStyle w:val="FootnoteText"/>
        <w:spacing w:after="0" w:line="240" w:lineRule="auto"/>
        <w:jc w:val="both"/>
        <w:rPr>
          <w:sz w:val="20"/>
          <w:lang w:val="en-US"/>
        </w:rPr>
      </w:pPr>
      <w:r w:rsidRPr="00187FA7">
        <w:rPr>
          <w:rStyle w:val="FootnoteReference"/>
          <w:sz w:val="20"/>
        </w:rPr>
        <w:footnoteRef/>
      </w:r>
      <w:r w:rsidRPr="00187FA7">
        <w:rPr>
          <w:sz w:val="20"/>
          <w:lang w:val="sv-FI"/>
        </w:rPr>
        <w:t xml:space="preserve"> </w:t>
      </w:r>
      <w:r w:rsidR="00C15A23" w:rsidRPr="00187FA7">
        <w:rPr>
          <w:sz w:val="20"/>
          <w:lang w:val="en-US"/>
        </w:rPr>
        <w:t>Finland, Parliamentary Ombudsman (</w:t>
      </w:r>
      <w:r w:rsidR="00C15A23" w:rsidRPr="00187FA7">
        <w:rPr>
          <w:i/>
          <w:iCs/>
          <w:sz w:val="20"/>
          <w:lang w:val="en-US"/>
        </w:rPr>
        <w:t>oikeusasiamies</w:t>
      </w:r>
      <w:r w:rsidR="00C15A23" w:rsidRPr="00187FA7">
        <w:rPr>
          <w:sz w:val="20"/>
          <w:lang w:val="en-US"/>
        </w:rPr>
        <w:t>/</w:t>
      </w:r>
      <w:r w:rsidR="00C15A23" w:rsidRPr="00187FA7">
        <w:rPr>
          <w:i/>
          <w:iCs/>
          <w:sz w:val="20"/>
          <w:lang w:val="en-US"/>
        </w:rPr>
        <w:t>justitieombudsman</w:t>
      </w:r>
      <w:r w:rsidR="00C15A23" w:rsidRPr="00187FA7">
        <w:rPr>
          <w:sz w:val="20"/>
          <w:lang w:val="en-US"/>
        </w:rPr>
        <w:t xml:space="preserve">), </w:t>
      </w:r>
      <w:hyperlink r:id="rId123" w:history="1">
        <w:r w:rsidR="00C15A23" w:rsidRPr="00187FA7">
          <w:rPr>
            <w:rStyle w:val="Hyperlink"/>
            <w:sz w:val="20"/>
            <w:lang w:val="en-US"/>
          </w:rPr>
          <w:t>’Deficiencies in arrange</w:t>
        </w:r>
        <w:r w:rsidR="00C15A23" w:rsidRPr="00187FA7">
          <w:rPr>
            <w:rStyle w:val="Hyperlink"/>
            <w:sz w:val="20"/>
            <w:lang w:val="en-US"/>
          </w:rPr>
          <w:softHyphen/>
          <w:t>ments for advance voting and voting at special advance voting facilities found in unannounced inspections</w:t>
        </w:r>
      </w:hyperlink>
      <w:r w:rsidR="00C15A23" w:rsidRPr="00187FA7">
        <w:rPr>
          <w:sz w:val="20"/>
          <w:lang w:val="en-US"/>
        </w:rPr>
        <w:t>’, press release, 31 March 2023.</w:t>
      </w:r>
    </w:p>
  </w:footnote>
  <w:footnote w:id="90">
    <w:p w14:paraId="3F9DA74E" w14:textId="702F042C" w:rsidR="00C15A23" w:rsidRPr="00187FA7" w:rsidRDefault="00C15A23" w:rsidP="006B33CF">
      <w:pPr>
        <w:pStyle w:val="FootnoteText"/>
        <w:spacing w:after="0" w:line="240" w:lineRule="auto"/>
        <w:jc w:val="both"/>
        <w:rPr>
          <w:sz w:val="20"/>
          <w:lang w:val="en-US"/>
        </w:rPr>
      </w:pPr>
      <w:r w:rsidRPr="00187FA7">
        <w:rPr>
          <w:rStyle w:val="FootnoteReference"/>
          <w:sz w:val="20"/>
        </w:rPr>
        <w:footnoteRef/>
      </w:r>
      <w:r w:rsidRPr="00187FA7">
        <w:rPr>
          <w:sz w:val="20"/>
        </w:rPr>
        <w:t xml:space="preserve"> </w:t>
      </w:r>
      <w:r w:rsidRPr="00187FA7">
        <w:rPr>
          <w:sz w:val="20"/>
          <w:lang w:val="en-US"/>
        </w:rPr>
        <w:t>Finland, Parliamentary Ombudsman (</w:t>
      </w:r>
      <w:r w:rsidRPr="00187FA7">
        <w:rPr>
          <w:i/>
          <w:iCs/>
          <w:sz w:val="20"/>
          <w:lang w:val="en-US"/>
        </w:rPr>
        <w:t>oikeusasiamies</w:t>
      </w:r>
      <w:r w:rsidRPr="00187FA7">
        <w:rPr>
          <w:sz w:val="20"/>
          <w:lang w:val="en-US"/>
        </w:rPr>
        <w:t>/</w:t>
      </w:r>
      <w:r w:rsidRPr="00187FA7">
        <w:rPr>
          <w:i/>
          <w:iCs/>
          <w:sz w:val="20"/>
          <w:lang w:val="en-US"/>
        </w:rPr>
        <w:t>justitieombudsman</w:t>
      </w:r>
      <w:r w:rsidRPr="00187FA7">
        <w:rPr>
          <w:sz w:val="20"/>
          <w:lang w:val="en-US"/>
        </w:rPr>
        <w:t xml:space="preserve">), information obtained via e-mail on </w:t>
      </w:r>
      <w:r w:rsidR="006B33CF" w:rsidRPr="00187FA7">
        <w:rPr>
          <w:sz w:val="20"/>
          <w:lang w:val="en-US"/>
        </w:rPr>
        <w:t xml:space="preserve">25 October </w:t>
      </w:r>
      <w:r w:rsidR="00DC38F8">
        <w:rPr>
          <w:sz w:val="20"/>
          <w:lang w:val="en-US"/>
        </w:rPr>
        <w:t xml:space="preserve">and 25 January </w:t>
      </w:r>
      <w:r w:rsidR="006B33CF" w:rsidRPr="00187FA7">
        <w:rPr>
          <w:sz w:val="20"/>
          <w:lang w:val="en-US"/>
        </w:rPr>
        <w:t>2023.</w:t>
      </w:r>
    </w:p>
    <w:p w14:paraId="770320C7" w14:textId="77777777" w:rsidR="006B33CF" w:rsidRPr="00187FA7" w:rsidRDefault="006B33CF" w:rsidP="006B33CF">
      <w:pPr>
        <w:pStyle w:val="FootnoteText"/>
        <w:spacing w:after="0" w:line="240" w:lineRule="auto"/>
        <w:jc w:val="both"/>
        <w:rPr>
          <w:sz w:val="20"/>
          <w:lang w:val="sv-SE"/>
        </w:rPr>
      </w:pPr>
    </w:p>
  </w:footnote>
  <w:footnote w:id="91">
    <w:p w14:paraId="30B454B4" w14:textId="3E2559BF" w:rsidR="0079697C" w:rsidRPr="00017BC0" w:rsidRDefault="0079697C">
      <w:pPr>
        <w:pStyle w:val="FootnoteText"/>
        <w:rPr>
          <w:sz w:val="20"/>
          <w:lang w:val="sv-SE"/>
        </w:rPr>
      </w:pPr>
      <w:r w:rsidRPr="00017BC0">
        <w:rPr>
          <w:rStyle w:val="FootnoteReference"/>
          <w:sz w:val="20"/>
        </w:rPr>
        <w:footnoteRef/>
      </w:r>
      <w:r w:rsidRPr="00017BC0">
        <w:rPr>
          <w:sz w:val="20"/>
        </w:rPr>
        <w:t xml:space="preserve"> </w:t>
      </w:r>
      <w:r w:rsidRPr="00017BC0">
        <w:rPr>
          <w:sz w:val="20"/>
          <w:lang w:val="sv-SE"/>
        </w:rPr>
        <w:t>Finland, Parliamentary Ombudsman (</w:t>
      </w:r>
      <w:r w:rsidRPr="00017BC0">
        <w:rPr>
          <w:i/>
          <w:iCs/>
          <w:sz w:val="20"/>
          <w:lang w:val="sv-SE"/>
        </w:rPr>
        <w:t>oikeusasiamies</w:t>
      </w:r>
      <w:r w:rsidRPr="00017BC0">
        <w:rPr>
          <w:sz w:val="20"/>
          <w:lang w:val="sv-SE"/>
        </w:rPr>
        <w:t>/</w:t>
      </w:r>
      <w:r w:rsidRPr="00017BC0">
        <w:rPr>
          <w:i/>
          <w:iCs/>
          <w:sz w:val="20"/>
          <w:lang w:val="sv-SE"/>
        </w:rPr>
        <w:t>justitieombudsman</w:t>
      </w:r>
      <w:r w:rsidRPr="00017BC0">
        <w:rPr>
          <w:sz w:val="20"/>
          <w:lang w:val="sv-SE"/>
        </w:rPr>
        <w:t xml:space="preserve">), </w:t>
      </w:r>
      <w:r w:rsidR="00B43076" w:rsidRPr="00017BC0">
        <w:rPr>
          <w:sz w:val="20"/>
          <w:lang w:val="sv-SE"/>
        </w:rPr>
        <w:t>Inspection: Institutional voting facilities in 2024 presidential election (</w:t>
      </w:r>
      <w:hyperlink r:id="rId124" w:history="1">
        <w:r w:rsidR="00B43076" w:rsidRPr="00017BC0">
          <w:rPr>
            <w:rStyle w:val="Hyperlink"/>
            <w:i/>
            <w:iCs/>
            <w:sz w:val="20"/>
            <w:lang w:val="sv-SE"/>
          </w:rPr>
          <w:t>Tarkastus: presidentivaalien laitosäänestyspaikat 2024</w:t>
        </w:r>
      </w:hyperlink>
      <w:r w:rsidR="00B43076" w:rsidRPr="00017BC0">
        <w:rPr>
          <w:sz w:val="20"/>
          <w:lang w:val="sv-SE"/>
        </w:rPr>
        <w:t xml:space="preserve">), protocol, </w:t>
      </w:r>
      <w:r w:rsidR="00B43076" w:rsidRPr="00017BC0">
        <w:rPr>
          <w:sz w:val="20"/>
        </w:rPr>
        <w:t xml:space="preserve">EOAK/8012/2023, </w:t>
      </w:r>
      <w:r w:rsidR="00DA58F3" w:rsidRPr="00017BC0">
        <w:rPr>
          <w:sz w:val="20"/>
        </w:rPr>
        <w:t>22 January 2024.</w:t>
      </w:r>
    </w:p>
  </w:footnote>
  <w:footnote w:id="92">
    <w:p w14:paraId="1B9C4ADA" w14:textId="2819C35E" w:rsidR="00325E1E" w:rsidRPr="00187FA7" w:rsidRDefault="00325E1E" w:rsidP="00EA405E">
      <w:pPr>
        <w:pStyle w:val="FootnoteText"/>
        <w:jc w:val="both"/>
        <w:rPr>
          <w:sz w:val="20"/>
          <w:lang w:val="en-US"/>
        </w:rPr>
      </w:pPr>
      <w:r w:rsidRPr="00187FA7">
        <w:rPr>
          <w:rStyle w:val="FootnoteReference"/>
          <w:sz w:val="20"/>
        </w:rPr>
        <w:footnoteRef/>
      </w:r>
      <w:r w:rsidRPr="00187FA7">
        <w:rPr>
          <w:sz w:val="20"/>
          <w:lang w:val="en-US"/>
        </w:rPr>
        <w:t xml:space="preserve"> </w:t>
      </w:r>
      <w:r w:rsidR="00DD1604" w:rsidRPr="00187FA7">
        <w:rPr>
          <w:sz w:val="20"/>
          <w:lang w:val="en-US"/>
        </w:rPr>
        <w:t>Jääskeläinen, Petri (201</w:t>
      </w:r>
      <w:r w:rsidR="00F03039">
        <w:rPr>
          <w:sz w:val="20"/>
          <w:lang w:val="en-US"/>
        </w:rPr>
        <w:t>3</w:t>
      </w:r>
      <w:r w:rsidR="00DD1604" w:rsidRPr="00187FA7">
        <w:rPr>
          <w:sz w:val="20"/>
          <w:lang w:val="en-US"/>
        </w:rPr>
        <w:t>), Finland, ‘</w:t>
      </w:r>
      <w:r w:rsidR="00DD1604" w:rsidRPr="00187FA7">
        <w:rPr>
          <w:sz w:val="20"/>
        </w:rPr>
        <w:t>The Ombudsman not only oversees, but also promotes implemen</w:t>
      </w:r>
      <w:r w:rsidR="00C63723" w:rsidRPr="00187FA7">
        <w:rPr>
          <w:sz w:val="20"/>
        </w:rPr>
        <w:softHyphen/>
      </w:r>
      <w:r w:rsidR="00DD1604" w:rsidRPr="00187FA7">
        <w:rPr>
          <w:sz w:val="20"/>
        </w:rPr>
        <w:t xml:space="preserve">tation of fundamental and human rights’, General comment, in </w:t>
      </w:r>
      <w:hyperlink r:id="rId125" w:history="1">
        <w:r w:rsidR="00DD1604" w:rsidRPr="00017BC0">
          <w:rPr>
            <w:rStyle w:val="Hyperlink"/>
            <w:i/>
            <w:iCs/>
            <w:sz w:val="20"/>
            <w:lang w:val="en-US"/>
          </w:rPr>
          <w:t>Parliamentary Ombudsman of Finland, Summary of the Annual Report 2012</w:t>
        </w:r>
      </w:hyperlink>
      <w:r w:rsidR="00DD1604" w:rsidRPr="00187FA7">
        <w:rPr>
          <w:sz w:val="20"/>
          <w:lang w:val="en-US"/>
        </w:rPr>
        <w:t>, p. 23.</w:t>
      </w:r>
    </w:p>
  </w:footnote>
  <w:footnote w:id="93">
    <w:p w14:paraId="74D0492F" w14:textId="47E862CF" w:rsidR="0035696D" w:rsidRPr="00187FA7" w:rsidRDefault="0035696D" w:rsidP="00EA405E">
      <w:pPr>
        <w:pStyle w:val="FootnoteText"/>
        <w:jc w:val="both"/>
        <w:rPr>
          <w:sz w:val="20"/>
          <w:lang w:val="fi-FI"/>
        </w:rPr>
      </w:pPr>
      <w:r w:rsidRPr="00187FA7">
        <w:rPr>
          <w:rStyle w:val="FootnoteReference"/>
          <w:sz w:val="20"/>
        </w:rPr>
        <w:footnoteRef/>
      </w:r>
      <w:r w:rsidR="00443C5E" w:rsidRPr="00187FA7">
        <w:rPr>
          <w:sz w:val="20"/>
          <w:lang w:val="fi-FI"/>
        </w:rPr>
        <w:t xml:space="preserve"> Finland, Parliamentary Ombudsman (</w:t>
      </w:r>
      <w:r w:rsidR="00443C5E" w:rsidRPr="00187FA7">
        <w:rPr>
          <w:i/>
          <w:iCs/>
          <w:sz w:val="20"/>
          <w:lang w:val="fi-FI"/>
        </w:rPr>
        <w:t>oikeusasiamies</w:t>
      </w:r>
      <w:r w:rsidR="00443C5E" w:rsidRPr="00187FA7">
        <w:rPr>
          <w:sz w:val="20"/>
          <w:lang w:val="fi-FI"/>
        </w:rPr>
        <w:t>/</w:t>
      </w:r>
      <w:r w:rsidR="00443C5E" w:rsidRPr="00187FA7">
        <w:rPr>
          <w:i/>
          <w:iCs/>
          <w:sz w:val="20"/>
          <w:lang w:val="fi-FI"/>
        </w:rPr>
        <w:t>justitieombudsman</w:t>
      </w:r>
      <w:r w:rsidR="00443C5E" w:rsidRPr="00187FA7">
        <w:rPr>
          <w:sz w:val="20"/>
          <w:lang w:val="fi-FI"/>
        </w:rPr>
        <w:t>),</w:t>
      </w:r>
      <w:r w:rsidRPr="00187FA7">
        <w:rPr>
          <w:sz w:val="20"/>
          <w:lang w:val="fi-FI"/>
        </w:rPr>
        <w:t xml:space="preserve"> </w:t>
      </w:r>
      <w:hyperlink r:id="rId126" w:history="1">
        <w:r w:rsidRPr="00187FA7">
          <w:rPr>
            <w:rStyle w:val="Hyperlink"/>
            <w:sz w:val="20"/>
            <w:lang w:val="fi-FI"/>
          </w:rPr>
          <w:t>Äänestyspaikan valaistus ja vaalisalaisuuden turvaaminen (oikeusasiamies.fi)</w:t>
        </w:r>
      </w:hyperlink>
      <w:r w:rsidRPr="00187FA7">
        <w:rPr>
          <w:sz w:val="20"/>
          <w:lang w:val="fi-FI"/>
        </w:rPr>
        <w:t xml:space="preserve">, </w:t>
      </w:r>
      <w:r w:rsidR="006B33CF" w:rsidRPr="00187FA7">
        <w:rPr>
          <w:sz w:val="20"/>
          <w:lang w:val="fi-FI"/>
        </w:rPr>
        <w:t xml:space="preserve">decision, </w:t>
      </w:r>
      <w:r w:rsidR="00136B1C" w:rsidRPr="00187FA7">
        <w:rPr>
          <w:sz w:val="20"/>
        </w:rPr>
        <w:t xml:space="preserve">EOAK/4326/2021, 30 November 2021, </w:t>
      </w:r>
      <w:r w:rsidRPr="00187FA7">
        <w:rPr>
          <w:sz w:val="20"/>
          <w:lang w:val="fi-FI"/>
        </w:rPr>
        <w:t>s.</w:t>
      </w:r>
      <w:r w:rsidR="00136B1C" w:rsidRPr="00187FA7">
        <w:rPr>
          <w:sz w:val="20"/>
          <w:lang w:val="fi-FI"/>
        </w:rPr>
        <w:t> </w:t>
      </w:r>
      <w:r w:rsidRPr="00187FA7">
        <w:rPr>
          <w:sz w:val="20"/>
          <w:lang w:val="fi-FI"/>
        </w:rPr>
        <w:t>9.</w:t>
      </w:r>
    </w:p>
  </w:footnote>
  <w:footnote w:id="94">
    <w:p w14:paraId="7E1ED8D0" w14:textId="25460433" w:rsidR="00443C5E" w:rsidRPr="00041EB5" w:rsidRDefault="00443C5E" w:rsidP="00EA405E">
      <w:pPr>
        <w:pStyle w:val="FootnoteText"/>
        <w:jc w:val="both"/>
        <w:rPr>
          <w:sz w:val="20"/>
          <w:lang w:val="fi-FI"/>
        </w:rPr>
      </w:pPr>
      <w:r w:rsidRPr="00187FA7">
        <w:rPr>
          <w:rStyle w:val="FootnoteReference"/>
          <w:sz w:val="20"/>
        </w:rPr>
        <w:footnoteRef/>
      </w:r>
      <w:r w:rsidRPr="00041EB5">
        <w:rPr>
          <w:sz w:val="20"/>
          <w:lang w:val="fi-FI"/>
        </w:rPr>
        <w:t xml:space="preserve"> </w:t>
      </w:r>
      <w:r w:rsidR="00F51784" w:rsidRPr="00187FA7">
        <w:rPr>
          <w:sz w:val="20"/>
          <w:lang w:val="fi-FI"/>
        </w:rPr>
        <w:t>Finland, Parliamentary Ombudsman (</w:t>
      </w:r>
      <w:r w:rsidR="00F51784" w:rsidRPr="00187FA7">
        <w:rPr>
          <w:i/>
          <w:iCs/>
          <w:sz w:val="20"/>
          <w:lang w:val="fi-FI"/>
        </w:rPr>
        <w:t>oikeusasiamies</w:t>
      </w:r>
      <w:r w:rsidR="00F51784" w:rsidRPr="00187FA7">
        <w:rPr>
          <w:sz w:val="20"/>
          <w:lang w:val="fi-FI"/>
        </w:rPr>
        <w:t>/</w:t>
      </w:r>
      <w:r w:rsidR="00F51784" w:rsidRPr="00187FA7">
        <w:rPr>
          <w:i/>
          <w:iCs/>
          <w:sz w:val="20"/>
          <w:lang w:val="fi-FI"/>
        </w:rPr>
        <w:t>justitieombudsman</w:t>
      </w:r>
      <w:r w:rsidR="00F51784" w:rsidRPr="00187FA7">
        <w:rPr>
          <w:sz w:val="20"/>
          <w:lang w:val="fi-FI"/>
        </w:rPr>
        <w:t xml:space="preserve">), </w:t>
      </w:r>
      <w:r w:rsidR="00DE604A">
        <w:fldChar w:fldCharType="begin"/>
      </w:r>
      <w:r w:rsidR="00DE604A" w:rsidRPr="00DE604A">
        <w:rPr>
          <w:lang w:val="fi-FI"/>
        </w:rPr>
        <w:instrText>HYPERLINK "https://www.oikeusasiamies.fi/r/fi/ratkaisut/-/eoar/4326/2021"</w:instrText>
      </w:r>
      <w:r w:rsidR="00DE604A">
        <w:fldChar w:fldCharType="separate"/>
      </w:r>
      <w:r w:rsidR="00F51784" w:rsidRPr="00187FA7">
        <w:rPr>
          <w:rStyle w:val="Hyperlink"/>
          <w:sz w:val="20"/>
          <w:lang w:val="fi-FI"/>
        </w:rPr>
        <w:t>Äänestyspaikan valaistus ja vaalisalaisuuden turvaaminen (oikeusasiamies.fi)</w:t>
      </w:r>
      <w:r w:rsidR="00DE604A">
        <w:rPr>
          <w:rStyle w:val="Hyperlink"/>
          <w:sz w:val="20"/>
          <w:lang w:val="fi-FI"/>
        </w:rPr>
        <w:fldChar w:fldCharType="end"/>
      </w:r>
      <w:r w:rsidR="00F51784" w:rsidRPr="00187FA7">
        <w:rPr>
          <w:sz w:val="20"/>
          <w:lang w:val="fi-FI"/>
        </w:rPr>
        <w:t xml:space="preserve">, decision, </w:t>
      </w:r>
      <w:r w:rsidR="00F51784" w:rsidRPr="00041EB5">
        <w:rPr>
          <w:sz w:val="20"/>
          <w:lang w:val="fi-FI"/>
        </w:rPr>
        <w:t xml:space="preserve">EOAK/4326/2021, 30 November 2021, </w:t>
      </w:r>
      <w:r w:rsidR="00F51784" w:rsidRPr="00187FA7">
        <w:rPr>
          <w:sz w:val="20"/>
          <w:lang w:val="fi-FI"/>
        </w:rPr>
        <w:t>s. 8.</w:t>
      </w:r>
    </w:p>
  </w:footnote>
  <w:footnote w:id="95">
    <w:p w14:paraId="2295603A" w14:textId="5F7ADE33" w:rsidR="00CB213F" w:rsidRPr="00017BC0" w:rsidRDefault="00CB213F">
      <w:pPr>
        <w:pStyle w:val="FootnoteText"/>
        <w:rPr>
          <w:sz w:val="20"/>
          <w:lang w:val="sv-SE"/>
        </w:rPr>
      </w:pPr>
      <w:r w:rsidRPr="00017BC0">
        <w:rPr>
          <w:rStyle w:val="FootnoteReference"/>
          <w:sz w:val="20"/>
        </w:rPr>
        <w:footnoteRef/>
      </w:r>
      <w:r w:rsidRPr="00017BC0">
        <w:rPr>
          <w:sz w:val="20"/>
        </w:rPr>
        <w:t xml:space="preserve"> </w:t>
      </w:r>
      <w:r w:rsidRPr="00017BC0">
        <w:rPr>
          <w:sz w:val="20"/>
          <w:lang w:val="sv-SE"/>
        </w:rPr>
        <w:t xml:space="preserve">Finland, Parliamentary Ombudsman (oikeusasiamies/justitieombudsman), </w:t>
      </w:r>
      <w:hyperlink r:id="rId127" w:history="1">
        <w:r w:rsidRPr="00017BC0">
          <w:rPr>
            <w:rStyle w:val="Hyperlink"/>
            <w:i/>
            <w:iCs/>
            <w:sz w:val="20"/>
            <w:lang w:val="sv-SE"/>
          </w:rPr>
          <w:t>Laitosäänestysjärjestelyt psykiatrisella osastolla</w:t>
        </w:r>
      </w:hyperlink>
      <w:r w:rsidRPr="00017BC0">
        <w:rPr>
          <w:sz w:val="20"/>
          <w:lang w:val="sv-SE"/>
        </w:rPr>
        <w:t xml:space="preserve"> (Institutional voting arrangements at psychiatric ward), decision, </w:t>
      </w:r>
      <w:r w:rsidRPr="00017BC0">
        <w:rPr>
          <w:sz w:val="20"/>
        </w:rPr>
        <w:t>EOAK/2319/2023, 13 December 2023.</w:t>
      </w:r>
    </w:p>
  </w:footnote>
  <w:footnote w:id="96">
    <w:p w14:paraId="6DB590AB" w14:textId="4C487473" w:rsidR="00443C5E" w:rsidRPr="00187FA7" w:rsidRDefault="00443C5E" w:rsidP="00EA405E">
      <w:pPr>
        <w:pStyle w:val="FootnoteText"/>
        <w:jc w:val="both"/>
        <w:rPr>
          <w:sz w:val="20"/>
          <w:lang w:val="en-US"/>
        </w:rPr>
      </w:pPr>
      <w:r w:rsidRPr="00187FA7">
        <w:rPr>
          <w:rStyle w:val="FootnoteReference"/>
          <w:sz w:val="20"/>
        </w:rPr>
        <w:footnoteRef/>
      </w:r>
      <w:r w:rsidRPr="00187FA7">
        <w:rPr>
          <w:sz w:val="20"/>
          <w:lang w:val="en-US"/>
        </w:rPr>
        <w:t xml:space="preserve"> </w:t>
      </w:r>
      <w:r w:rsidR="00775522" w:rsidRPr="00187FA7">
        <w:rPr>
          <w:sz w:val="20"/>
          <w:lang w:val="sv-SE"/>
        </w:rPr>
        <w:t xml:space="preserve">Finland, </w:t>
      </w:r>
      <w:r w:rsidR="00775522" w:rsidRPr="00187FA7">
        <w:rPr>
          <w:sz w:val="20"/>
          <w:lang w:val="sv-FI"/>
        </w:rPr>
        <w:t>Parliamentary Ombudsman (</w:t>
      </w:r>
      <w:r w:rsidR="00775522" w:rsidRPr="00187FA7">
        <w:rPr>
          <w:i/>
          <w:iCs/>
          <w:sz w:val="20"/>
          <w:lang w:val="sv-FI"/>
        </w:rPr>
        <w:t>oikeusasiamies</w:t>
      </w:r>
      <w:r w:rsidR="00775522" w:rsidRPr="00187FA7">
        <w:rPr>
          <w:sz w:val="20"/>
          <w:lang w:val="sv-FI"/>
        </w:rPr>
        <w:t>/</w:t>
      </w:r>
      <w:r w:rsidR="00775522" w:rsidRPr="00187FA7">
        <w:rPr>
          <w:i/>
          <w:iCs/>
          <w:sz w:val="20"/>
          <w:lang w:val="sv-FI"/>
        </w:rPr>
        <w:t>justitieombudsman</w:t>
      </w:r>
      <w:r w:rsidR="00775522" w:rsidRPr="00187FA7">
        <w:rPr>
          <w:sz w:val="20"/>
          <w:lang w:val="sv-FI"/>
        </w:rPr>
        <w:t>)</w:t>
      </w:r>
      <w:r w:rsidR="009B2426">
        <w:rPr>
          <w:sz w:val="20"/>
          <w:lang w:val="sv-FI"/>
        </w:rPr>
        <w:t xml:space="preserve"> (2017)</w:t>
      </w:r>
      <w:r w:rsidR="00775522" w:rsidRPr="00187FA7">
        <w:rPr>
          <w:sz w:val="20"/>
          <w:lang w:val="sv-FI"/>
        </w:rPr>
        <w:t xml:space="preserve">, </w:t>
      </w:r>
      <w:hyperlink r:id="rId128" w:history="1">
        <w:r w:rsidR="00775522" w:rsidRPr="00017BC0">
          <w:rPr>
            <w:rStyle w:val="Hyperlink"/>
            <w:i/>
            <w:iCs/>
            <w:sz w:val="20"/>
            <w:lang w:val="sv-FI"/>
          </w:rPr>
          <w:t>Summary of the Annual Report 2016</w:t>
        </w:r>
      </w:hyperlink>
      <w:r w:rsidR="00775522" w:rsidRPr="00187FA7">
        <w:rPr>
          <w:sz w:val="20"/>
          <w:lang w:val="sv-FI"/>
        </w:rPr>
        <w:t>, p. 118.</w:t>
      </w:r>
    </w:p>
  </w:footnote>
  <w:footnote w:id="97">
    <w:p w14:paraId="4EDCA808" w14:textId="5C2CEA90" w:rsidR="00DC38F8" w:rsidRPr="00017BC0" w:rsidRDefault="00DC38F8">
      <w:pPr>
        <w:pStyle w:val="FootnoteText"/>
        <w:rPr>
          <w:sz w:val="20"/>
          <w:lang w:val="sv-SE"/>
        </w:rPr>
      </w:pPr>
      <w:r w:rsidRPr="00017BC0">
        <w:rPr>
          <w:rStyle w:val="FootnoteReference"/>
          <w:sz w:val="20"/>
        </w:rPr>
        <w:footnoteRef/>
      </w:r>
      <w:r w:rsidRPr="00017BC0">
        <w:rPr>
          <w:sz w:val="20"/>
        </w:rPr>
        <w:t xml:space="preserve"> </w:t>
      </w:r>
      <w:r w:rsidRPr="00017BC0">
        <w:rPr>
          <w:sz w:val="20"/>
          <w:lang w:val="sv-SE"/>
        </w:rPr>
        <w:t>Finland, Ministry of Justice (</w:t>
      </w:r>
      <w:r w:rsidRPr="00017BC0">
        <w:rPr>
          <w:i/>
          <w:iCs/>
          <w:sz w:val="20"/>
          <w:lang w:val="sv-SE"/>
        </w:rPr>
        <w:t>oikeusministeriö</w:t>
      </w:r>
      <w:r w:rsidRPr="00017BC0">
        <w:rPr>
          <w:sz w:val="20"/>
          <w:lang w:val="sv-SE"/>
        </w:rPr>
        <w:t>/</w:t>
      </w:r>
      <w:r w:rsidRPr="00017BC0">
        <w:rPr>
          <w:i/>
          <w:iCs/>
          <w:sz w:val="20"/>
          <w:lang w:val="sv-SE"/>
        </w:rPr>
        <w:t>justitieministeriet</w:t>
      </w:r>
      <w:r w:rsidRPr="00017BC0">
        <w:rPr>
          <w:sz w:val="20"/>
          <w:lang w:val="sv-SE"/>
        </w:rPr>
        <w:t xml:space="preserve">), Vaalit.fi, </w:t>
      </w:r>
      <w:hyperlink r:id="rId129" w:history="1">
        <w:r w:rsidRPr="00017BC0">
          <w:rPr>
            <w:rStyle w:val="Hyperlink"/>
            <w:i/>
            <w:iCs/>
            <w:sz w:val="20"/>
          </w:rPr>
          <w:t>Eduskunnan oikeusasiamiehen ratkaisuja</w:t>
        </w:r>
      </w:hyperlink>
      <w:r w:rsidRPr="00017BC0">
        <w:rPr>
          <w:sz w:val="20"/>
          <w:lang w:val="sv-SE"/>
        </w:rPr>
        <w:t xml:space="preserve"> (</w:t>
      </w:r>
      <w:r>
        <w:rPr>
          <w:sz w:val="20"/>
          <w:lang w:val="sv-SE"/>
        </w:rPr>
        <w:t>D</w:t>
      </w:r>
      <w:r w:rsidRPr="00017BC0">
        <w:rPr>
          <w:sz w:val="20"/>
          <w:lang w:val="sv-SE"/>
        </w:rPr>
        <w:t>ecisions of the Parliamentary Ombudsman), web page, accessed on 30 January 2024.</w:t>
      </w:r>
    </w:p>
  </w:footnote>
  <w:footnote w:id="98">
    <w:p w14:paraId="13825C5E" w14:textId="0EC12616" w:rsidR="006E5B7F" w:rsidRPr="00187FA7" w:rsidRDefault="006E5B7F" w:rsidP="00EA405E">
      <w:pPr>
        <w:pStyle w:val="FootnoteText"/>
        <w:jc w:val="both"/>
        <w:rPr>
          <w:sz w:val="20"/>
        </w:rPr>
      </w:pPr>
      <w:r w:rsidRPr="00187FA7">
        <w:rPr>
          <w:rStyle w:val="FootnoteReference"/>
          <w:sz w:val="20"/>
        </w:rPr>
        <w:footnoteRef/>
      </w:r>
      <w:r w:rsidRPr="00187FA7">
        <w:rPr>
          <w:sz w:val="20"/>
        </w:rPr>
        <w:t xml:space="preserve"> </w:t>
      </w:r>
      <w:bookmarkStart w:id="60" w:name="_Hlk153282021"/>
      <w:r w:rsidR="00A60401" w:rsidRPr="00187FA7">
        <w:rPr>
          <w:sz w:val="20"/>
        </w:rPr>
        <w:t>Finland, Ministry of Social Affairs and Health (</w:t>
      </w:r>
      <w:r w:rsidR="00A60401" w:rsidRPr="00187FA7">
        <w:rPr>
          <w:i/>
          <w:iCs/>
          <w:sz w:val="20"/>
        </w:rPr>
        <w:t>sosiaali- ja terveysministeriö</w:t>
      </w:r>
      <w:r w:rsidR="00A60401" w:rsidRPr="00187FA7">
        <w:rPr>
          <w:sz w:val="20"/>
        </w:rPr>
        <w:t>/</w:t>
      </w:r>
      <w:r w:rsidR="00A60401" w:rsidRPr="00187FA7">
        <w:rPr>
          <w:i/>
          <w:iCs/>
          <w:sz w:val="20"/>
        </w:rPr>
        <w:t>social- och hälsovårds</w:t>
      </w:r>
      <w:r w:rsidR="00EA405E" w:rsidRPr="00187FA7">
        <w:rPr>
          <w:i/>
          <w:iCs/>
          <w:sz w:val="20"/>
        </w:rPr>
        <w:softHyphen/>
      </w:r>
      <w:r w:rsidR="00A60401" w:rsidRPr="00187FA7">
        <w:rPr>
          <w:i/>
          <w:iCs/>
          <w:sz w:val="20"/>
        </w:rPr>
        <w:t>ministeriet</w:t>
      </w:r>
      <w:r w:rsidR="00A60401" w:rsidRPr="00187FA7">
        <w:rPr>
          <w:sz w:val="20"/>
        </w:rPr>
        <w:t>),</w:t>
      </w:r>
      <w:bookmarkEnd w:id="60"/>
      <w:r w:rsidR="00A60401" w:rsidRPr="00187FA7">
        <w:rPr>
          <w:sz w:val="20"/>
        </w:rPr>
        <w:t xml:space="preserve"> </w:t>
      </w:r>
      <w:r w:rsidR="00A60401" w:rsidRPr="00017BC0">
        <w:rPr>
          <w:i/>
          <w:iCs/>
          <w:sz w:val="20"/>
        </w:rPr>
        <w:t>Right to social inclusion and equality – The National Action Plan on the UN Convention on the Rights of Persons with Disabilities 2018–2019</w:t>
      </w:r>
      <w:r w:rsidR="00A60401" w:rsidRPr="00187FA7">
        <w:rPr>
          <w:sz w:val="20"/>
        </w:rPr>
        <w:t xml:space="preserve"> </w:t>
      </w:r>
      <w:r w:rsidR="008A28C3" w:rsidRPr="00187FA7">
        <w:rPr>
          <w:sz w:val="20"/>
        </w:rPr>
        <w:t>(</w:t>
      </w:r>
      <w:hyperlink r:id="rId130" w:history="1">
        <w:r w:rsidR="00A60401" w:rsidRPr="00187FA7">
          <w:rPr>
            <w:rStyle w:val="Hyperlink"/>
            <w:i/>
            <w:iCs/>
            <w:sz w:val="20"/>
          </w:rPr>
          <w:t>Oikeus osallisuuteen ja yhdenvertaisuuteen YK:n vammaisten henkilöiden oikeuksien yleissopimuksen kansallinen toimintaohjelma 2018–2019</w:t>
        </w:r>
      </w:hyperlink>
      <w:r w:rsidR="008A28C3" w:rsidRPr="00187FA7">
        <w:rPr>
          <w:sz w:val="20"/>
        </w:rPr>
        <w:t>), p. 40.</w:t>
      </w:r>
    </w:p>
  </w:footnote>
  <w:footnote w:id="99">
    <w:p w14:paraId="49CA929C" w14:textId="7F68C496" w:rsidR="00E2325E" w:rsidRPr="00187FA7" w:rsidRDefault="00E2325E" w:rsidP="00EA405E">
      <w:pPr>
        <w:pStyle w:val="FootnoteText"/>
        <w:jc w:val="both"/>
        <w:rPr>
          <w:sz w:val="20"/>
          <w:lang w:val="sv-FI"/>
        </w:rPr>
      </w:pPr>
      <w:r w:rsidRPr="00187FA7">
        <w:rPr>
          <w:rStyle w:val="FootnoteReference"/>
          <w:sz w:val="20"/>
        </w:rPr>
        <w:footnoteRef/>
      </w:r>
      <w:r w:rsidRPr="00187FA7">
        <w:rPr>
          <w:sz w:val="20"/>
        </w:rPr>
        <w:t xml:space="preserve"> Finland, Ministry of Social Affairs and Health (</w:t>
      </w:r>
      <w:r w:rsidRPr="00187FA7">
        <w:rPr>
          <w:i/>
          <w:iCs/>
          <w:sz w:val="20"/>
        </w:rPr>
        <w:t>sosiaali- ja terveysministeriö</w:t>
      </w:r>
      <w:r w:rsidRPr="00187FA7">
        <w:rPr>
          <w:sz w:val="20"/>
        </w:rPr>
        <w:t>/</w:t>
      </w:r>
      <w:r w:rsidRPr="00187FA7">
        <w:rPr>
          <w:i/>
          <w:iCs/>
          <w:sz w:val="20"/>
        </w:rPr>
        <w:t>social- och hälsovårds</w:t>
      </w:r>
      <w:r w:rsidR="00EA405E" w:rsidRPr="00187FA7">
        <w:rPr>
          <w:i/>
          <w:iCs/>
          <w:sz w:val="20"/>
        </w:rPr>
        <w:softHyphen/>
      </w:r>
      <w:r w:rsidRPr="00187FA7">
        <w:rPr>
          <w:i/>
          <w:iCs/>
          <w:sz w:val="20"/>
        </w:rPr>
        <w:t>ministeriet</w:t>
      </w:r>
      <w:r w:rsidRPr="00187FA7">
        <w:rPr>
          <w:sz w:val="20"/>
        </w:rPr>
        <w:t>)</w:t>
      </w:r>
      <w:r w:rsidR="009B2426">
        <w:rPr>
          <w:sz w:val="20"/>
        </w:rPr>
        <w:t xml:space="preserve"> (2021)</w:t>
      </w:r>
      <w:r w:rsidRPr="00187FA7">
        <w:rPr>
          <w:sz w:val="20"/>
        </w:rPr>
        <w:t>,</w:t>
      </w:r>
      <w:r w:rsidR="00EA405E" w:rsidRPr="00187FA7">
        <w:rPr>
          <w:rFonts w:ascii="Arial" w:hAnsi="Arial" w:cs="Arial"/>
          <w:b/>
          <w:color w:val="002F6C"/>
          <w:kern w:val="36"/>
          <w:sz w:val="20"/>
          <w:lang w:val="sv-FI" w:eastAsia="sv-FI"/>
        </w:rPr>
        <w:t xml:space="preserve"> </w:t>
      </w:r>
      <w:hyperlink r:id="rId131" w:history="1">
        <w:r w:rsidR="000902FF" w:rsidRPr="00017BC0">
          <w:rPr>
            <w:rStyle w:val="Hyperlink"/>
            <w:i/>
            <w:iCs/>
            <w:sz w:val="20"/>
            <w:lang w:val="sv-FI"/>
          </w:rPr>
          <w:t>Right to social inclusion and equality : National Action Plan on the UN Convention on the Rights of Persons with Disabilities (2020–2023)</w:t>
        </w:r>
      </w:hyperlink>
      <w:r w:rsidR="00EA405E" w:rsidRPr="00017BC0">
        <w:rPr>
          <w:i/>
          <w:iCs/>
          <w:sz w:val="20"/>
          <w:lang w:val="sv-FI"/>
        </w:rPr>
        <w:t xml:space="preserve">, </w:t>
      </w:r>
      <w:r w:rsidR="000902FF" w:rsidRPr="000902FF">
        <w:rPr>
          <w:sz w:val="20"/>
          <w:lang w:val="sv-FI"/>
        </w:rPr>
        <w:t>Helsinki, Publications of the Ministry of Social Affairs and Health 2021:22</w:t>
      </w:r>
      <w:r w:rsidR="000902FF">
        <w:rPr>
          <w:sz w:val="20"/>
          <w:lang w:val="sv-FI"/>
        </w:rPr>
        <w:t xml:space="preserve">, </w:t>
      </w:r>
      <w:r w:rsidR="00EA405E" w:rsidRPr="00187FA7">
        <w:rPr>
          <w:sz w:val="20"/>
          <w:lang w:val="sv-FI"/>
        </w:rPr>
        <w:t>p. 23.</w:t>
      </w:r>
    </w:p>
  </w:footnote>
  <w:footnote w:id="100">
    <w:p w14:paraId="06851DB7" w14:textId="0BA08092" w:rsidR="00523D15" w:rsidRPr="00187FA7" w:rsidRDefault="00523D15" w:rsidP="00EA405E">
      <w:pPr>
        <w:pStyle w:val="FootnoteText"/>
        <w:jc w:val="both"/>
        <w:rPr>
          <w:sz w:val="20"/>
          <w:lang w:val="sv-SE"/>
        </w:rPr>
      </w:pPr>
      <w:r w:rsidRPr="00187FA7">
        <w:rPr>
          <w:rStyle w:val="FootnoteReference"/>
          <w:sz w:val="20"/>
        </w:rPr>
        <w:footnoteRef/>
      </w:r>
      <w:r w:rsidRPr="00187FA7">
        <w:rPr>
          <w:sz w:val="20"/>
        </w:rPr>
        <w:t xml:space="preserve"> </w:t>
      </w:r>
      <w:r w:rsidR="005D091A" w:rsidRPr="00187FA7">
        <w:rPr>
          <w:sz w:val="20"/>
        </w:rPr>
        <w:t>Finland,</w:t>
      </w:r>
      <w:r w:rsidR="00C103AA" w:rsidRPr="00187FA7">
        <w:rPr>
          <w:sz w:val="20"/>
        </w:rPr>
        <w:t xml:space="preserve"> Finnish Government</w:t>
      </w:r>
      <w:r w:rsidR="009B2426">
        <w:rPr>
          <w:sz w:val="20"/>
        </w:rPr>
        <w:t xml:space="preserve"> (2022)</w:t>
      </w:r>
      <w:r w:rsidR="00C103AA" w:rsidRPr="00187FA7">
        <w:rPr>
          <w:sz w:val="20"/>
        </w:rPr>
        <w:t>,</w:t>
      </w:r>
      <w:r w:rsidR="005D091A" w:rsidRPr="00187FA7">
        <w:rPr>
          <w:sz w:val="20"/>
        </w:rPr>
        <w:t xml:space="preserve"> </w:t>
      </w:r>
      <w:hyperlink r:id="rId132" w:history="1">
        <w:r w:rsidR="005D091A" w:rsidRPr="00017BC0">
          <w:rPr>
            <w:rStyle w:val="Hyperlink"/>
            <w:i/>
            <w:iCs/>
            <w:sz w:val="20"/>
          </w:rPr>
          <w:t>National Action Plan on Fundamental and Human Rights 2020–2023: Developing the monitoring of fundamental and human rights</w:t>
        </w:r>
      </w:hyperlink>
      <w:r w:rsidR="00C103AA" w:rsidRPr="00187FA7">
        <w:rPr>
          <w:sz w:val="20"/>
        </w:rPr>
        <w:t>,</w:t>
      </w:r>
      <w:r w:rsidR="000902FF">
        <w:rPr>
          <w:sz w:val="20"/>
        </w:rPr>
        <w:t xml:space="preserve"> Helsinki, Publications of the Finnish Government 2022:6,</w:t>
      </w:r>
      <w:r w:rsidR="00C103AA" w:rsidRPr="00187FA7">
        <w:rPr>
          <w:sz w:val="20"/>
        </w:rPr>
        <w:t xml:space="preserve"> </w:t>
      </w:r>
      <w:r w:rsidR="005D091A" w:rsidRPr="00187FA7">
        <w:rPr>
          <w:sz w:val="20"/>
        </w:rPr>
        <w:t>p. 4</w:t>
      </w:r>
      <w:r w:rsidR="00C103AA" w:rsidRPr="00187FA7">
        <w:rPr>
          <w:sz w:val="20"/>
        </w:rPr>
        <w:t>3</w:t>
      </w:r>
      <w:r w:rsidR="005D091A" w:rsidRPr="00187FA7">
        <w:rPr>
          <w:sz w:val="20"/>
        </w:rPr>
        <w:t>.</w:t>
      </w:r>
    </w:p>
  </w:footnote>
  <w:footnote w:id="101">
    <w:p w14:paraId="6BFC2193" w14:textId="22B8C0A6" w:rsidR="00BB3711" w:rsidRPr="00187FA7" w:rsidRDefault="00BB3711" w:rsidP="00EA405E">
      <w:pPr>
        <w:pStyle w:val="FootnoteText"/>
        <w:jc w:val="both"/>
        <w:rPr>
          <w:sz w:val="20"/>
        </w:rPr>
      </w:pPr>
      <w:r w:rsidRPr="00187FA7">
        <w:rPr>
          <w:rStyle w:val="FootnoteReference"/>
          <w:sz w:val="20"/>
        </w:rPr>
        <w:footnoteRef/>
      </w:r>
      <w:r w:rsidRPr="00187FA7">
        <w:rPr>
          <w:sz w:val="20"/>
        </w:rPr>
        <w:t xml:space="preserve"> Finland, information obtained from the Ministry of Social Affairs and Health (</w:t>
      </w:r>
      <w:r w:rsidRPr="00187FA7">
        <w:rPr>
          <w:i/>
          <w:iCs/>
          <w:sz w:val="20"/>
        </w:rPr>
        <w:t>sosiaali- ja terveys</w:t>
      </w:r>
      <w:r w:rsidR="00C103AA" w:rsidRPr="00187FA7">
        <w:rPr>
          <w:i/>
          <w:iCs/>
          <w:sz w:val="20"/>
        </w:rPr>
        <w:softHyphen/>
      </w:r>
      <w:r w:rsidRPr="00187FA7">
        <w:rPr>
          <w:i/>
          <w:iCs/>
          <w:sz w:val="20"/>
        </w:rPr>
        <w:t>ministeriö</w:t>
      </w:r>
      <w:r w:rsidRPr="00187FA7">
        <w:rPr>
          <w:sz w:val="20"/>
        </w:rPr>
        <w:t>/</w:t>
      </w:r>
      <w:r w:rsidRPr="00187FA7">
        <w:rPr>
          <w:i/>
          <w:iCs/>
          <w:sz w:val="20"/>
        </w:rPr>
        <w:t>social- och hälsovårdsministeriet</w:t>
      </w:r>
      <w:r w:rsidRPr="00187FA7">
        <w:rPr>
          <w:sz w:val="20"/>
        </w:rPr>
        <w:t>) via e-mail on 27 November 2023.</w:t>
      </w:r>
    </w:p>
  </w:footnote>
  <w:footnote w:id="102">
    <w:p w14:paraId="2888B875" w14:textId="30B20F9A" w:rsidR="00D912C4" w:rsidRPr="00187FA7" w:rsidRDefault="00D912C4" w:rsidP="00EA405E">
      <w:pPr>
        <w:pStyle w:val="FootnoteText"/>
        <w:jc w:val="both"/>
        <w:rPr>
          <w:sz w:val="20"/>
          <w:lang w:val="en-US"/>
        </w:rPr>
      </w:pPr>
      <w:r w:rsidRPr="00187FA7">
        <w:rPr>
          <w:rStyle w:val="FootnoteReference"/>
          <w:sz w:val="20"/>
        </w:rPr>
        <w:footnoteRef/>
      </w:r>
      <w:r w:rsidRPr="00187FA7">
        <w:rPr>
          <w:sz w:val="20"/>
        </w:rPr>
        <w:t xml:space="preserve"> </w:t>
      </w:r>
      <w:bookmarkStart w:id="62" w:name="_Hlk152339390"/>
      <w:r w:rsidRPr="00187FA7">
        <w:rPr>
          <w:sz w:val="20"/>
        </w:rPr>
        <w:t>Finnish Association of Physical Disabilities</w:t>
      </w:r>
      <w:r w:rsidR="00384705" w:rsidRPr="00187FA7">
        <w:rPr>
          <w:sz w:val="20"/>
        </w:rPr>
        <w:t xml:space="preserve"> (</w:t>
      </w:r>
      <w:r w:rsidR="00384705" w:rsidRPr="00187FA7">
        <w:rPr>
          <w:i/>
          <w:iCs/>
          <w:sz w:val="20"/>
        </w:rPr>
        <w:t>Invalidiliitto</w:t>
      </w:r>
      <w:r w:rsidR="00384705" w:rsidRPr="00187FA7">
        <w:rPr>
          <w:sz w:val="20"/>
        </w:rPr>
        <w:t>/</w:t>
      </w:r>
      <w:r w:rsidR="00384705" w:rsidRPr="00187FA7">
        <w:rPr>
          <w:i/>
          <w:iCs/>
          <w:sz w:val="20"/>
        </w:rPr>
        <w:t>Invalidförbundet</w:t>
      </w:r>
      <w:r w:rsidR="00384705" w:rsidRPr="00187FA7">
        <w:rPr>
          <w:sz w:val="20"/>
        </w:rPr>
        <w:t>)</w:t>
      </w:r>
      <w:bookmarkEnd w:id="62"/>
      <w:r w:rsidR="00384705" w:rsidRPr="00187FA7">
        <w:rPr>
          <w:sz w:val="20"/>
        </w:rPr>
        <w:t xml:space="preserve">, </w:t>
      </w:r>
      <w:hyperlink r:id="rId133" w:history="1">
        <w:r w:rsidR="004B075D" w:rsidRPr="00187FA7">
          <w:rPr>
            <w:rStyle w:val="Hyperlink"/>
            <w:sz w:val="20"/>
          </w:rPr>
          <w:t>Accessibility checklist for polling stations</w:t>
        </w:r>
      </w:hyperlink>
      <w:r w:rsidR="004B075D" w:rsidRPr="00187FA7">
        <w:rPr>
          <w:sz w:val="20"/>
        </w:rPr>
        <w:t xml:space="preserve"> (</w:t>
      </w:r>
      <w:hyperlink r:id="rId134" w:history="1">
        <w:r w:rsidR="00384705" w:rsidRPr="00793630">
          <w:rPr>
            <w:rStyle w:val="Hyperlink"/>
            <w:i/>
            <w:iCs/>
            <w:sz w:val="20"/>
          </w:rPr>
          <w:t>Äänestyspaikkojen esteettömyyden tarkistuslis</w:t>
        </w:r>
        <w:r w:rsidR="00793630">
          <w:rPr>
            <w:rStyle w:val="Hyperlink"/>
            <w:i/>
            <w:iCs/>
            <w:sz w:val="20"/>
          </w:rPr>
          <w:t>t</w:t>
        </w:r>
        <w:r w:rsidR="00384705" w:rsidRPr="00793630">
          <w:rPr>
            <w:rStyle w:val="Hyperlink"/>
            <w:i/>
            <w:iCs/>
            <w:sz w:val="20"/>
          </w:rPr>
          <w:t>a</w:t>
        </w:r>
      </w:hyperlink>
      <w:r w:rsidR="00384705" w:rsidRPr="00187FA7">
        <w:rPr>
          <w:sz w:val="20"/>
        </w:rPr>
        <w:t>/</w:t>
      </w:r>
      <w:hyperlink r:id="rId135" w:history="1">
        <w:r w:rsidR="00764847" w:rsidRPr="00793630">
          <w:rPr>
            <w:rStyle w:val="Hyperlink"/>
            <w:i/>
            <w:iCs/>
            <w:sz w:val="20"/>
          </w:rPr>
          <w:t>Checklista för röstningsställenas tillgänglighet</w:t>
        </w:r>
      </w:hyperlink>
      <w:r w:rsidR="00764847" w:rsidRPr="00187FA7">
        <w:rPr>
          <w:sz w:val="20"/>
        </w:rPr>
        <w:t>)</w:t>
      </w:r>
      <w:r w:rsidR="004B075D" w:rsidRPr="00187FA7">
        <w:rPr>
          <w:sz w:val="20"/>
        </w:rPr>
        <w:t xml:space="preserve">, </w:t>
      </w:r>
      <w:bookmarkStart w:id="63" w:name="_Hlk152580269"/>
      <w:r w:rsidR="004B075D" w:rsidRPr="00187FA7">
        <w:rPr>
          <w:sz w:val="20"/>
        </w:rPr>
        <w:t>web page, accessed on 14 December 2023.</w:t>
      </w:r>
    </w:p>
    <w:bookmarkEnd w:id="63"/>
  </w:footnote>
  <w:footnote w:id="103">
    <w:p w14:paraId="182B0DE3" w14:textId="1F486284" w:rsidR="00D912C4" w:rsidRPr="00187FA7" w:rsidRDefault="00D912C4" w:rsidP="00EA405E">
      <w:pPr>
        <w:pStyle w:val="FootnoteText"/>
        <w:jc w:val="both"/>
        <w:rPr>
          <w:sz w:val="20"/>
        </w:rPr>
      </w:pPr>
      <w:r w:rsidRPr="00187FA7">
        <w:rPr>
          <w:rStyle w:val="FootnoteReference"/>
          <w:sz w:val="20"/>
        </w:rPr>
        <w:footnoteRef/>
      </w:r>
      <w:r w:rsidRPr="00187FA7">
        <w:rPr>
          <w:sz w:val="20"/>
        </w:rPr>
        <w:t xml:space="preserve"> </w:t>
      </w:r>
      <w:r w:rsidR="005E11EF" w:rsidRPr="00187FA7">
        <w:rPr>
          <w:sz w:val="20"/>
        </w:rPr>
        <w:t>Finland, information obtained from the Ministry of Justice (</w:t>
      </w:r>
      <w:r w:rsidR="005E11EF" w:rsidRPr="00187FA7">
        <w:rPr>
          <w:i/>
          <w:iCs/>
          <w:sz w:val="20"/>
        </w:rPr>
        <w:t>oikeusministeriö</w:t>
      </w:r>
      <w:r w:rsidR="005E11EF" w:rsidRPr="00187FA7">
        <w:rPr>
          <w:sz w:val="20"/>
        </w:rPr>
        <w:t>/</w:t>
      </w:r>
      <w:r w:rsidR="005E11EF" w:rsidRPr="00187FA7">
        <w:rPr>
          <w:i/>
          <w:iCs/>
          <w:sz w:val="20"/>
        </w:rPr>
        <w:t>justitie</w:t>
      </w:r>
      <w:r w:rsidR="00BA1839" w:rsidRPr="00187FA7">
        <w:rPr>
          <w:i/>
          <w:iCs/>
          <w:sz w:val="20"/>
        </w:rPr>
        <w:softHyphen/>
        <w:t>ministe</w:t>
      </w:r>
      <w:r w:rsidR="00BA1839" w:rsidRPr="00187FA7">
        <w:rPr>
          <w:i/>
          <w:iCs/>
          <w:sz w:val="20"/>
        </w:rPr>
        <w:softHyphen/>
      </w:r>
      <w:r w:rsidR="005E11EF" w:rsidRPr="00187FA7">
        <w:rPr>
          <w:i/>
          <w:iCs/>
          <w:sz w:val="20"/>
        </w:rPr>
        <w:t>ri</w:t>
      </w:r>
      <w:r w:rsidR="00BA1839" w:rsidRPr="00187FA7">
        <w:rPr>
          <w:i/>
          <w:iCs/>
          <w:sz w:val="20"/>
        </w:rPr>
        <w:softHyphen/>
      </w:r>
      <w:r w:rsidR="005E11EF" w:rsidRPr="00187FA7">
        <w:rPr>
          <w:i/>
          <w:iCs/>
          <w:sz w:val="20"/>
        </w:rPr>
        <w:t>et</w:t>
      </w:r>
      <w:r w:rsidR="005E11EF" w:rsidRPr="00187FA7">
        <w:rPr>
          <w:sz w:val="20"/>
        </w:rPr>
        <w:t>) via e-mail on 1 December 2023.</w:t>
      </w:r>
    </w:p>
  </w:footnote>
  <w:footnote w:id="104">
    <w:p w14:paraId="6680E8EC" w14:textId="7016B077" w:rsidR="00F83028" w:rsidRPr="00187FA7" w:rsidRDefault="00F83028" w:rsidP="00EA405E">
      <w:pPr>
        <w:pStyle w:val="FootnoteText"/>
        <w:jc w:val="both"/>
        <w:rPr>
          <w:sz w:val="20"/>
          <w:lang w:val="en-US"/>
        </w:rPr>
      </w:pPr>
      <w:r w:rsidRPr="00187FA7">
        <w:rPr>
          <w:rStyle w:val="FootnoteReference"/>
          <w:sz w:val="20"/>
        </w:rPr>
        <w:footnoteRef/>
      </w:r>
      <w:r w:rsidRPr="00187FA7">
        <w:rPr>
          <w:sz w:val="20"/>
        </w:rPr>
        <w:t xml:space="preserve"> </w:t>
      </w:r>
      <w:r w:rsidR="00BA1839" w:rsidRPr="00187FA7">
        <w:rPr>
          <w:sz w:val="20"/>
        </w:rPr>
        <w:t>Finnish Association of Physical Disabilities (</w:t>
      </w:r>
      <w:r w:rsidR="00BA1839" w:rsidRPr="00187FA7">
        <w:rPr>
          <w:i/>
          <w:iCs/>
          <w:sz w:val="20"/>
        </w:rPr>
        <w:t>Invalidiliitto</w:t>
      </w:r>
      <w:r w:rsidR="00BA1839" w:rsidRPr="00187FA7">
        <w:rPr>
          <w:sz w:val="20"/>
        </w:rPr>
        <w:t>/</w:t>
      </w:r>
      <w:r w:rsidR="00BA1839" w:rsidRPr="00187FA7">
        <w:rPr>
          <w:i/>
          <w:iCs/>
          <w:sz w:val="20"/>
        </w:rPr>
        <w:t>Invalidförbundet</w:t>
      </w:r>
      <w:r w:rsidR="00BA1839" w:rsidRPr="00187FA7">
        <w:rPr>
          <w:sz w:val="20"/>
        </w:rPr>
        <w:t xml:space="preserve">), </w:t>
      </w:r>
      <w:r w:rsidR="007D6613" w:rsidRPr="00187FA7">
        <w:rPr>
          <w:rStyle w:val="Hyperlink"/>
          <w:sz w:val="20"/>
        </w:rPr>
        <w:t>(</w:t>
      </w:r>
      <w:hyperlink r:id="rId136" w:history="1">
        <w:r w:rsidR="007D6613" w:rsidRPr="00793630">
          <w:rPr>
            <w:rStyle w:val="Hyperlink"/>
            <w:i/>
            <w:iCs/>
            <w:sz w:val="20"/>
          </w:rPr>
          <w:t>Edistä esteettömyyttä verk</w:t>
        </w:r>
        <w:r w:rsidR="00793630">
          <w:rPr>
            <w:rStyle w:val="Hyperlink"/>
            <w:i/>
            <w:iCs/>
            <w:sz w:val="20"/>
          </w:rPr>
          <w:softHyphen/>
        </w:r>
        <w:r w:rsidR="007D6613" w:rsidRPr="00793630">
          <w:rPr>
            <w:rStyle w:val="Hyperlink"/>
            <w:i/>
            <w:iCs/>
            <w:sz w:val="20"/>
          </w:rPr>
          <w:t>ko</w:t>
        </w:r>
        <w:r w:rsidR="00793630">
          <w:rPr>
            <w:rStyle w:val="Hyperlink"/>
            <w:i/>
            <w:iCs/>
            <w:sz w:val="20"/>
          </w:rPr>
          <w:softHyphen/>
        </w:r>
        <w:r w:rsidR="007D6613" w:rsidRPr="00793630">
          <w:rPr>
            <w:rStyle w:val="Hyperlink"/>
            <w:i/>
            <w:iCs/>
            <w:sz w:val="20"/>
          </w:rPr>
          <w:t>kurssi</w:t>
        </w:r>
      </w:hyperlink>
      <w:r w:rsidR="007D6613" w:rsidRPr="00187FA7">
        <w:rPr>
          <w:sz w:val="20"/>
        </w:rPr>
        <w:t xml:space="preserve"> (</w:t>
      </w:r>
      <w:r w:rsidRPr="00187FA7">
        <w:rPr>
          <w:sz w:val="20"/>
        </w:rPr>
        <w:t>Promote accessibility online course</w:t>
      </w:r>
      <w:r w:rsidR="007D6613" w:rsidRPr="00187FA7">
        <w:rPr>
          <w:sz w:val="20"/>
        </w:rPr>
        <w:t>)</w:t>
      </w:r>
      <w:r w:rsidR="00C04BCD" w:rsidRPr="00187FA7">
        <w:rPr>
          <w:rStyle w:val="Hyperlink"/>
          <w:sz w:val="20"/>
          <w:u w:val="none"/>
        </w:rPr>
        <w:t xml:space="preserve">, </w:t>
      </w:r>
      <w:r w:rsidR="00C04BCD" w:rsidRPr="00187FA7">
        <w:rPr>
          <w:sz w:val="20"/>
        </w:rPr>
        <w:t>web page, accessed on 14 December 2023.</w:t>
      </w:r>
    </w:p>
  </w:footnote>
  <w:footnote w:id="105">
    <w:p w14:paraId="7A749C45" w14:textId="720715C5" w:rsidR="00F83028" w:rsidRPr="00187FA7" w:rsidRDefault="00F83028" w:rsidP="00EA405E">
      <w:pPr>
        <w:pStyle w:val="FootnoteText"/>
        <w:jc w:val="both"/>
        <w:rPr>
          <w:sz w:val="20"/>
          <w:lang w:val="en-US"/>
        </w:rPr>
      </w:pPr>
      <w:r w:rsidRPr="00187FA7">
        <w:rPr>
          <w:rStyle w:val="FootnoteReference"/>
          <w:sz w:val="20"/>
        </w:rPr>
        <w:footnoteRef/>
      </w:r>
      <w:bookmarkStart w:id="64" w:name="_Hlk152339559"/>
      <w:r w:rsidR="00793630">
        <w:rPr>
          <w:sz w:val="20"/>
        </w:rPr>
        <w:t xml:space="preserve"> </w:t>
      </w:r>
      <w:r w:rsidR="000D6054" w:rsidRPr="00187FA7">
        <w:rPr>
          <w:sz w:val="20"/>
        </w:rPr>
        <w:t>Finnish Association of Physical Disabilities (</w:t>
      </w:r>
      <w:r w:rsidR="000D6054" w:rsidRPr="00187FA7">
        <w:rPr>
          <w:i/>
          <w:iCs/>
          <w:sz w:val="20"/>
        </w:rPr>
        <w:t>Invalidiliitto</w:t>
      </w:r>
      <w:r w:rsidR="000D6054" w:rsidRPr="00187FA7">
        <w:rPr>
          <w:sz w:val="20"/>
        </w:rPr>
        <w:t>/</w:t>
      </w:r>
      <w:r w:rsidR="000D6054" w:rsidRPr="00187FA7">
        <w:rPr>
          <w:i/>
          <w:iCs/>
          <w:sz w:val="20"/>
        </w:rPr>
        <w:t>Invalidförbundet</w:t>
      </w:r>
      <w:r w:rsidR="000D6054" w:rsidRPr="00187FA7">
        <w:rPr>
          <w:sz w:val="20"/>
        </w:rPr>
        <w:t xml:space="preserve">), </w:t>
      </w:r>
      <w:r w:rsidR="00793630">
        <w:rPr>
          <w:sz w:val="20"/>
        </w:rPr>
        <w:t>‘</w:t>
      </w:r>
      <w:hyperlink r:id="rId137" w:history="1">
        <w:r w:rsidR="000D6054" w:rsidRPr="00187FA7">
          <w:rPr>
            <w:rStyle w:val="Hyperlink"/>
            <w:sz w:val="20"/>
          </w:rPr>
          <w:t>Esteettömyyden toteu</w:t>
        </w:r>
        <w:r w:rsidR="00793630">
          <w:rPr>
            <w:rStyle w:val="Hyperlink"/>
            <w:sz w:val="20"/>
          </w:rPr>
          <w:softHyphen/>
        </w:r>
        <w:r w:rsidR="000D6054" w:rsidRPr="00187FA7">
          <w:rPr>
            <w:rStyle w:val="Hyperlink"/>
            <w:sz w:val="20"/>
          </w:rPr>
          <w:t>tu</w:t>
        </w:r>
        <w:r w:rsidR="00793630">
          <w:rPr>
            <w:rStyle w:val="Hyperlink"/>
            <w:sz w:val="20"/>
          </w:rPr>
          <w:softHyphen/>
        </w:r>
        <w:r w:rsidR="000D6054" w:rsidRPr="00187FA7">
          <w:rPr>
            <w:rStyle w:val="Hyperlink"/>
            <w:sz w:val="20"/>
          </w:rPr>
          <w:t>mi</w:t>
        </w:r>
        <w:r w:rsidR="00793630">
          <w:rPr>
            <w:rStyle w:val="Hyperlink"/>
            <w:sz w:val="20"/>
          </w:rPr>
          <w:softHyphen/>
        </w:r>
        <w:r w:rsidR="00793630">
          <w:rPr>
            <w:rStyle w:val="Hyperlink"/>
            <w:sz w:val="20"/>
          </w:rPr>
          <w:softHyphen/>
        </w:r>
        <w:r w:rsidR="000D6054" w:rsidRPr="00187FA7">
          <w:rPr>
            <w:rStyle w:val="Hyperlink"/>
            <w:sz w:val="20"/>
          </w:rPr>
          <w:t>sessa puutteita kevään 2023 eduskuntavaalien äänestyspaikoilla</w:t>
        </w:r>
      </w:hyperlink>
      <w:r w:rsidR="00793630">
        <w:rPr>
          <w:rStyle w:val="Hyperlink"/>
          <w:sz w:val="20"/>
        </w:rPr>
        <w:t>’</w:t>
      </w:r>
      <w:r w:rsidR="000D6054" w:rsidRPr="00187FA7">
        <w:rPr>
          <w:sz w:val="20"/>
        </w:rPr>
        <w:t xml:space="preserve"> (</w:t>
      </w:r>
      <w:r w:rsidRPr="00187FA7">
        <w:rPr>
          <w:sz w:val="20"/>
        </w:rPr>
        <w:t>Shortcomings in the implementation of accessibility at polling stations in the spring 2023 parliamentary elections</w:t>
      </w:r>
      <w:r w:rsidR="000D6054" w:rsidRPr="00187FA7">
        <w:rPr>
          <w:sz w:val="20"/>
        </w:rPr>
        <w:t>), press release, 29 May 2023.</w:t>
      </w:r>
      <w:bookmarkEnd w:id="64"/>
    </w:p>
  </w:footnote>
  <w:footnote w:id="106">
    <w:p w14:paraId="5AD7C429" w14:textId="0BB639F4" w:rsidR="00D47B67" w:rsidRPr="00187FA7" w:rsidRDefault="00D47B67" w:rsidP="00EA405E">
      <w:pPr>
        <w:pStyle w:val="FootnoteText"/>
        <w:jc w:val="both"/>
        <w:rPr>
          <w:sz w:val="20"/>
          <w:lang w:val="en-US"/>
        </w:rPr>
      </w:pPr>
      <w:r w:rsidRPr="00187FA7">
        <w:rPr>
          <w:rStyle w:val="FootnoteReference"/>
          <w:sz w:val="20"/>
        </w:rPr>
        <w:footnoteRef/>
      </w:r>
      <w:r w:rsidR="00793630">
        <w:rPr>
          <w:sz w:val="20"/>
          <w:lang w:val="en-US"/>
        </w:rPr>
        <w:t xml:space="preserve"> </w:t>
      </w:r>
      <w:r w:rsidR="000D6054" w:rsidRPr="00187FA7">
        <w:rPr>
          <w:sz w:val="20"/>
        </w:rPr>
        <w:t>Finnish Association of Physical Disabilities (</w:t>
      </w:r>
      <w:r w:rsidR="000D6054" w:rsidRPr="00187FA7">
        <w:rPr>
          <w:i/>
          <w:iCs/>
          <w:sz w:val="20"/>
        </w:rPr>
        <w:t>Invalidiliitto</w:t>
      </w:r>
      <w:r w:rsidR="000D6054" w:rsidRPr="00187FA7">
        <w:rPr>
          <w:sz w:val="20"/>
        </w:rPr>
        <w:t>/</w:t>
      </w:r>
      <w:r w:rsidR="000D6054" w:rsidRPr="00187FA7">
        <w:rPr>
          <w:i/>
          <w:iCs/>
          <w:sz w:val="20"/>
        </w:rPr>
        <w:t>Invalidförbundet</w:t>
      </w:r>
      <w:r w:rsidR="000D6054" w:rsidRPr="00187FA7">
        <w:rPr>
          <w:sz w:val="20"/>
        </w:rPr>
        <w:t xml:space="preserve">), </w:t>
      </w:r>
      <w:r w:rsidR="00793630">
        <w:rPr>
          <w:sz w:val="20"/>
        </w:rPr>
        <w:t>‘</w:t>
      </w:r>
      <w:hyperlink r:id="rId138" w:history="1">
        <w:r w:rsidR="000D6054" w:rsidRPr="00187FA7">
          <w:rPr>
            <w:rStyle w:val="Hyperlink"/>
            <w:sz w:val="20"/>
          </w:rPr>
          <w:t>Esteettömyyden toteutu</w:t>
        </w:r>
        <w:r w:rsidR="00793630">
          <w:rPr>
            <w:rStyle w:val="Hyperlink"/>
            <w:sz w:val="20"/>
          </w:rPr>
          <w:softHyphen/>
        </w:r>
        <w:r w:rsidR="000D6054" w:rsidRPr="00187FA7">
          <w:rPr>
            <w:rStyle w:val="Hyperlink"/>
            <w:sz w:val="20"/>
          </w:rPr>
          <w:t>mi</w:t>
        </w:r>
        <w:r w:rsidR="00793630">
          <w:rPr>
            <w:rStyle w:val="Hyperlink"/>
            <w:sz w:val="20"/>
          </w:rPr>
          <w:softHyphen/>
        </w:r>
        <w:r w:rsidR="000D6054" w:rsidRPr="00187FA7">
          <w:rPr>
            <w:rStyle w:val="Hyperlink"/>
            <w:sz w:val="20"/>
          </w:rPr>
          <w:t>sessa puutteita kevään 2023 eduskuntavaalien äänestyspaikoilla</w:t>
        </w:r>
      </w:hyperlink>
      <w:r w:rsidR="00793630">
        <w:rPr>
          <w:rStyle w:val="Hyperlink"/>
          <w:sz w:val="20"/>
        </w:rPr>
        <w:t>’</w:t>
      </w:r>
      <w:r w:rsidR="000D6054" w:rsidRPr="00187FA7">
        <w:rPr>
          <w:sz w:val="20"/>
        </w:rPr>
        <w:t xml:space="preserve"> (Shortcomings in the implementation of accessibility at polling stations in the spring 2023 parliamentary elections), press release, 29 May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AD8439" w14:textId="77777777" w:rsidR="00017BC0" w:rsidRDefault="00017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alias w:val="Page Number - In Header"/>
      <w:tag w:val="rustgbTodqcIXC6jnYNaU0-Tz4Wf3Ws02PVbyArcGaiF2"/>
      <w:id w:val="-1984222376"/>
      <w:showingPlcHdr/>
    </w:sdtPr>
    <w:sdtEndPr/>
    <w:sdtContent>
      <w:p w14:paraId="0ACB2392" w14:textId="081EA918" w:rsidR="00610C73" w:rsidRDefault="009E72AE">
        <w:pPr>
          <w:pStyle w:val="Header"/>
        </w:pPr>
        <w:r>
          <w:t xml:space="preserve">     </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988540" w14:textId="77777777" w:rsidR="00017BC0" w:rsidRDefault="00017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87F6E"/>
    <w:multiLevelType w:val="multilevel"/>
    <w:tmpl w:val="1B9A6BE2"/>
    <w:name w:val="ListNumberNumbering"/>
    <w:lvl w:ilvl="0">
      <w:start w:val="1"/>
      <w:numFmt w:val="decimal"/>
      <w:pStyle w:val="ListNumber"/>
      <w:lvlText w:val="%1."/>
      <w:lvlJc w:val="left"/>
      <w:pPr>
        <w:ind w:left="1134" w:hanging="567"/>
      </w:pPr>
      <w:rPr>
        <w:rFonts w:hint="default"/>
        <w:color w:val="525E65"/>
      </w:rPr>
    </w:lvl>
    <w:lvl w:ilvl="1">
      <w:start w:val="1"/>
      <w:numFmt w:val="decimal"/>
      <w:pStyle w:val="ListNumberLevel2"/>
      <w:lvlText w:val="%1.%2."/>
      <w:lvlJc w:val="left"/>
      <w:pPr>
        <w:ind w:left="1701" w:hanging="567"/>
      </w:pPr>
      <w:rPr>
        <w:rFonts w:hint="default"/>
        <w:color w:val="525E65"/>
      </w:rPr>
    </w:lvl>
    <w:lvl w:ilvl="2">
      <w:start w:val="1"/>
      <w:numFmt w:val="decimal"/>
      <w:pStyle w:val="ListNumberLevel3"/>
      <w:lvlText w:val="%1.%2.%3."/>
      <w:lvlJc w:val="left"/>
      <w:pPr>
        <w:ind w:left="2268" w:hanging="851"/>
      </w:pPr>
      <w:rPr>
        <w:rFonts w:hint="default"/>
        <w:color w:val="525E65"/>
      </w:rPr>
    </w:lvl>
    <w:lvl w:ilvl="3">
      <w:start w:val="1"/>
      <w:numFmt w:val="decimal"/>
      <w:pStyle w:val="ListNumberLevel4"/>
      <w:lvlText w:val="%1.%2.%3.%4."/>
      <w:lvlJc w:val="left"/>
      <w:pPr>
        <w:ind w:left="3118" w:hanging="1134"/>
      </w:pPr>
      <w:rPr>
        <w:rFonts w:ascii="Calibri" w:hAnsi="Calibri" w:hint="default"/>
        <w:color w:val="525E65"/>
      </w:rPr>
    </w:lvl>
    <w:lvl w:ilvl="4">
      <w:start w:val="1"/>
      <w:numFmt w:val="decimal"/>
      <w:pStyle w:val="ListNumberLevel5"/>
      <w:lvlText w:val="%1.%2.%3.%4.%5."/>
      <w:lvlJc w:val="left"/>
      <w:pPr>
        <w:ind w:left="3969" w:hanging="1134"/>
      </w:pPr>
      <w:rPr>
        <w:rFonts w:ascii="Calibri" w:hAnsi="Calibri" w:hint="default"/>
        <w:color w:val="525E65"/>
      </w:rPr>
    </w:lvl>
    <w:lvl w:ilvl="5">
      <w:start w:val="1"/>
      <w:numFmt w:val="decimal"/>
      <w:lvlText w:val="%1.%2.%3.%4.%5."/>
      <w:lvlJc w:val="left"/>
      <w:pPr>
        <w:ind w:left="3969" w:hanging="1134"/>
      </w:pPr>
      <w:rPr>
        <w:rFonts w:ascii="Calibri" w:hAnsi="Calibri" w:hint="default"/>
      </w:rPr>
    </w:lvl>
    <w:lvl w:ilvl="6">
      <w:start w:val="1"/>
      <w:numFmt w:val="decimal"/>
      <w:lvlText w:val="%1.%2.%3.%4.%5."/>
      <w:lvlJc w:val="left"/>
      <w:pPr>
        <w:ind w:left="3969" w:hanging="1134"/>
      </w:pPr>
      <w:rPr>
        <w:rFonts w:ascii="Calibri" w:hAnsi="Calibri" w:hint="default"/>
      </w:rPr>
    </w:lvl>
    <w:lvl w:ilvl="7">
      <w:start w:val="1"/>
      <w:numFmt w:val="decimal"/>
      <w:lvlText w:val="%1.%2.%3.%4.%5."/>
      <w:lvlJc w:val="left"/>
      <w:pPr>
        <w:ind w:left="3969" w:hanging="1134"/>
      </w:pPr>
      <w:rPr>
        <w:rFonts w:ascii="Calibri" w:hAnsi="Calibri" w:hint="default"/>
      </w:rPr>
    </w:lvl>
    <w:lvl w:ilvl="8">
      <w:start w:val="1"/>
      <w:numFmt w:val="decimal"/>
      <w:lvlText w:val="%1.%2.%3.%4.%5."/>
      <w:lvlJc w:val="left"/>
      <w:pPr>
        <w:ind w:left="3969" w:hanging="1134"/>
      </w:pPr>
      <w:rPr>
        <w:rFonts w:ascii="Calibri" w:hAnsi="Calibri" w:hint="default"/>
      </w:rPr>
    </w:lvl>
  </w:abstractNum>
  <w:abstractNum w:abstractNumId="1" w15:restartNumberingAfterBreak="0">
    <w:nsid w:val="09867872"/>
    <w:multiLevelType w:val="multilevel"/>
    <w:tmpl w:val="3796BEE4"/>
    <w:name w:val="ListDashNumbering"/>
    <w:lvl w:ilvl="0">
      <w:start w:val="1"/>
      <w:numFmt w:val="bullet"/>
      <w:pStyle w:val="ListDash"/>
      <w:lvlText w:val="—"/>
      <w:lvlJc w:val="left"/>
      <w:pPr>
        <w:ind w:left="482" w:hanging="482"/>
      </w:pPr>
      <w:rPr>
        <w:rFonts w:ascii="Calibri" w:hAnsi="Calibri" w:hint="default"/>
        <w:color w:val="771D7B"/>
      </w:rPr>
    </w:lvl>
    <w:lvl w:ilvl="1">
      <w:start w:val="1"/>
      <w:numFmt w:val="bullet"/>
      <w:pStyle w:val="ListDashLevel2"/>
      <w:lvlText w:val="—"/>
      <w:lvlJc w:val="left"/>
      <w:pPr>
        <w:ind w:left="964" w:hanging="482"/>
      </w:pPr>
      <w:rPr>
        <w:rFonts w:ascii="Calibri" w:hAnsi="Calibri" w:hint="default"/>
        <w:color w:val="771D7B"/>
      </w:rPr>
    </w:lvl>
    <w:lvl w:ilvl="2">
      <w:start w:val="1"/>
      <w:numFmt w:val="bullet"/>
      <w:pStyle w:val="ListDashLevel3"/>
      <w:lvlText w:val="—"/>
      <w:lvlJc w:val="left"/>
      <w:pPr>
        <w:ind w:left="1446" w:hanging="482"/>
      </w:pPr>
      <w:rPr>
        <w:rFonts w:ascii="Calibri" w:hAnsi="Calibri" w:hint="default"/>
        <w:color w:val="771D7B"/>
      </w:rPr>
    </w:lvl>
    <w:lvl w:ilvl="3">
      <w:start w:val="1"/>
      <w:numFmt w:val="bullet"/>
      <w:pStyle w:val="ListDashLevel4"/>
      <w:lvlText w:val="—"/>
      <w:lvlJc w:val="left"/>
      <w:pPr>
        <w:ind w:left="1928" w:hanging="482"/>
      </w:pPr>
      <w:rPr>
        <w:rFonts w:ascii="Calibri" w:hAnsi="Calibri" w:hint="default"/>
        <w:color w:val="771D7B"/>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06111C7"/>
    <w:multiLevelType w:val="singleLevel"/>
    <w:tmpl w:val="8D7C626C"/>
    <w:name w:val="RomanParagraphNumbering"/>
    <w:lvl w:ilvl="0">
      <w:start w:val="1"/>
      <w:numFmt w:val="upperRoman"/>
      <w:lvlRestart w:val="0"/>
      <w:pStyle w:val="RomanParagraph"/>
      <w:suff w:val="space"/>
      <w:lvlText w:val="%1"/>
      <w:lvlJc w:val="left"/>
      <w:pPr>
        <w:ind w:firstLine="0"/>
      </w:pPr>
      <w:rPr>
        <w:rFonts w:hint="default"/>
        <w:b/>
        <w:color w:val="771D7B"/>
        <w:sz w:val="28"/>
      </w:rPr>
    </w:lvl>
  </w:abstractNum>
  <w:abstractNum w:abstractNumId="3" w15:restartNumberingAfterBreak="0">
    <w:nsid w:val="11153D01"/>
    <w:multiLevelType w:val="multilevel"/>
    <w:tmpl w:val="111E0B01"/>
    <w:name w:val="HeadingNumbering"/>
    <w:lvl w:ilvl="0">
      <w:start w:val="1"/>
      <w:numFmt w:val="decimal"/>
      <w:pStyle w:val="HeadingNumbered1"/>
      <w:lvlText w:val="%1."/>
      <w:lvlJc w:val="left"/>
      <w:pPr>
        <w:ind w:left="1417" w:hanging="1417"/>
      </w:pPr>
      <w:rPr>
        <w:rFonts w:hint="default"/>
      </w:rPr>
    </w:lvl>
    <w:lvl w:ilvl="1">
      <w:start w:val="1"/>
      <w:numFmt w:val="decimal"/>
      <w:pStyle w:val="HeadingNumbered2"/>
      <w:lvlText w:val="%1.%2."/>
      <w:lvlJc w:val="left"/>
      <w:pPr>
        <w:ind w:left="1417" w:hanging="1417"/>
      </w:pPr>
      <w:rPr>
        <w:rFonts w:hint="default"/>
      </w:rPr>
    </w:lvl>
    <w:lvl w:ilvl="2">
      <w:start w:val="1"/>
      <w:numFmt w:val="decimal"/>
      <w:pStyle w:val="HeadingNumbered3"/>
      <w:lvlText w:val="%1.%2.%3."/>
      <w:lvlJc w:val="left"/>
      <w:pPr>
        <w:ind w:left="1417" w:hanging="1417"/>
      </w:pPr>
      <w:rPr>
        <w:rFonts w:ascii="Calibri" w:hAnsi="Calibri" w:hint="default"/>
      </w:rPr>
    </w:lvl>
    <w:lvl w:ilvl="3">
      <w:start w:val="1"/>
      <w:numFmt w:val="decimal"/>
      <w:pStyle w:val="HeadingNumbered4"/>
      <w:lvlText w:val="%1.%2.%3.%4."/>
      <w:lvlJc w:val="left"/>
      <w:pPr>
        <w:ind w:left="1417" w:hanging="1417"/>
      </w:pPr>
      <w:rPr>
        <w:rFonts w:ascii="Calibri" w:hAnsi="Calibri" w:hint="default"/>
      </w:rPr>
    </w:lvl>
    <w:lvl w:ilvl="4">
      <w:start w:val="1"/>
      <w:numFmt w:val="decimal"/>
      <w:lvlText w:val="%1.%2.%3.%4."/>
      <w:lvlJc w:val="left"/>
      <w:pPr>
        <w:ind w:left="1417" w:hanging="1417"/>
      </w:pPr>
      <w:rPr>
        <w:rFonts w:ascii="Calibri" w:hAnsi="Calibri" w:hint="default"/>
      </w:rPr>
    </w:lvl>
    <w:lvl w:ilvl="5">
      <w:start w:val="1"/>
      <w:numFmt w:val="decimal"/>
      <w:lvlText w:val="%1.%2.%3.%4."/>
      <w:lvlJc w:val="left"/>
      <w:pPr>
        <w:ind w:left="1417" w:hanging="1417"/>
      </w:pPr>
      <w:rPr>
        <w:rFonts w:ascii="Calibri" w:hAnsi="Calibri" w:hint="default"/>
      </w:rPr>
    </w:lvl>
    <w:lvl w:ilvl="6">
      <w:start w:val="1"/>
      <w:numFmt w:val="decimal"/>
      <w:lvlText w:val="%1.%2.%3.%4."/>
      <w:lvlJc w:val="left"/>
      <w:pPr>
        <w:ind w:left="1417" w:hanging="1417"/>
      </w:pPr>
      <w:rPr>
        <w:rFonts w:ascii="Calibri" w:hAnsi="Calibri" w:hint="default"/>
      </w:rPr>
    </w:lvl>
    <w:lvl w:ilvl="7">
      <w:start w:val="1"/>
      <w:numFmt w:val="decimal"/>
      <w:lvlText w:val="%1.%2.%3.%4."/>
      <w:lvlJc w:val="left"/>
      <w:pPr>
        <w:ind w:left="1417" w:hanging="1417"/>
      </w:pPr>
      <w:rPr>
        <w:rFonts w:ascii="Calibri" w:hAnsi="Calibri" w:hint="default"/>
      </w:rPr>
    </w:lvl>
    <w:lvl w:ilvl="8">
      <w:start w:val="1"/>
      <w:numFmt w:val="decimal"/>
      <w:lvlText w:val="%1.%2.%3.%4."/>
      <w:lvlJc w:val="left"/>
      <w:pPr>
        <w:ind w:left="1417" w:hanging="1417"/>
      </w:pPr>
      <w:rPr>
        <w:rFonts w:ascii="Calibri" w:hAnsi="Calibri" w:hint="default"/>
      </w:rPr>
    </w:lvl>
  </w:abstractNum>
  <w:abstractNum w:abstractNumId="4" w15:restartNumberingAfterBreak="0">
    <w:nsid w:val="11153D02"/>
    <w:multiLevelType w:val="multilevel"/>
    <w:tmpl w:val="111E0B02"/>
    <w:name w:val="ListNumberNonindentedNumbering"/>
    <w:lvl w:ilvl="0">
      <w:start w:val="1"/>
      <w:numFmt w:val="decimal"/>
      <w:pStyle w:val="ListNumberNonindented"/>
      <w:lvlText w:val="%1."/>
      <w:lvlJc w:val="left"/>
      <w:pPr>
        <w:ind w:left="567" w:hanging="567"/>
      </w:pPr>
      <w:rPr>
        <w:rFonts w:hint="default"/>
        <w:color w:val="525E65"/>
      </w:rPr>
    </w:lvl>
    <w:lvl w:ilvl="1">
      <w:start w:val="1"/>
      <w:numFmt w:val="decimal"/>
      <w:pStyle w:val="ListNumberNonindentedLevel2"/>
      <w:lvlText w:val="%1.%2."/>
      <w:lvlJc w:val="left"/>
      <w:pPr>
        <w:ind w:left="850" w:hanging="850"/>
      </w:pPr>
      <w:rPr>
        <w:rFonts w:hint="default"/>
        <w:color w:val="525E65"/>
      </w:rPr>
    </w:lvl>
    <w:lvl w:ilvl="2">
      <w:start w:val="1"/>
      <w:numFmt w:val="decimal"/>
      <w:pStyle w:val="ListNumberNonindentedLevel3"/>
      <w:lvlText w:val="%1.%2.%3."/>
      <w:lvlJc w:val="left"/>
      <w:pPr>
        <w:ind w:left="1134" w:hanging="1134"/>
      </w:pPr>
      <w:rPr>
        <w:rFonts w:hint="default"/>
        <w:color w:val="525E65"/>
      </w:rPr>
    </w:lvl>
    <w:lvl w:ilvl="3">
      <w:start w:val="1"/>
      <w:numFmt w:val="decimal"/>
      <w:pStyle w:val="ListNumberNonindentedLevel4"/>
      <w:lvlText w:val="%1.%2.%3.%4."/>
      <w:lvlJc w:val="left"/>
      <w:pPr>
        <w:ind w:left="1417" w:hanging="1417"/>
      </w:pPr>
      <w:rPr>
        <w:rFonts w:ascii="Calibri" w:hAnsi="Calibri" w:hint="default"/>
        <w:color w:val="525E65"/>
      </w:rPr>
    </w:lvl>
    <w:lvl w:ilvl="4">
      <w:start w:val="1"/>
      <w:numFmt w:val="decimal"/>
      <w:pStyle w:val="ListNumberNonindentedLevel5"/>
      <w:lvlText w:val="%1.%2.%3.%4.%5."/>
      <w:lvlJc w:val="left"/>
      <w:pPr>
        <w:ind w:left="1701" w:hanging="1701"/>
      </w:pPr>
      <w:rPr>
        <w:rFonts w:ascii="Calibri" w:hAnsi="Calibri" w:hint="default"/>
        <w:color w:val="525E65"/>
      </w:rPr>
    </w:lvl>
    <w:lvl w:ilvl="5">
      <w:start w:val="1"/>
      <w:numFmt w:val="decimal"/>
      <w:lvlText w:val="%1.%2.%3.%4.%5."/>
      <w:lvlJc w:val="left"/>
      <w:pPr>
        <w:ind w:left="1701" w:hanging="1701"/>
      </w:pPr>
      <w:rPr>
        <w:rFonts w:ascii="Calibri" w:hAnsi="Calibri" w:hint="default"/>
      </w:rPr>
    </w:lvl>
    <w:lvl w:ilvl="6">
      <w:start w:val="1"/>
      <w:numFmt w:val="decimal"/>
      <w:lvlText w:val="%1.%2.%3.%4.%5."/>
      <w:lvlJc w:val="left"/>
      <w:pPr>
        <w:ind w:left="1701" w:hanging="1701"/>
      </w:pPr>
      <w:rPr>
        <w:rFonts w:ascii="Calibri" w:hAnsi="Calibri" w:hint="default"/>
      </w:rPr>
    </w:lvl>
    <w:lvl w:ilvl="7">
      <w:start w:val="1"/>
      <w:numFmt w:val="decimal"/>
      <w:lvlText w:val="%1.%2.%3.%4.%5."/>
      <w:lvlJc w:val="left"/>
      <w:pPr>
        <w:ind w:left="1701" w:hanging="1701"/>
      </w:pPr>
      <w:rPr>
        <w:rFonts w:ascii="Calibri" w:hAnsi="Calibri" w:hint="default"/>
      </w:rPr>
    </w:lvl>
    <w:lvl w:ilvl="8">
      <w:start w:val="1"/>
      <w:numFmt w:val="decimal"/>
      <w:lvlText w:val="%1.%2.%3.%4.%5."/>
      <w:lvlJc w:val="left"/>
      <w:pPr>
        <w:ind w:left="1701" w:hanging="1701"/>
      </w:pPr>
      <w:rPr>
        <w:rFonts w:ascii="Calibri" w:hAnsi="Calibri" w:hint="default"/>
      </w:rPr>
    </w:lvl>
  </w:abstractNum>
  <w:abstractNum w:abstractNumId="5" w15:restartNumberingAfterBreak="0">
    <w:nsid w:val="11153D03"/>
    <w:multiLevelType w:val="multilevel"/>
    <w:tmpl w:val="111E0B03"/>
    <w:name w:val="ListMixedNumbering"/>
    <w:lvl w:ilvl="0">
      <w:start w:val="1"/>
      <w:numFmt w:val="decimal"/>
      <w:pStyle w:val="ListMixed"/>
      <w:lvlText w:val="%1."/>
      <w:lvlJc w:val="left"/>
      <w:pPr>
        <w:ind w:left="1134" w:hanging="567"/>
      </w:pPr>
      <w:rPr>
        <w:rFonts w:hint="default"/>
        <w:color w:val="525E65"/>
      </w:rPr>
    </w:lvl>
    <w:lvl w:ilvl="1">
      <w:start w:val="1"/>
      <w:numFmt w:val="lowerLetter"/>
      <w:pStyle w:val="ListMixedLevel2"/>
      <w:lvlText w:val="(%2)"/>
      <w:lvlJc w:val="left"/>
      <w:pPr>
        <w:ind w:left="1701" w:hanging="567"/>
      </w:pPr>
      <w:rPr>
        <w:rFonts w:hint="default"/>
        <w:color w:val="525E65"/>
      </w:rPr>
    </w:lvl>
    <w:lvl w:ilvl="2">
      <w:start w:val="1"/>
      <w:numFmt w:val="bullet"/>
      <w:pStyle w:val="ListMixedLevel3"/>
      <w:lvlText w:val="—"/>
      <w:lvlJc w:val="left"/>
      <w:pPr>
        <w:ind w:left="2268" w:hanging="567"/>
      </w:pPr>
      <w:rPr>
        <w:rFonts w:hint="default"/>
        <w:color w:val="525E65"/>
      </w:rPr>
    </w:lvl>
    <w:lvl w:ilvl="3">
      <w:start w:val="1"/>
      <w:numFmt w:val="bullet"/>
      <w:pStyle w:val="ListMixedLevel4"/>
      <w:lvlText w:val="▪"/>
      <w:lvlJc w:val="left"/>
      <w:pPr>
        <w:ind w:left="2835" w:hanging="567"/>
      </w:pPr>
      <w:rPr>
        <w:rFonts w:ascii="Calibri" w:hAnsi="Calibri" w:hint="default"/>
        <w:color w:val="525E65"/>
      </w:rPr>
    </w:lvl>
    <w:lvl w:ilvl="4">
      <w:start w:val="1"/>
      <w:numFmt w:val="bullet"/>
      <w:lvlText w:val="▪"/>
      <w:lvlJc w:val="left"/>
      <w:pPr>
        <w:ind w:left="3402" w:hanging="567"/>
      </w:pPr>
      <w:rPr>
        <w:rFonts w:ascii="Calibri" w:hAnsi="Calibri" w:hint="default"/>
        <w:color w:val="525E65"/>
      </w:rPr>
    </w:lvl>
    <w:lvl w:ilvl="5">
      <w:start w:val="1"/>
      <w:numFmt w:val="bullet"/>
      <w:lvlText w:val="▪"/>
      <w:lvlJc w:val="left"/>
      <w:pPr>
        <w:ind w:left="3402" w:hanging="567"/>
      </w:pPr>
      <w:rPr>
        <w:rFonts w:ascii="Calibri" w:hAnsi="Calibri" w:hint="default"/>
      </w:rPr>
    </w:lvl>
    <w:lvl w:ilvl="6">
      <w:start w:val="1"/>
      <w:numFmt w:val="bullet"/>
      <w:lvlText w:val="▪"/>
      <w:lvlJc w:val="left"/>
      <w:pPr>
        <w:ind w:left="3402" w:hanging="567"/>
      </w:pPr>
      <w:rPr>
        <w:rFonts w:ascii="Calibri" w:hAnsi="Calibri" w:hint="default"/>
      </w:rPr>
    </w:lvl>
    <w:lvl w:ilvl="7">
      <w:start w:val="1"/>
      <w:numFmt w:val="bullet"/>
      <w:lvlText w:val="▪"/>
      <w:lvlJc w:val="left"/>
      <w:pPr>
        <w:ind w:left="3402" w:hanging="567"/>
      </w:pPr>
      <w:rPr>
        <w:rFonts w:ascii="Calibri" w:hAnsi="Calibri" w:hint="default"/>
      </w:rPr>
    </w:lvl>
    <w:lvl w:ilvl="8">
      <w:start w:val="1"/>
      <w:numFmt w:val="bullet"/>
      <w:lvlText w:val="▪"/>
      <w:lvlJc w:val="left"/>
      <w:pPr>
        <w:ind w:left="3402" w:hanging="567"/>
      </w:pPr>
      <w:rPr>
        <w:rFonts w:ascii="Calibri" w:hAnsi="Calibri" w:hint="default"/>
      </w:rPr>
    </w:lvl>
  </w:abstractNum>
  <w:abstractNum w:abstractNumId="6" w15:restartNumberingAfterBreak="0">
    <w:nsid w:val="13B83123"/>
    <w:multiLevelType w:val="singleLevel"/>
    <w:tmpl w:val="0FDA6064"/>
    <w:name w:val="NumberedParagraphNumbering"/>
    <w:lvl w:ilvl="0">
      <w:start w:val="1"/>
      <w:numFmt w:val="decimalZero"/>
      <w:pStyle w:val="NumberedParagraph"/>
      <w:suff w:val="space"/>
      <w:lvlText w:val="%1"/>
      <w:lvlJc w:val="left"/>
      <w:pPr>
        <w:ind w:firstLine="0"/>
      </w:pPr>
      <w:rPr>
        <w:rFonts w:hint="default"/>
        <w:b/>
        <w:color w:val="771D7B"/>
        <w:sz w:val="28"/>
      </w:rPr>
    </w:lvl>
  </w:abstractNum>
  <w:abstractNum w:abstractNumId="7" w15:restartNumberingAfterBreak="0">
    <w:nsid w:val="1A78160C"/>
    <w:multiLevelType w:val="multilevel"/>
    <w:tmpl w:val="FB78DD9E"/>
    <w:lvl w:ilvl="0">
      <w:start w:val="2"/>
      <w:numFmt w:val="decimal"/>
      <w:lvlText w:val="%1."/>
      <w:lvlJc w:val="left"/>
      <w:pPr>
        <w:ind w:left="480" w:hanging="480"/>
      </w:pPr>
      <w:rPr>
        <w:rFonts w:hint="default"/>
      </w:rPr>
    </w:lvl>
    <w:lvl w:ilvl="1">
      <w:start w:val="1"/>
      <w:numFmt w:val="decimal"/>
      <w:lvlText w:val="%1.%2."/>
      <w:lvlJc w:val="left"/>
      <w:pPr>
        <w:ind w:left="1627" w:hanging="72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801" w:hanging="1080"/>
      </w:pPr>
      <w:rPr>
        <w:rFonts w:hint="default"/>
      </w:rPr>
    </w:lvl>
    <w:lvl w:ilvl="4">
      <w:start w:val="1"/>
      <w:numFmt w:val="decimal"/>
      <w:lvlText w:val="%1.%2.%3.%4.%5."/>
      <w:lvlJc w:val="left"/>
      <w:pPr>
        <w:ind w:left="5068" w:hanging="1440"/>
      </w:pPr>
      <w:rPr>
        <w:rFonts w:hint="default"/>
      </w:rPr>
    </w:lvl>
    <w:lvl w:ilvl="5">
      <w:start w:val="1"/>
      <w:numFmt w:val="decimal"/>
      <w:lvlText w:val="%1.%2.%3.%4.%5.%6."/>
      <w:lvlJc w:val="left"/>
      <w:pPr>
        <w:ind w:left="5975" w:hanging="1440"/>
      </w:pPr>
      <w:rPr>
        <w:rFonts w:hint="default"/>
      </w:rPr>
    </w:lvl>
    <w:lvl w:ilvl="6">
      <w:start w:val="1"/>
      <w:numFmt w:val="decimal"/>
      <w:lvlText w:val="%1.%2.%3.%4.%5.%6.%7."/>
      <w:lvlJc w:val="left"/>
      <w:pPr>
        <w:ind w:left="7242" w:hanging="1800"/>
      </w:pPr>
      <w:rPr>
        <w:rFonts w:hint="default"/>
      </w:rPr>
    </w:lvl>
    <w:lvl w:ilvl="7">
      <w:start w:val="1"/>
      <w:numFmt w:val="decimal"/>
      <w:lvlText w:val="%1.%2.%3.%4.%5.%6.%7.%8."/>
      <w:lvlJc w:val="left"/>
      <w:pPr>
        <w:ind w:left="8509" w:hanging="2160"/>
      </w:pPr>
      <w:rPr>
        <w:rFonts w:hint="default"/>
      </w:rPr>
    </w:lvl>
    <w:lvl w:ilvl="8">
      <w:start w:val="1"/>
      <w:numFmt w:val="decimal"/>
      <w:lvlText w:val="%1.%2.%3.%4.%5.%6.%7.%8.%9."/>
      <w:lvlJc w:val="left"/>
      <w:pPr>
        <w:ind w:left="9416" w:hanging="2160"/>
      </w:pPr>
      <w:rPr>
        <w:rFonts w:hint="default"/>
      </w:rPr>
    </w:lvl>
  </w:abstractNum>
  <w:abstractNum w:abstractNumId="8" w15:restartNumberingAfterBreak="0">
    <w:nsid w:val="1BA53D75"/>
    <w:multiLevelType w:val="multilevel"/>
    <w:tmpl w:val="A17E0B58"/>
    <w:name w:val="ListAbcNumbering"/>
    <w:lvl w:ilvl="0">
      <w:start w:val="1"/>
      <w:numFmt w:val="lowerLetter"/>
      <w:pStyle w:val="Listabc"/>
      <w:lvlText w:val="(%1)"/>
      <w:lvlJc w:val="left"/>
      <w:pPr>
        <w:ind w:left="482" w:hanging="482"/>
      </w:pPr>
      <w:rPr>
        <w:rFonts w:hint="default"/>
      </w:rPr>
    </w:lvl>
    <w:lvl w:ilvl="1">
      <w:start w:val="1"/>
      <w:numFmt w:val="lowerRoman"/>
      <w:pStyle w:val="ListabcLevel2"/>
      <w:lvlText w:val="(%2)"/>
      <w:lvlJc w:val="left"/>
      <w:pPr>
        <w:ind w:left="964" w:hanging="482"/>
      </w:pPr>
      <w:rPr>
        <w:rFonts w:hint="default"/>
        <w:color w:val="auto"/>
      </w:rPr>
    </w:lvl>
    <w:lvl w:ilvl="2">
      <w:start w:val="1"/>
      <w:numFmt w:val="bullet"/>
      <w:pStyle w:val="ListabcLevel3"/>
      <w:lvlText w:val="—"/>
      <w:lvlJc w:val="left"/>
      <w:pPr>
        <w:ind w:left="1446" w:hanging="482"/>
      </w:pPr>
      <w:rPr>
        <w:rFonts w:ascii="Calibri" w:hAnsi="Calibri" w:hint="default"/>
        <w:color w:val="auto"/>
      </w:rPr>
    </w:lvl>
    <w:lvl w:ilvl="3">
      <w:start w:val="1"/>
      <w:numFmt w:val="bullet"/>
      <w:pStyle w:val="ListabcLevel4"/>
      <w:lvlText w:val="—"/>
      <w:lvlJc w:val="left"/>
      <w:pPr>
        <w:ind w:left="1928" w:hanging="482"/>
      </w:pPr>
      <w:rPr>
        <w:rFonts w:ascii="Calibri" w:hAnsi="Calibri" w:hint="default"/>
        <w:color w:val="auto"/>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58649B9"/>
    <w:multiLevelType w:val="multilevel"/>
    <w:tmpl w:val="0EA2D634"/>
    <w:name w:val="ListBulletNumbering"/>
    <w:lvl w:ilvl="0">
      <w:start w:val="1"/>
      <w:numFmt w:val="bullet"/>
      <w:pStyle w:val="ListBullet"/>
      <w:lvlText w:val="●"/>
      <w:lvlJc w:val="left"/>
      <w:pPr>
        <w:ind w:left="482" w:hanging="482"/>
      </w:pPr>
      <w:rPr>
        <w:rFonts w:ascii="Calibri" w:hAnsi="Calibri" w:hint="default"/>
        <w:color w:val="771D7B"/>
      </w:rPr>
    </w:lvl>
    <w:lvl w:ilvl="1">
      <w:start w:val="1"/>
      <w:numFmt w:val="bullet"/>
      <w:pStyle w:val="ListBulletLevel2"/>
      <w:lvlText w:val="■"/>
      <w:lvlJc w:val="left"/>
      <w:pPr>
        <w:ind w:left="964" w:hanging="482"/>
      </w:pPr>
      <w:rPr>
        <w:rFonts w:ascii="Arial" w:hAnsi="Arial" w:hint="default"/>
        <w:color w:val="771D7B"/>
        <w:sz w:val="20"/>
      </w:rPr>
    </w:lvl>
    <w:lvl w:ilvl="2">
      <w:start w:val="1"/>
      <w:numFmt w:val="bullet"/>
      <w:pStyle w:val="ListBulletLevel3"/>
      <w:lvlText w:val="—"/>
      <w:lvlJc w:val="left"/>
      <w:pPr>
        <w:ind w:left="1446" w:hanging="482"/>
      </w:pPr>
      <w:rPr>
        <w:rFonts w:ascii="Calibri" w:hAnsi="Calibri" w:hint="default"/>
        <w:color w:val="771D7B"/>
      </w:rPr>
    </w:lvl>
    <w:lvl w:ilvl="3">
      <w:start w:val="1"/>
      <w:numFmt w:val="bullet"/>
      <w:pStyle w:val="ListBulletLevel4"/>
      <w:lvlText w:val="—"/>
      <w:lvlJc w:val="left"/>
      <w:pPr>
        <w:ind w:left="1928" w:hanging="482"/>
      </w:pPr>
      <w:rPr>
        <w:rFonts w:ascii="Calibri" w:hAnsi="Calibri" w:hint="default"/>
        <w:color w:val="771D7B"/>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9E4F6F"/>
    <w:multiLevelType w:val="multilevel"/>
    <w:tmpl w:val="DDE8906C"/>
    <w:name w:val="ListRomanNumbering"/>
    <w:lvl w:ilvl="0">
      <w:start w:val="1"/>
      <w:numFmt w:val="lowerRoman"/>
      <w:pStyle w:val="ListRoman"/>
      <w:lvlText w:val="(%1)"/>
      <w:lvlJc w:val="left"/>
      <w:pPr>
        <w:ind w:left="482" w:hanging="482"/>
      </w:pPr>
      <w:rPr>
        <w:rFonts w:ascii="Calibri" w:hAnsi="Calibri" w:hint="default"/>
      </w:rPr>
    </w:lvl>
    <w:lvl w:ilvl="1">
      <w:start w:val="1"/>
      <w:numFmt w:val="bullet"/>
      <w:pStyle w:val="ListRomanLevel2"/>
      <w:lvlText w:val="—"/>
      <w:lvlJc w:val="left"/>
      <w:pPr>
        <w:ind w:left="964" w:hanging="482"/>
      </w:pPr>
      <w:rPr>
        <w:rFonts w:ascii="Calibri" w:hAnsi="Calibri" w:hint="default"/>
        <w:color w:val="auto"/>
      </w:rPr>
    </w:lvl>
    <w:lvl w:ilvl="2">
      <w:start w:val="1"/>
      <w:numFmt w:val="bullet"/>
      <w:pStyle w:val="ListRomanLevel3"/>
      <w:lvlText w:val="o"/>
      <w:lvlJc w:val="left"/>
      <w:pPr>
        <w:ind w:left="1446" w:hanging="482"/>
      </w:pPr>
      <w:rPr>
        <w:rFonts w:ascii="Calibri" w:hAnsi="Calibri" w:hint="default"/>
        <w:color w:val="auto"/>
      </w:rPr>
    </w:lvl>
    <w:lvl w:ilvl="3">
      <w:start w:val="1"/>
      <w:numFmt w:val="bullet"/>
      <w:pStyle w:val="ListRomanLevel4"/>
      <w:lvlText w:val=""/>
      <w:lvlJc w:val="left"/>
      <w:pPr>
        <w:ind w:left="1928" w:hanging="482"/>
      </w:pPr>
      <w:rPr>
        <w:rFonts w:ascii="Symbol" w:hAnsi="Symbol" w:hint="default"/>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568448D9"/>
    <w:multiLevelType w:val="multilevel"/>
    <w:tmpl w:val="57DACC7A"/>
    <w:styleLink w:val="FRAHeadings"/>
    <w:lvl w:ilvl="0">
      <w:start w:val="1"/>
      <w:numFmt w:val="decimal"/>
      <w:pStyle w:val="FRAHeading1"/>
      <w:lvlText w:val="%1"/>
      <w:lvlJc w:val="left"/>
      <w:pPr>
        <w:ind w:left="907" w:hanging="907"/>
      </w:pPr>
      <w:rPr>
        <w:rFonts w:hint="default"/>
      </w:rPr>
    </w:lvl>
    <w:lvl w:ilvl="1">
      <w:start w:val="1"/>
      <w:numFmt w:val="decimal"/>
      <w:pStyle w:val="FRAHeading2"/>
      <w:lvlText w:val="%1.%2"/>
      <w:lvlJc w:val="left"/>
      <w:pPr>
        <w:ind w:left="907" w:hanging="907"/>
      </w:pPr>
      <w:rPr>
        <w:rFonts w:hint="default"/>
      </w:rPr>
    </w:lvl>
    <w:lvl w:ilvl="2">
      <w:start w:val="1"/>
      <w:numFmt w:val="decimal"/>
      <w:pStyle w:val="FRAHeading3"/>
      <w:lvlText w:val="%1.%2.%3"/>
      <w:lvlJc w:val="left"/>
      <w:pPr>
        <w:ind w:left="907" w:hanging="907"/>
      </w:pPr>
      <w:rPr>
        <w:rFonts w:hint="default"/>
      </w:rPr>
    </w:lvl>
    <w:lvl w:ilvl="3">
      <w:start w:val="1"/>
      <w:numFmt w:val="none"/>
      <w:pStyle w:val="FRAHeading4Unnumbered"/>
      <w:lvlText w:val=""/>
      <w:lvlJc w:val="left"/>
      <w:pPr>
        <w:ind w:left="907" w:hanging="907"/>
      </w:pPr>
      <w:rPr>
        <w:rFonts w:hint="default"/>
      </w:rPr>
    </w:lvl>
    <w:lvl w:ilvl="4">
      <w:start w:val="1"/>
      <w:numFmt w:val="decimal"/>
      <w:pStyle w:val="FRAListNumbered"/>
      <w:lvlText w:val="%5."/>
      <w:lvlJc w:val="left"/>
      <w:pPr>
        <w:ind w:left="284" w:firstLine="0"/>
      </w:pPr>
      <w:rPr>
        <w:rFonts w:hint="default"/>
      </w:rPr>
    </w:lvl>
    <w:lvl w:ilvl="5">
      <w:start w:val="1"/>
      <w:numFmt w:val="bullet"/>
      <w:lvlRestart w:val="0"/>
      <w:pStyle w:val="FRAListBullet"/>
      <w:lvlText w:val=""/>
      <w:lvlJc w:val="left"/>
      <w:pPr>
        <w:ind w:left="284" w:firstLine="0"/>
      </w:pPr>
      <w:rPr>
        <w:rFonts w:ascii="Symbol" w:hAnsi="Symbol" w:hint="default"/>
        <w:color w:val="auto"/>
      </w:rPr>
    </w:lvl>
    <w:lvl w:ilvl="6">
      <w:start w:val="1"/>
      <w:numFmt w:val="none"/>
      <w:lvlText w:val="%7."/>
      <w:lvlJc w:val="left"/>
      <w:pPr>
        <w:ind w:left="907" w:hanging="907"/>
      </w:pPr>
      <w:rPr>
        <w:rFonts w:hint="default"/>
      </w:rPr>
    </w:lvl>
    <w:lvl w:ilvl="7">
      <w:start w:val="1"/>
      <w:numFmt w:val="none"/>
      <w:lvlText w:val="%8."/>
      <w:lvlJc w:val="left"/>
      <w:pPr>
        <w:ind w:left="907" w:hanging="907"/>
      </w:pPr>
      <w:rPr>
        <w:rFonts w:hint="default"/>
      </w:rPr>
    </w:lvl>
    <w:lvl w:ilvl="8">
      <w:start w:val="1"/>
      <w:numFmt w:val="none"/>
      <w:lvlText w:val="%9."/>
      <w:lvlJc w:val="right"/>
      <w:pPr>
        <w:ind w:left="907" w:hanging="907"/>
      </w:pPr>
      <w:rPr>
        <w:rFonts w:hint="default"/>
      </w:rPr>
    </w:lvl>
  </w:abstractNum>
  <w:abstractNum w:abstractNumId="12" w15:restartNumberingAfterBreak="0">
    <w:nsid w:val="66AF1754"/>
    <w:multiLevelType w:val="hybridMultilevel"/>
    <w:tmpl w:val="03C046CE"/>
    <w:lvl w:ilvl="0" w:tplc="DE10C3DE">
      <w:numFmt w:val="none"/>
      <w:lvlText w:val=""/>
      <w:lvlJc w:val="left"/>
      <w:pPr>
        <w:tabs>
          <w:tab w:val="num" w:pos="360"/>
        </w:tabs>
      </w:pPr>
    </w:lvl>
    <w:lvl w:ilvl="1" w:tplc="BCC2FE04">
      <w:start w:val="1"/>
      <w:numFmt w:val="lowerLetter"/>
      <w:lvlText w:val="%2."/>
      <w:lvlJc w:val="left"/>
      <w:pPr>
        <w:ind w:left="1440" w:hanging="360"/>
      </w:pPr>
    </w:lvl>
    <w:lvl w:ilvl="2" w:tplc="9E58FC3C">
      <w:start w:val="1"/>
      <w:numFmt w:val="lowerRoman"/>
      <w:lvlText w:val="%3."/>
      <w:lvlJc w:val="right"/>
      <w:pPr>
        <w:ind w:left="2160" w:hanging="180"/>
      </w:pPr>
    </w:lvl>
    <w:lvl w:ilvl="3" w:tplc="25C084AC">
      <w:start w:val="1"/>
      <w:numFmt w:val="decimal"/>
      <w:lvlText w:val="%4."/>
      <w:lvlJc w:val="left"/>
      <w:pPr>
        <w:ind w:left="2880" w:hanging="360"/>
      </w:pPr>
    </w:lvl>
    <w:lvl w:ilvl="4" w:tplc="22881276">
      <w:start w:val="1"/>
      <w:numFmt w:val="lowerLetter"/>
      <w:lvlText w:val="%5."/>
      <w:lvlJc w:val="left"/>
      <w:pPr>
        <w:ind w:left="3600" w:hanging="360"/>
      </w:pPr>
    </w:lvl>
    <w:lvl w:ilvl="5" w:tplc="A5508EF4">
      <w:start w:val="1"/>
      <w:numFmt w:val="lowerRoman"/>
      <w:lvlText w:val="%6."/>
      <w:lvlJc w:val="right"/>
      <w:pPr>
        <w:ind w:left="4320" w:hanging="180"/>
      </w:pPr>
    </w:lvl>
    <w:lvl w:ilvl="6" w:tplc="AE3828AA">
      <w:start w:val="1"/>
      <w:numFmt w:val="decimal"/>
      <w:lvlText w:val="%7."/>
      <w:lvlJc w:val="left"/>
      <w:pPr>
        <w:ind w:left="5040" w:hanging="360"/>
      </w:pPr>
    </w:lvl>
    <w:lvl w:ilvl="7" w:tplc="78EC757C">
      <w:start w:val="1"/>
      <w:numFmt w:val="lowerLetter"/>
      <w:lvlText w:val="%8."/>
      <w:lvlJc w:val="left"/>
      <w:pPr>
        <w:ind w:left="5760" w:hanging="360"/>
      </w:pPr>
    </w:lvl>
    <w:lvl w:ilvl="8" w:tplc="AB6E1EAA">
      <w:start w:val="1"/>
      <w:numFmt w:val="lowerRoman"/>
      <w:lvlText w:val="%9."/>
      <w:lvlJc w:val="right"/>
      <w:pPr>
        <w:ind w:left="6480" w:hanging="180"/>
      </w:pPr>
    </w:lvl>
  </w:abstractNum>
  <w:abstractNum w:abstractNumId="13" w15:restartNumberingAfterBreak="0">
    <w:nsid w:val="775CEFEA"/>
    <w:multiLevelType w:val="hybridMultilevel"/>
    <w:tmpl w:val="4488672C"/>
    <w:lvl w:ilvl="0" w:tplc="6C705DF0">
      <w:start w:val="1"/>
      <w:numFmt w:val="decimal"/>
      <w:lvlText w:val="%1."/>
      <w:lvlJc w:val="left"/>
      <w:pPr>
        <w:ind w:left="720" w:hanging="360"/>
      </w:pPr>
    </w:lvl>
    <w:lvl w:ilvl="1" w:tplc="54A48640">
      <w:start w:val="2"/>
      <w:numFmt w:val="decimal"/>
      <w:lvlText w:val="%2."/>
      <w:lvlJc w:val="left"/>
      <w:pPr>
        <w:ind w:left="1440" w:hanging="360"/>
      </w:pPr>
    </w:lvl>
    <w:lvl w:ilvl="2" w:tplc="AAE6B1B6">
      <w:start w:val="1"/>
      <w:numFmt w:val="lowerRoman"/>
      <w:lvlText w:val="%3."/>
      <w:lvlJc w:val="right"/>
      <w:pPr>
        <w:ind w:left="2160" w:hanging="180"/>
      </w:pPr>
    </w:lvl>
    <w:lvl w:ilvl="3" w:tplc="43881A4E">
      <w:start w:val="1"/>
      <w:numFmt w:val="decimal"/>
      <w:lvlText w:val="%4."/>
      <w:lvlJc w:val="left"/>
      <w:pPr>
        <w:ind w:left="2880" w:hanging="360"/>
      </w:pPr>
    </w:lvl>
    <w:lvl w:ilvl="4" w:tplc="AA82ED0E">
      <w:start w:val="1"/>
      <w:numFmt w:val="lowerLetter"/>
      <w:lvlText w:val="%5."/>
      <w:lvlJc w:val="left"/>
      <w:pPr>
        <w:ind w:left="3600" w:hanging="360"/>
      </w:pPr>
    </w:lvl>
    <w:lvl w:ilvl="5" w:tplc="E8326F5A">
      <w:start w:val="1"/>
      <w:numFmt w:val="lowerRoman"/>
      <w:lvlText w:val="%6."/>
      <w:lvlJc w:val="right"/>
      <w:pPr>
        <w:ind w:left="4320" w:hanging="180"/>
      </w:pPr>
    </w:lvl>
    <w:lvl w:ilvl="6" w:tplc="3CBEB3E6">
      <w:start w:val="1"/>
      <w:numFmt w:val="decimal"/>
      <w:lvlText w:val="%7."/>
      <w:lvlJc w:val="left"/>
      <w:pPr>
        <w:ind w:left="5040" w:hanging="360"/>
      </w:pPr>
    </w:lvl>
    <w:lvl w:ilvl="7" w:tplc="FA82EB8A">
      <w:start w:val="1"/>
      <w:numFmt w:val="lowerLetter"/>
      <w:lvlText w:val="%8."/>
      <w:lvlJc w:val="left"/>
      <w:pPr>
        <w:ind w:left="5760" w:hanging="360"/>
      </w:pPr>
    </w:lvl>
    <w:lvl w:ilvl="8" w:tplc="AE348600">
      <w:start w:val="1"/>
      <w:numFmt w:val="lowerRoman"/>
      <w:lvlText w:val="%9."/>
      <w:lvlJc w:val="right"/>
      <w:pPr>
        <w:ind w:left="6480" w:hanging="180"/>
      </w:pPr>
    </w:lvl>
  </w:abstractNum>
  <w:num w:numId="1" w16cid:durableId="1346051549">
    <w:abstractNumId w:val="4"/>
  </w:num>
  <w:num w:numId="2" w16cid:durableId="321353744">
    <w:abstractNumId w:val="1"/>
  </w:num>
  <w:num w:numId="3" w16cid:durableId="1728264502">
    <w:abstractNumId w:val="9"/>
  </w:num>
  <w:num w:numId="4" w16cid:durableId="1957254934">
    <w:abstractNumId w:val="2"/>
  </w:num>
  <w:num w:numId="5" w16cid:durableId="1609970589">
    <w:abstractNumId w:val="3"/>
  </w:num>
  <w:num w:numId="6" w16cid:durableId="566259517">
    <w:abstractNumId w:val="6"/>
  </w:num>
  <w:num w:numId="7" w16cid:durableId="212620542">
    <w:abstractNumId w:val="0"/>
  </w:num>
  <w:num w:numId="8" w16cid:durableId="677584958">
    <w:abstractNumId w:val="5"/>
  </w:num>
  <w:num w:numId="9" w16cid:durableId="655764653">
    <w:abstractNumId w:val="8"/>
  </w:num>
  <w:num w:numId="10" w16cid:durableId="277681172">
    <w:abstractNumId w:val="10"/>
  </w:num>
  <w:num w:numId="11" w16cid:durableId="896283301">
    <w:abstractNumId w:val="11"/>
  </w:num>
  <w:num w:numId="12" w16cid:durableId="1166941836">
    <w:abstractNumId w:val="7"/>
  </w:num>
  <w:num w:numId="13" w16cid:durableId="544101142">
    <w:abstractNumId w:val="12"/>
  </w:num>
  <w:num w:numId="14" w16cid:durableId="99059738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CB2"/>
    <w:rsid w:val="00005CE9"/>
    <w:rsid w:val="000062E9"/>
    <w:rsid w:val="00015EC2"/>
    <w:rsid w:val="0001652B"/>
    <w:rsid w:val="00017BC0"/>
    <w:rsid w:val="000209B9"/>
    <w:rsid w:val="00020F24"/>
    <w:rsid w:val="000217C2"/>
    <w:rsid w:val="00024D8B"/>
    <w:rsid w:val="00025D55"/>
    <w:rsid w:val="0002783E"/>
    <w:rsid w:val="000301C3"/>
    <w:rsid w:val="00033D86"/>
    <w:rsid w:val="00037CDA"/>
    <w:rsid w:val="00041EB5"/>
    <w:rsid w:val="0004281A"/>
    <w:rsid w:val="000434E2"/>
    <w:rsid w:val="00045DC6"/>
    <w:rsid w:val="0004609A"/>
    <w:rsid w:val="000473F4"/>
    <w:rsid w:val="00047669"/>
    <w:rsid w:val="0005228A"/>
    <w:rsid w:val="00053149"/>
    <w:rsid w:val="00053D5F"/>
    <w:rsid w:val="00054135"/>
    <w:rsid w:val="0005495C"/>
    <w:rsid w:val="000558F5"/>
    <w:rsid w:val="000615C3"/>
    <w:rsid w:val="000625F2"/>
    <w:rsid w:val="00063856"/>
    <w:rsid w:val="00065EA5"/>
    <w:rsid w:val="00066630"/>
    <w:rsid w:val="0007182F"/>
    <w:rsid w:val="000718D4"/>
    <w:rsid w:val="00071A4E"/>
    <w:rsid w:val="00071C58"/>
    <w:rsid w:val="00072220"/>
    <w:rsid w:val="00072585"/>
    <w:rsid w:val="00073D7D"/>
    <w:rsid w:val="00077626"/>
    <w:rsid w:val="00080D8B"/>
    <w:rsid w:val="00081108"/>
    <w:rsid w:val="000819FB"/>
    <w:rsid w:val="000873D4"/>
    <w:rsid w:val="000878EF"/>
    <w:rsid w:val="000902FF"/>
    <w:rsid w:val="00092207"/>
    <w:rsid w:val="000A4FC5"/>
    <w:rsid w:val="000A573B"/>
    <w:rsid w:val="000A65F0"/>
    <w:rsid w:val="000A7165"/>
    <w:rsid w:val="000B0B29"/>
    <w:rsid w:val="000B200F"/>
    <w:rsid w:val="000B52B3"/>
    <w:rsid w:val="000C3C8B"/>
    <w:rsid w:val="000C3CA4"/>
    <w:rsid w:val="000C3FDE"/>
    <w:rsid w:val="000D108A"/>
    <w:rsid w:val="000D29E2"/>
    <w:rsid w:val="000D4DE5"/>
    <w:rsid w:val="000D53FC"/>
    <w:rsid w:val="000D58D2"/>
    <w:rsid w:val="000D6054"/>
    <w:rsid w:val="000D69DC"/>
    <w:rsid w:val="000D7033"/>
    <w:rsid w:val="000E15B2"/>
    <w:rsid w:val="000E26CF"/>
    <w:rsid w:val="000F1863"/>
    <w:rsid w:val="000F6701"/>
    <w:rsid w:val="001007A4"/>
    <w:rsid w:val="00100948"/>
    <w:rsid w:val="001012D5"/>
    <w:rsid w:val="0010149D"/>
    <w:rsid w:val="0010313D"/>
    <w:rsid w:val="00104701"/>
    <w:rsid w:val="0010678C"/>
    <w:rsid w:val="001072B5"/>
    <w:rsid w:val="001072F9"/>
    <w:rsid w:val="00107796"/>
    <w:rsid w:val="00112159"/>
    <w:rsid w:val="00113244"/>
    <w:rsid w:val="001135B9"/>
    <w:rsid w:val="00113A55"/>
    <w:rsid w:val="001151D6"/>
    <w:rsid w:val="00115E6E"/>
    <w:rsid w:val="0012346F"/>
    <w:rsid w:val="00123D1B"/>
    <w:rsid w:val="00124083"/>
    <w:rsid w:val="0012606E"/>
    <w:rsid w:val="0012646E"/>
    <w:rsid w:val="00127769"/>
    <w:rsid w:val="0013602A"/>
    <w:rsid w:val="001368B0"/>
    <w:rsid w:val="00136B1C"/>
    <w:rsid w:val="00140E87"/>
    <w:rsid w:val="0014473A"/>
    <w:rsid w:val="001451CF"/>
    <w:rsid w:val="00146C1A"/>
    <w:rsid w:val="00146D4F"/>
    <w:rsid w:val="00147B12"/>
    <w:rsid w:val="001510CB"/>
    <w:rsid w:val="00151894"/>
    <w:rsid w:val="001537BE"/>
    <w:rsid w:val="001545DC"/>
    <w:rsid w:val="00156917"/>
    <w:rsid w:val="001573D2"/>
    <w:rsid w:val="00163CE2"/>
    <w:rsid w:val="001643C3"/>
    <w:rsid w:val="00165666"/>
    <w:rsid w:val="0016580A"/>
    <w:rsid w:val="00167AED"/>
    <w:rsid w:val="00172528"/>
    <w:rsid w:val="00177B15"/>
    <w:rsid w:val="00183688"/>
    <w:rsid w:val="00186B44"/>
    <w:rsid w:val="001872ED"/>
    <w:rsid w:val="00187FA7"/>
    <w:rsid w:val="001940CF"/>
    <w:rsid w:val="00194FBA"/>
    <w:rsid w:val="0019524F"/>
    <w:rsid w:val="0019610F"/>
    <w:rsid w:val="00196DA1"/>
    <w:rsid w:val="00196ECE"/>
    <w:rsid w:val="00197ED3"/>
    <w:rsid w:val="001A2BB5"/>
    <w:rsid w:val="001A6281"/>
    <w:rsid w:val="001A667E"/>
    <w:rsid w:val="001A6E83"/>
    <w:rsid w:val="001B0AF1"/>
    <w:rsid w:val="001B1B37"/>
    <w:rsid w:val="001B3927"/>
    <w:rsid w:val="001B45E3"/>
    <w:rsid w:val="001B5F95"/>
    <w:rsid w:val="001B6BBC"/>
    <w:rsid w:val="001B6D41"/>
    <w:rsid w:val="001C04AD"/>
    <w:rsid w:val="001C175B"/>
    <w:rsid w:val="001C52A5"/>
    <w:rsid w:val="001C63CA"/>
    <w:rsid w:val="001C69CD"/>
    <w:rsid w:val="001D3205"/>
    <w:rsid w:val="001D48E1"/>
    <w:rsid w:val="001D62FF"/>
    <w:rsid w:val="001E5831"/>
    <w:rsid w:val="001F0542"/>
    <w:rsid w:val="001F37B4"/>
    <w:rsid w:val="001F3AE5"/>
    <w:rsid w:val="001F5FF2"/>
    <w:rsid w:val="001F6102"/>
    <w:rsid w:val="001F7BA0"/>
    <w:rsid w:val="0020196C"/>
    <w:rsid w:val="00203939"/>
    <w:rsid w:val="00204847"/>
    <w:rsid w:val="002065DA"/>
    <w:rsid w:val="00206846"/>
    <w:rsid w:val="00206AB5"/>
    <w:rsid w:val="0021155C"/>
    <w:rsid w:val="002119CA"/>
    <w:rsid w:val="00213432"/>
    <w:rsid w:val="00214BD1"/>
    <w:rsid w:val="00220F02"/>
    <w:rsid w:val="0022177D"/>
    <w:rsid w:val="002236F2"/>
    <w:rsid w:val="00223C6C"/>
    <w:rsid w:val="00223E72"/>
    <w:rsid w:val="0022538B"/>
    <w:rsid w:val="00225BAD"/>
    <w:rsid w:val="0022612E"/>
    <w:rsid w:val="002311D8"/>
    <w:rsid w:val="002334D2"/>
    <w:rsid w:val="00236602"/>
    <w:rsid w:val="00237C1B"/>
    <w:rsid w:val="002402C9"/>
    <w:rsid w:val="002408F9"/>
    <w:rsid w:val="00240D50"/>
    <w:rsid w:val="00240F44"/>
    <w:rsid w:val="00241340"/>
    <w:rsid w:val="002432A7"/>
    <w:rsid w:val="002458D4"/>
    <w:rsid w:val="00251664"/>
    <w:rsid w:val="00254F94"/>
    <w:rsid w:val="00255F10"/>
    <w:rsid w:val="00256A77"/>
    <w:rsid w:val="00256C3E"/>
    <w:rsid w:val="002607BB"/>
    <w:rsid w:val="00260A63"/>
    <w:rsid w:val="00260C23"/>
    <w:rsid w:val="002655E6"/>
    <w:rsid w:val="00270D02"/>
    <w:rsid w:val="00272EB9"/>
    <w:rsid w:val="00274CE9"/>
    <w:rsid w:val="00274E14"/>
    <w:rsid w:val="00275023"/>
    <w:rsid w:val="00276061"/>
    <w:rsid w:val="00276BF3"/>
    <w:rsid w:val="00277051"/>
    <w:rsid w:val="0028154D"/>
    <w:rsid w:val="002824BA"/>
    <w:rsid w:val="002852F7"/>
    <w:rsid w:val="00285F23"/>
    <w:rsid w:val="00286F72"/>
    <w:rsid w:val="002917C0"/>
    <w:rsid w:val="002953AA"/>
    <w:rsid w:val="002967B4"/>
    <w:rsid w:val="002975AB"/>
    <w:rsid w:val="002A33A3"/>
    <w:rsid w:val="002A6C44"/>
    <w:rsid w:val="002A6F46"/>
    <w:rsid w:val="002B07DA"/>
    <w:rsid w:val="002B0DA7"/>
    <w:rsid w:val="002B17E6"/>
    <w:rsid w:val="002B31EB"/>
    <w:rsid w:val="002B3544"/>
    <w:rsid w:val="002B479B"/>
    <w:rsid w:val="002B742F"/>
    <w:rsid w:val="002C3261"/>
    <w:rsid w:val="002C33BE"/>
    <w:rsid w:val="002D66FE"/>
    <w:rsid w:val="002E688E"/>
    <w:rsid w:val="002E758D"/>
    <w:rsid w:val="002F0D3C"/>
    <w:rsid w:val="002F26C7"/>
    <w:rsid w:val="002F41CE"/>
    <w:rsid w:val="002F4E3C"/>
    <w:rsid w:val="002F6FAB"/>
    <w:rsid w:val="002F7D43"/>
    <w:rsid w:val="003004F3"/>
    <w:rsid w:val="00301102"/>
    <w:rsid w:val="003016BA"/>
    <w:rsid w:val="00304BA7"/>
    <w:rsid w:val="00311345"/>
    <w:rsid w:val="0031548F"/>
    <w:rsid w:val="00317719"/>
    <w:rsid w:val="00317F3E"/>
    <w:rsid w:val="00317F6A"/>
    <w:rsid w:val="00323D7D"/>
    <w:rsid w:val="00325E1E"/>
    <w:rsid w:val="00325EAA"/>
    <w:rsid w:val="00331077"/>
    <w:rsid w:val="00331826"/>
    <w:rsid w:val="00332C4F"/>
    <w:rsid w:val="00333650"/>
    <w:rsid w:val="003342CC"/>
    <w:rsid w:val="00334AB5"/>
    <w:rsid w:val="003351E2"/>
    <w:rsid w:val="003374C7"/>
    <w:rsid w:val="00337969"/>
    <w:rsid w:val="00341AF8"/>
    <w:rsid w:val="00343539"/>
    <w:rsid w:val="00344E8B"/>
    <w:rsid w:val="00351416"/>
    <w:rsid w:val="0035696D"/>
    <w:rsid w:val="00363998"/>
    <w:rsid w:val="00363B70"/>
    <w:rsid w:val="00364CF9"/>
    <w:rsid w:val="00365C2E"/>
    <w:rsid w:val="003665E2"/>
    <w:rsid w:val="00367564"/>
    <w:rsid w:val="00371ACB"/>
    <w:rsid w:val="00371CA0"/>
    <w:rsid w:val="003766CF"/>
    <w:rsid w:val="00380656"/>
    <w:rsid w:val="00381F17"/>
    <w:rsid w:val="00382606"/>
    <w:rsid w:val="00384705"/>
    <w:rsid w:val="003849D0"/>
    <w:rsid w:val="0039375D"/>
    <w:rsid w:val="0039430B"/>
    <w:rsid w:val="003944DF"/>
    <w:rsid w:val="00395A3D"/>
    <w:rsid w:val="003B53A4"/>
    <w:rsid w:val="003B5C58"/>
    <w:rsid w:val="003C0A9C"/>
    <w:rsid w:val="003C1152"/>
    <w:rsid w:val="003C3482"/>
    <w:rsid w:val="003C40CB"/>
    <w:rsid w:val="003C758C"/>
    <w:rsid w:val="003C75F6"/>
    <w:rsid w:val="003D3061"/>
    <w:rsid w:val="003D36E4"/>
    <w:rsid w:val="003D7326"/>
    <w:rsid w:val="003D7638"/>
    <w:rsid w:val="003E10B1"/>
    <w:rsid w:val="003E18BF"/>
    <w:rsid w:val="003E219B"/>
    <w:rsid w:val="003E3787"/>
    <w:rsid w:val="003E4FD8"/>
    <w:rsid w:val="003E5FDC"/>
    <w:rsid w:val="003E7140"/>
    <w:rsid w:val="003F1342"/>
    <w:rsid w:val="003F149D"/>
    <w:rsid w:val="003F23A3"/>
    <w:rsid w:val="003F3997"/>
    <w:rsid w:val="003F3A99"/>
    <w:rsid w:val="003F48CF"/>
    <w:rsid w:val="003F6446"/>
    <w:rsid w:val="003F6529"/>
    <w:rsid w:val="00401553"/>
    <w:rsid w:val="00402EF9"/>
    <w:rsid w:val="00407733"/>
    <w:rsid w:val="004077E4"/>
    <w:rsid w:val="004108AF"/>
    <w:rsid w:val="00411032"/>
    <w:rsid w:val="0041611B"/>
    <w:rsid w:val="004178C1"/>
    <w:rsid w:val="0042117B"/>
    <w:rsid w:val="004231F5"/>
    <w:rsid w:val="00423AD4"/>
    <w:rsid w:val="004248A2"/>
    <w:rsid w:val="00426B63"/>
    <w:rsid w:val="0043149E"/>
    <w:rsid w:val="00432F98"/>
    <w:rsid w:val="00441904"/>
    <w:rsid w:val="00443C5E"/>
    <w:rsid w:val="00445650"/>
    <w:rsid w:val="0044732A"/>
    <w:rsid w:val="0045022F"/>
    <w:rsid w:val="004512DA"/>
    <w:rsid w:val="00453A69"/>
    <w:rsid w:val="00454B57"/>
    <w:rsid w:val="00454E36"/>
    <w:rsid w:val="0045540B"/>
    <w:rsid w:val="00455762"/>
    <w:rsid w:val="0045722A"/>
    <w:rsid w:val="00457FFE"/>
    <w:rsid w:val="00460252"/>
    <w:rsid w:val="00470E5F"/>
    <w:rsid w:val="00472173"/>
    <w:rsid w:val="0047437F"/>
    <w:rsid w:val="004812BB"/>
    <w:rsid w:val="00481CE9"/>
    <w:rsid w:val="00482BBD"/>
    <w:rsid w:val="00482ED6"/>
    <w:rsid w:val="00484CE5"/>
    <w:rsid w:val="004855B0"/>
    <w:rsid w:val="00485E91"/>
    <w:rsid w:val="004869DD"/>
    <w:rsid w:val="004922F7"/>
    <w:rsid w:val="00494DF0"/>
    <w:rsid w:val="00496DE7"/>
    <w:rsid w:val="0049740F"/>
    <w:rsid w:val="004975DC"/>
    <w:rsid w:val="00497AC8"/>
    <w:rsid w:val="004A0D86"/>
    <w:rsid w:val="004A2FA2"/>
    <w:rsid w:val="004A34DA"/>
    <w:rsid w:val="004A57D0"/>
    <w:rsid w:val="004B075D"/>
    <w:rsid w:val="004B354B"/>
    <w:rsid w:val="004B3DDC"/>
    <w:rsid w:val="004B509C"/>
    <w:rsid w:val="004B5FD3"/>
    <w:rsid w:val="004B7E75"/>
    <w:rsid w:val="004C07F2"/>
    <w:rsid w:val="004C2FA4"/>
    <w:rsid w:val="004C5C08"/>
    <w:rsid w:val="004D1087"/>
    <w:rsid w:val="004D1336"/>
    <w:rsid w:val="004D154A"/>
    <w:rsid w:val="004D284B"/>
    <w:rsid w:val="004D60A8"/>
    <w:rsid w:val="004E09E0"/>
    <w:rsid w:val="004E3927"/>
    <w:rsid w:val="004E4F5F"/>
    <w:rsid w:val="004E519C"/>
    <w:rsid w:val="004E53D9"/>
    <w:rsid w:val="004E5807"/>
    <w:rsid w:val="004E648A"/>
    <w:rsid w:val="004F171C"/>
    <w:rsid w:val="004F2756"/>
    <w:rsid w:val="004F36CE"/>
    <w:rsid w:val="004F64F6"/>
    <w:rsid w:val="005003F9"/>
    <w:rsid w:val="005036AC"/>
    <w:rsid w:val="00506366"/>
    <w:rsid w:val="00512178"/>
    <w:rsid w:val="005125C8"/>
    <w:rsid w:val="005151FE"/>
    <w:rsid w:val="0051553C"/>
    <w:rsid w:val="00516FB7"/>
    <w:rsid w:val="0052018C"/>
    <w:rsid w:val="00521ECB"/>
    <w:rsid w:val="00522621"/>
    <w:rsid w:val="00523D15"/>
    <w:rsid w:val="00524508"/>
    <w:rsid w:val="00524551"/>
    <w:rsid w:val="005258CA"/>
    <w:rsid w:val="0052591E"/>
    <w:rsid w:val="005277BB"/>
    <w:rsid w:val="00531769"/>
    <w:rsid w:val="005340D2"/>
    <w:rsid w:val="005340E5"/>
    <w:rsid w:val="005356FB"/>
    <w:rsid w:val="005360B4"/>
    <w:rsid w:val="005448AF"/>
    <w:rsid w:val="00547CF8"/>
    <w:rsid w:val="005531BB"/>
    <w:rsid w:val="00554F40"/>
    <w:rsid w:val="00557A4A"/>
    <w:rsid w:val="00561176"/>
    <w:rsid w:val="00562065"/>
    <w:rsid w:val="005652D5"/>
    <w:rsid w:val="00566A68"/>
    <w:rsid w:val="0056713F"/>
    <w:rsid w:val="00567F94"/>
    <w:rsid w:val="00572FAA"/>
    <w:rsid w:val="00576A1C"/>
    <w:rsid w:val="00577713"/>
    <w:rsid w:val="00581F1F"/>
    <w:rsid w:val="00583F49"/>
    <w:rsid w:val="00586AB9"/>
    <w:rsid w:val="00587193"/>
    <w:rsid w:val="00587660"/>
    <w:rsid w:val="00593A67"/>
    <w:rsid w:val="0059518A"/>
    <w:rsid w:val="00595445"/>
    <w:rsid w:val="005A09DE"/>
    <w:rsid w:val="005A0A09"/>
    <w:rsid w:val="005A1791"/>
    <w:rsid w:val="005A4F32"/>
    <w:rsid w:val="005A767A"/>
    <w:rsid w:val="005A7D09"/>
    <w:rsid w:val="005B18AD"/>
    <w:rsid w:val="005B18B1"/>
    <w:rsid w:val="005B1F5E"/>
    <w:rsid w:val="005B2AC8"/>
    <w:rsid w:val="005B2E57"/>
    <w:rsid w:val="005C3988"/>
    <w:rsid w:val="005C3E7E"/>
    <w:rsid w:val="005C4B31"/>
    <w:rsid w:val="005C7344"/>
    <w:rsid w:val="005D091A"/>
    <w:rsid w:val="005D24AD"/>
    <w:rsid w:val="005D76F4"/>
    <w:rsid w:val="005D7AEA"/>
    <w:rsid w:val="005E11EF"/>
    <w:rsid w:val="005E3C48"/>
    <w:rsid w:val="005E4597"/>
    <w:rsid w:val="005F01CF"/>
    <w:rsid w:val="00601D17"/>
    <w:rsid w:val="006038ED"/>
    <w:rsid w:val="006041EA"/>
    <w:rsid w:val="00604739"/>
    <w:rsid w:val="00605370"/>
    <w:rsid w:val="00605944"/>
    <w:rsid w:val="006102FA"/>
    <w:rsid w:val="00610C73"/>
    <w:rsid w:val="00612045"/>
    <w:rsid w:val="0061376C"/>
    <w:rsid w:val="0062378C"/>
    <w:rsid w:val="006241BE"/>
    <w:rsid w:val="00632B2F"/>
    <w:rsid w:val="00632DF4"/>
    <w:rsid w:val="006338DD"/>
    <w:rsid w:val="00635EFA"/>
    <w:rsid w:val="00637B97"/>
    <w:rsid w:val="00641F1B"/>
    <w:rsid w:val="00642A4B"/>
    <w:rsid w:val="00643ECA"/>
    <w:rsid w:val="0064513B"/>
    <w:rsid w:val="006475E0"/>
    <w:rsid w:val="00650983"/>
    <w:rsid w:val="00651166"/>
    <w:rsid w:val="00656638"/>
    <w:rsid w:val="00657843"/>
    <w:rsid w:val="00657857"/>
    <w:rsid w:val="00657D78"/>
    <w:rsid w:val="00660B34"/>
    <w:rsid w:val="00663A65"/>
    <w:rsid w:val="00665411"/>
    <w:rsid w:val="006718D1"/>
    <w:rsid w:val="00674E7B"/>
    <w:rsid w:val="00676BF6"/>
    <w:rsid w:val="00677D8C"/>
    <w:rsid w:val="00682D47"/>
    <w:rsid w:val="00684999"/>
    <w:rsid w:val="00684FD7"/>
    <w:rsid w:val="00690918"/>
    <w:rsid w:val="00695A68"/>
    <w:rsid w:val="006A0BA9"/>
    <w:rsid w:val="006A1E56"/>
    <w:rsid w:val="006B0D65"/>
    <w:rsid w:val="006B30B1"/>
    <w:rsid w:val="006B33CF"/>
    <w:rsid w:val="006B4833"/>
    <w:rsid w:val="006C530D"/>
    <w:rsid w:val="006C54A3"/>
    <w:rsid w:val="006D2C62"/>
    <w:rsid w:val="006D39BF"/>
    <w:rsid w:val="006D53E0"/>
    <w:rsid w:val="006E08E0"/>
    <w:rsid w:val="006E228E"/>
    <w:rsid w:val="006E24C4"/>
    <w:rsid w:val="006E2CFF"/>
    <w:rsid w:val="006E336C"/>
    <w:rsid w:val="006E3DDF"/>
    <w:rsid w:val="006E4FBB"/>
    <w:rsid w:val="006E56D0"/>
    <w:rsid w:val="006E5B7F"/>
    <w:rsid w:val="006E661A"/>
    <w:rsid w:val="006F3A08"/>
    <w:rsid w:val="006F3B7C"/>
    <w:rsid w:val="00701D9C"/>
    <w:rsid w:val="0070231F"/>
    <w:rsid w:val="0070464E"/>
    <w:rsid w:val="00704ACC"/>
    <w:rsid w:val="00706AC8"/>
    <w:rsid w:val="007115B3"/>
    <w:rsid w:val="00713152"/>
    <w:rsid w:val="0071413B"/>
    <w:rsid w:val="0071688D"/>
    <w:rsid w:val="00717BF9"/>
    <w:rsid w:val="007213B8"/>
    <w:rsid w:val="00724765"/>
    <w:rsid w:val="00724A2F"/>
    <w:rsid w:val="00724BE3"/>
    <w:rsid w:val="0072504E"/>
    <w:rsid w:val="00725180"/>
    <w:rsid w:val="00725C22"/>
    <w:rsid w:val="00726546"/>
    <w:rsid w:val="00726C2E"/>
    <w:rsid w:val="007361B4"/>
    <w:rsid w:val="007403E9"/>
    <w:rsid w:val="0074155B"/>
    <w:rsid w:val="00741D85"/>
    <w:rsid w:val="007438C1"/>
    <w:rsid w:val="00743918"/>
    <w:rsid w:val="00743E10"/>
    <w:rsid w:val="0074776D"/>
    <w:rsid w:val="00753226"/>
    <w:rsid w:val="007536AB"/>
    <w:rsid w:val="00754885"/>
    <w:rsid w:val="00755058"/>
    <w:rsid w:val="007557ED"/>
    <w:rsid w:val="007566C3"/>
    <w:rsid w:val="007574AC"/>
    <w:rsid w:val="007616E1"/>
    <w:rsid w:val="00763D29"/>
    <w:rsid w:val="0076474C"/>
    <w:rsid w:val="00764847"/>
    <w:rsid w:val="0076507E"/>
    <w:rsid w:val="00770583"/>
    <w:rsid w:val="00771E94"/>
    <w:rsid w:val="00774874"/>
    <w:rsid w:val="00774B4F"/>
    <w:rsid w:val="00775522"/>
    <w:rsid w:val="00775B70"/>
    <w:rsid w:val="007804EE"/>
    <w:rsid w:val="00786139"/>
    <w:rsid w:val="0078648A"/>
    <w:rsid w:val="00790A59"/>
    <w:rsid w:val="00790F4C"/>
    <w:rsid w:val="00791C5F"/>
    <w:rsid w:val="00793630"/>
    <w:rsid w:val="00793AC2"/>
    <w:rsid w:val="0079697C"/>
    <w:rsid w:val="007A01B9"/>
    <w:rsid w:val="007A124D"/>
    <w:rsid w:val="007A1641"/>
    <w:rsid w:val="007A4649"/>
    <w:rsid w:val="007A7404"/>
    <w:rsid w:val="007A7E75"/>
    <w:rsid w:val="007B0339"/>
    <w:rsid w:val="007B2069"/>
    <w:rsid w:val="007B2B08"/>
    <w:rsid w:val="007B3ABD"/>
    <w:rsid w:val="007B3BD2"/>
    <w:rsid w:val="007B5312"/>
    <w:rsid w:val="007B6228"/>
    <w:rsid w:val="007B71AE"/>
    <w:rsid w:val="007C6232"/>
    <w:rsid w:val="007D0B26"/>
    <w:rsid w:val="007D1D3E"/>
    <w:rsid w:val="007D2BA3"/>
    <w:rsid w:val="007D5FFC"/>
    <w:rsid w:val="007D6613"/>
    <w:rsid w:val="007D775C"/>
    <w:rsid w:val="007E03A3"/>
    <w:rsid w:val="007E0E5F"/>
    <w:rsid w:val="007E2DB1"/>
    <w:rsid w:val="007E3484"/>
    <w:rsid w:val="007E4C1B"/>
    <w:rsid w:val="007E5030"/>
    <w:rsid w:val="007F5274"/>
    <w:rsid w:val="0080070B"/>
    <w:rsid w:val="00804927"/>
    <w:rsid w:val="00806164"/>
    <w:rsid w:val="0081018E"/>
    <w:rsid w:val="00811E42"/>
    <w:rsid w:val="00812142"/>
    <w:rsid w:val="00812A8F"/>
    <w:rsid w:val="0081304D"/>
    <w:rsid w:val="00813BEE"/>
    <w:rsid w:val="008165EB"/>
    <w:rsid w:val="00821973"/>
    <w:rsid w:val="00822355"/>
    <w:rsid w:val="00823DC9"/>
    <w:rsid w:val="00826419"/>
    <w:rsid w:val="00826C87"/>
    <w:rsid w:val="00830F8E"/>
    <w:rsid w:val="00831C14"/>
    <w:rsid w:val="00832063"/>
    <w:rsid w:val="00832842"/>
    <w:rsid w:val="00832B1B"/>
    <w:rsid w:val="0084222F"/>
    <w:rsid w:val="0084229C"/>
    <w:rsid w:val="0084326A"/>
    <w:rsid w:val="00844CDF"/>
    <w:rsid w:val="008467B1"/>
    <w:rsid w:val="00846AF3"/>
    <w:rsid w:val="0085132A"/>
    <w:rsid w:val="00851AF1"/>
    <w:rsid w:val="008528CA"/>
    <w:rsid w:val="00853C2E"/>
    <w:rsid w:val="0085696E"/>
    <w:rsid w:val="00857CC1"/>
    <w:rsid w:val="00860381"/>
    <w:rsid w:val="0086108A"/>
    <w:rsid w:val="0086284A"/>
    <w:rsid w:val="00863003"/>
    <w:rsid w:val="00863614"/>
    <w:rsid w:val="0086384C"/>
    <w:rsid w:val="00870B2C"/>
    <w:rsid w:val="00870C01"/>
    <w:rsid w:val="00872E7F"/>
    <w:rsid w:val="00874E1A"/>
    <w:rsid w:val="00875A9F"/>
    <w:rsid w:val="00876BCF"/>
    <w:rsid w:val="00877585"/>
    <w:rsid w:val="00877719"/>
    <w:rsid w:val="00880A22"/>
    <w:rsid w:val="00880C1B"/>
    <w:rsid w:val="00881865"/>
    <w:rsid w:val="008911E2"/>
    <w:rsid w:val="0089184D"/>
    <w:rsid w:val="00892239"/>
    <w:rsid w:val="008936DF"/>
    <w:rsid w:val="008947D1"/>
    <w:rsid w:val="00895C10"/>
    <w:rsid w:val="0089724A"/>
    <w:rsid w:val="008977EA"/>
    <w:rsid w:val="008A0157"/>
    <w:rsid w:val="008A1817"/>
    <w:rsid w:val="008A28C3"/>
    <w:rsid w:val="008A4867"/>
    <w:rsid w:val="008A6CDC"/>
    <w:rsid w:val="008B0CCF"/>
    <w:rsid w:val="008B10A2"/>
    <w:rsid w:val="008B301C"/>
    <w:rsid w:val="008B4D09"/>
    <w:rsid w:val="008B7A9E"/>
    <w:rsid w:val="008C038F"/>
    <w:rsid w:val="008C08D2"/>
    <w:rsid w:val="008C240A"/>
    <w:rsid w:val="008C51A2"/>
    <w:rsid w:val="008D45A3"/>
    <w:rsid w:val="008E028D"/>
    <w:rsid w:val="008E099D"/>
    <w:rsid w:val="008E0AE5"/>
    <w:rsid w:val="008E0BBA"/>
    <w:rsid w:val="008E2616"/>
    <w:rsid w:val="008E3855"/>
    <w:rsid w:val="008E744E"/>
    <w:rsid w:val="008F0842"/>
    <w:rsid w:val="008F280F"/>
    <w:rsid w:val="008F425A"/>
    <w:rsid w:val="008F4B14"/>
    <w:rsid w:val="008F5000"/>
    <w:rsid w:val="009001AA"/>
    <w:rsid w:val="009006CF"/>
    <w:rsid w:val="009013FB"/>
    <w:rsid w:val="00904182"/>
    <w:rsid w:val="00904CDB"/>
    <w:rsid w:val="00906D95"/>
    <w:rsid w:val="0090730C"/>
    <w:rsid w:val="00915E61"/>
    <w:rsid w:val="00916CDB"/>
    <w:rsid w:val="00920F7E"/>
    <w:rsid w:val="00923329"/>
    <w:rsid w:val="00926061"/>
    <w:rsid w:val="00927321"/>
    <w:rsid w:val="0092775C"/>
    <w:rsid w:val="0093004A"/>
    <w:rsid w:val="009323C8"/>
    <w:rsid w:val="0093262C"/>
    <w:rsid w:val="009341C7"/>
    <w:rsid w:val="0093473A"/>
    <w:rsid w:val="00935840"/>
    <w:rsid w:val="00937073"/>
    <w:rsid w:val="0093786F"/>
    <w:rsid w:val="0094118E"/>
    <w:rsid w:val="00941376"/>
    <w:rsid w:val="0094174E"/>
    <w:rsid w:val="00943F30"/>
    <w:rsid w:val="0095178A"/>
    <w:rsid w:val="00954C3D"/>
    <w:rsid w:val="009562CE"/>
    <w:rsid w:val="00966E1E"/>
    <w:rsid w:val="00970FF8"/>
    <w:rsid w:val="00972D20"/>
    <w:rsid w:val="00980950"/>
    <w:rsid w:val="00981212"/>
    <w:rsid w:val="009815B3"/>
    <w:rsid w:val="0098434C"/>
    <w:rsid w:val="00984FBA"/>
    <w:rsid w:val="009876E1"/>
    <w:rsid w:val="00991B94"/>
    <w:rsid w:val="00993681"/>
    <w:rsid w:val="00996343"/>
    <w:rsid w:val="009A17E1"/>
    <w:rsid w:val="009A219D"/>
    <w:rsid w:val="009A2A1A"/>
    <w:rsid w:val="009A3977"/>
    <w:rsid w:val="009A3FD9"/>
    <w:rsid w:val="009A7F95"/>
    <w:rsid w:val="009B2426"/>
    <w:rsid w:val="009B26D2"/>
    <w:rsid w:val="009C08A5"/>
    <w:rsid w:val="009C0A77"/>
    <w:rsid w:val="009C1A65"/>
    <w:rsid w:val="009C2123"/>
    <w:rsid w:val="009C42EA"/>
    <w:rsid w:val="009C46E1"/>
    <w:rsid w:val="009C5336"/>
    <w:rsid w:val="009C67A1"/>
    <w:rsid w:val="009D15EF"/>
    <w:rsid w:val="009D4558"/>
    <w:rsid w:val="009D65F3"/>
    <w:rsid w:val="009E1386"/>
    <w:rsid w:val="009E36F4"/>
    <w:rsid w:val="009E3F5E"/>
    <w:rsid w:val="009E72AE"/>
    <w:rsid w:val="009F36AC"/>
    <w:rsid w:val="009F5646"/>
    <w:rsid w:val="009F5999"/>
    <w:rsid w:val="009F6261"/>
    <w:rsid w:val="009F6A5D"/>
    <w:rsid w:val="00A04A76"/>
    <w:rsid w:val="00A06C1B"/>
    <w:rsid w:val="00A06F74"/>
    <w:rsid w:val="00A07E77"/>
    <w:rsid w:val="00A1095A"/>
    <w:rsid w:val="00A13549"/>
    <w:rsid w:val="00A137C7"/>
    <w:rsid w:val="00A14996"/>
    <w:rsid w:val="00A20553"/>
    <w:rsid w:val="00A240D1"/>
    <w:rsid w:val="00A250CF"/>
    <w:rsid w:val="00A263FE"/>
    <w:rsid w:val="00A30D61"/>
    <w:rsid w:val="00A31AEC"/>
    <w:rsid w:val="00A33E89"/>
    <w:rsid w:val="00A340E7"/>
    <w:rsid w:val="00A3550E"/>
    <w:rsid w:val="00A35684"/>
    <w:rsid w:val="00A36F51"/>
    <w:rsid w:val="00A37156"/>
    <w:rsid w:val="00A40F38"/>
    <w:rsid w:val="00A44CFF"/>
    <w:rsid w:val="00A5028C"/>
    <w:rsid w:val="00A50D81"/>
    <w:rsid w:val="00A535AE"/>
    <w:rsid w:val="00A53754"/>
    <w:rsid w:val="00A60401"/>
    <w:rsid w:val="00A60F90"/>
    <w:rsid w:val="00A62EA8"/>
    <w:rsid w:val="00A63265"/>
    <w:rsid w:val="00A652A4"/>
    <w:rsid w:val="00A71088"/>
    <w:rsid w:val="00A711C5"/>
    <w:rsid w:val="00A716F0"/>
    <w:rsid w:val="00A72910"/>
    <w:rsid w:val="00A764B8"/>
    <w:rsid w:val="00A80820"/>
    <w:rsid w:val="00A87296"/>
    <w:rsid w:val="00A91D95"/>
    <w:rsid w:val="00A91EC6"/>
    <w:rsid w:val="00A938A4"/>
    <w:rsid w:val="00A93CEC"/>
    <w:rsid w:val="00A94DF5"/>
    <w:rsid w:val="00A9560A"/>
    <w:rsid w:val="00AA1F2E"/>
    <w:rsid w:val="00AA3A1F"/>
    <w:rsid w:val="00AB3960"/>
    <w:rsid w:val="00AB4AF8"/>
    <w:rsid w:val="00AB5729"/>
    <w:rsid w:val="00AB78A2"/>
    <w:rsid w:val="00AB7B4A"/>
    <w:rsid w:val="00AC16D0"/>
    <w:rsid w:val="00AC1E5C"/>
    <w:rsid w:val="00AC5718"/>
    <w:rsid w:val="00AD0852"/>
    <w:rsid w:val="00AD0EC3"/>
    <w:rsid w:val="00AD2AB6"/>
    <w:rsid w:val="00AD3039"/>
    <w:rsid w:val="00AD3149"/>
    <w:rsid w:val="00AE10D8"/>
    <w:rsid w:val="00AE52FB"/>
    <w:rsid w:val="00AE67DB"/>
    <w:rsid w:val="00AF18C1"/>
    <w:rsid w:val="00AF3C0D"/>
    <w:rsid w:val="00B05A9F"/>
    <w:rsid w:val="00B06FCE"/>
    <w:rsid w:val="00B15BDE"/>
    <w:rsid w:val="00B17E31"/>
    <w:rsid w:val="00B24AD6"/>
    <w:rsid w:val="00B25E78"/>
    <w:rsid w:val="00B26F31"/>
    <w:rsid w:val="00B27119"/>
    <w:rsid w:val="00B32989"/>
    <w:rsid w:val="00B33009"/>
    <w:rsid w:val="00B33351"/>
    <w:rsid w:val="00B33A52"/>
    <w:rsid w:val="00B353D0"/>
    <w:rsid w:val="00B35896"/>
    <w:rsid w:val="00B359C8"/>
    <w:rsid w:val="00B36674"/>
    <w:rsid w:val="00B40DD6"/>
    <w:rsid w:val="00B42B97"/>
    <w:rsid w:val="00B43076"/>
    <w:rsid w:val="00B431F5"/>
    <w:rsid w:val="00B47E72"/>
    <w:rsid w:val="00B519EB"/>
    <w:rsid w:val="00B5252A"/>
    <w:rsid w:val="00B53963"/>
    <w:rsid w:val="00B548F5"/>
    <w:rsid w:val="00B552AC"/>
    <w:rsid w:val="00B557A2"/>
    <w:rsid w:val="00B63701"/>
    <w:rsid w:val="00B6414C"/>
    <w:rsid w:val="00B64498"/>
    <w:rsid w:val="00B64684"/>
    <w:rsid w:val="00B65B15"/>
    <w:rsid w:val="00B674B3"/>
    <w:rsid w:val="00B72075"/>
    <w:rsid w:val="00B727D0"/>
    <w:rsid w:val="00B72DEA"/>
    <w:rsid w:val="00B736C4"/>
    <w:rsid w:val="00B762E2"/>
    <w:rsid w:val="00B7677C"/>
    <w:rsid w:val="00B81691"/>
    <w:rsid w:val="00B84DF8"/>
    <w:rsid w:val="00B85CE2"/>
    <w:rsid w:val="00B862A0"/>
    <w:rsid w:val="00B87765"/>
    <w:rsid w:val="00B95EE1"/>
    <w:rsid w:val="00B96A18"/>
    <w:rsid w:val="00B9705D"/>
    <w:rsid w:val="00B970E2"/>
    <w:rsid w:val="00BA1839"/>
    <w:rsid w:val="00BA1942"/>
    <w:rsid w:val="00BA25B9"/>
    <w:rsid w:val="00BA69E4"/>
    <w:rsid w:val="00BB18B0"/>
    <w:rsid w:val="00BB3638"/>
    <w:rsid w:val="00BB3711"/>
    <w:rsid w:val="00BB4EC6"/>
    <w:rsid w:val="00BC08BB"/>
    <w:rsid w:val="00BC0A5C"/>
    <w:rsid w:val="00BC2079"/>
    <w:rsid w:val="00BC30F9"/>
    <w:rsid w:val="00BC38AB"/>
    <w:rsid w:val="00BC3CAE"/>
    <w:rsid w:val="00BC5041"/>
    <w:rsid w:val="00BC7033"/>
    <w:rsid w:val="00BD2CEF"/>
    <w:rsid w:val="00BE0243"/>
    <w:rsid w:val="00BE0725"/>
    <w:rsid w:val="00BE07E6"/>
    <w:rsid w:val="00BE4196"/>
    <w:rsid w:val="00BE511B"/>
    <w:rsid w:val="00BF03C1"/>
    <w:rsid w:val="00BF0563"/>
    <w:rsid w:val="00BF562B"/>
    <w:rsid w:val="00C00DB7"/>
    <w:rsid w:val="00C022B3"/>
    <w:rsid w:val="00C04BCD"/>
    <w:rsid w:val="00C100AE"/>
    <w:rsid w:val="00C103AA"/>
    <w:rsid w:val="00C117C7"/>
    <w:rsid w:val="00C15A23"/>
    <w:rsid w:val="00C16F6F"/>
    <w:rsid w:val="00C17AB8"/>
    <w:rsid w:val="00C22A5A"/>
    <w:rsid w:val="00C2468F"/>
    <w:rsid w:val="00C25F6D"/>
    <w:rsid w:val="00C26DCE"/>
    <w:rsid w:val="00C27045"/>
    <w:rsid w:val="00C270FC"/>
    <w:rsid w:val="00C32F22"/>
    <w:rsid w:val="00C34B02"/>
    <w:rsid w:val="00C35214"/>
    <w:rsid w:val="00C3788A"/>
    <w:rsid w:val="00C37D89"/>
    <w:rsid w:val="00C43B6F"/>
    <w:rsid w:val="00C467AF"/>
    <w:rsid w:val="00C468EA"/>
    <w:rsid w:val="00C519ED"/>
    <w:rsid w:val="00C5699E"/>
    <w:rsid w:val="00C5783A"/>
    <w:rsid w:val="00C57BC6"/>
    <w:rsid w:val="00C6001B"/>
    <w:rsid w:val="00C61A19"/>
    <w:rsid w:val="00C62540"/>
    <w:rsid w:val="00C63597"/>
    <w:rsid w:val="00C63723"/>
    <w:rsid w:val="00C63A2D"/>
    <w:rsid w:val="00C65BA7"/>
    <w:rsid w:val="00C66416"/>
    <w:rsid w:val="00C66CB9"/>
    <w:rsid w:val="00C67BC5"/>
    <w:rsid w:val="00C701FC"/>
    <w:rsid w:val="00C70E6F"/>
    <w:rsid w:val="00C70F0E"/>
    <w:rsid w:val="00C71A5C"/>
    <w:rsid w:val="00C726F5"/>
    <w:rsid w:val="00C72941"/>
    <w:rsid w:val="00C729AF"/>
    <w:rsid w:val="00C737E6"/>
    <w:rsid w:val="00C7539B"/>
    <w:rsid w:val="00C81D0A"/>
    <w:rsid w:val="00C81F43"/>
    <w:rsid w:val="00C83D6D"/>
    <w:rsid w:val="00C853E3"/>
    <w:rsid w:val="00C85F7D"/>
    <w:rsid w:val="00C8640C"/>
    <w:rsid w:val="00C9144E"/>
    <w:rsid w:val="00C92524"/>
    <w:rsid w:val="00C93151"/>
    <w:rsid w:val="00C96B5A"/>
    <w:rsid w:val="00CA28C7"/>
    <w:rsid w:val="00CA4CAF"/>
    <w:rsid w:val="00CA4D64"/>
    <w:rsid w:val="00CA5AA6"/>
    <w:rsid w:val="00CB213F"/>
    <w:rsid w:val="00CC0E52"/>
    <w:rsid w:val="00CC1CE0"/>
    <w:rsid w:val="00CC1E46"/>
    <w:rsid w:val="00CC2731"/>
    <w:rsid w:val="00CC2CCC"/>
    <w:rsid w:val="00CC58EF"/>
    <w:rsid w:val="00CD2115"/>
    <w:rsid w:val="00CD29C4"/>
    <w:rsid w:val="00CD39B5"/>
    <w:rsid w:val="00CD4D55"/>
    <w:rsid w:val="00CD5B6E"/>
    <w:rsid w:val="00CD680C"/>
    <w:rsid w:val="00CE2E1B"/>
    <w:rsid w:val="00CE54E3"/>
    <w:rsid w:val="00CE6A6A"/>
    <w:rsid w:val="00CF2087"/>
    <w:rsid w:val="00CF2894"/>
    <w:rsid w:val="00CF34A8"/>
    <w:rsid w:val="00CF3670"/>
    <w:rsid w:val="00CF496A"/>
    <w:rsid w:val="00D0027D"/>
    <w:rsid w:val="00D02406"/>
    <w:rsid w:val="00D03AF6"/>
    <w:rsid w:val="00D042F2"/>
    <w:rsid w:val="00D051A1"/>
    <w:rsid w:val="00D06E1D"/>
    <w:rsid w:val="00D07C08"/>
    <w:rsid w:val="00D11FC3"/>
    <w:rsid w:val="00D12A2A"/>
    <w:rsid w:val="00D13AE5"/>
    <w:rsid w:val="00D1449C"/>
    <w:rsid w:val="00D2214A"/>
    <w:rsid w:val="00D23C04"/>
    <w:rsid w:val="00D26757"/>
    <w:rsid w:val="00D27B39"/>
    <w:rsid w:val="00D31A2E"/>
    <w:rsid w:val="00D3251A"/>
    <w:rsid w:val="00D32AAE"/>
    <w:rsid w:val="00D342D1"/>
    <w:rsid w:val="00D35B5F"/>
    <w:rsid w:val="00D3703C"/>
    <w:rsid w:val="00D37CC2"/>
    <w:rsid w:val="00D40684"/>
    <w:rsid w:val="00D419B2"/>
    <w:rsid w:val="00D4418B"/>
    <w:rsid w:val="00D448E3"/>
    <w:rsid w:val="00D4720B"/>
    <w:rsid w:val="00D47B67"/>
    <w:rsid w:val="00D47EE9"/>
    <w:rsid w:val="00D514C3"/>
    <w:rsid w:val="00D54A16"/>
    <w:rsid w:val="00D57AD9"/>
    <w:rsid w:val="00D62FEB"/>
    <w:rsid w:val="00D638A5"/>
    <w:rsid w:val="00D6565D"/>
    <w:rsid w:val="00D6677F"/>
    <w:rsid w:val="00D66C9C"/>
    <w:rsid w:val="00D67A83"/>
    <w:rsid w:val="00D70A50"/>
    <w:rsid w:val="00D70E0C"/>
    <w:rsid w:val="00D733EB"/>
    <w:rsid w:val="00D73457"/>
    <w:rsid w:val="00D7434C"/>
    <w:rsid w:val="00D75E9B"/>
    <w:rsid w:val="00D7647A"/>
    <w:rsid w:val="00D76700"/>
    <w:rsid w:val="00D76BA6"/>
    <w:rsid w:val="00D77472"/>
    <w:rsid w:val="00D80627"/>
    <w:rsid w:val="00D81BD1"/>
    <w:rsid w:val="00D834C0"/>
    <w:rsid w:val="00D83B27"/>
    <w:rsid w:val="00D84418"/>
    <w:rsid w:val="00D87656"/>
    <w:rsid w:val="00D876F8"/>
    <w:rsid w:val="00D9008D"/>
    <w:rsid w:val="00D912C4"/>
    <w:rsid w:val="00D919EB"/>
    <w:rsid w:val="00D947AB"/>
    <w:rsid w:val="00D958C4"/>
    <w:rsid w:val="00D97F0E"/>
    <w:rsid w:val="00DA40E9"/>
    <w:rsid w:val="00DA58F3"/>
    <w:rsid w:val="00DA7FC9"/>
    <w:rsid w:val="00DB1E1C"/>
    <w:rsid w:val="00DB54A7"/>
    <w:rsid w:val="00DB7E86"/>
    <w:rsid w:val="00DC0639"/>
    <w:rsid w:val="00DC38F8"/>
    <w:rsid w:val="00DC395B"/>
    <w:rsid w:val="00DC40C7"/>
    <w:rsid w:val="00DC4876"/>
    <w:rsid w:val="00DC4B75"/>
    <w:rsid w:val="00DC6472"/>
    <w:rsid w:val="00DC70DB"/>
    <w:rsid w:val="00DD1604"/>
    <w:rsid w:val="00DD4AD5"/>
    <w:rsid w:val="00DE1CA5"/>
    <w:rsid w:val="00DE604A"/>
    <w:rsid w:val="00DE6E96"/>
    <w:rsid w:val="00DF1146"/>
    <w:rsid w:val="00DF416D"/>
    <w:rsid w:val="00DF5864"/>
    <w:rsid w:val="00DF6620"/>
    <w:rsid w:val="00E00286"/>
    <w:rsid w:val="00E05196"/>
    <w:rsid w:val="00E06666"/>
    <w:rsid w:val="00E07B85"/>
    <w:rsid w:val="00E10FEC"/>
    <w:rsid w:val="00E12DC8"/>
    <w:rsid w:val="00E13A2C"/>
    <w:rsid w:val="00E15641"/>
    <w:rsid w:val="00E15A6A"/>
    <w:rsid w:val="00E2278D"/>
    <w:rsid w:val="00E2325E"/>
    <w:rsid w:val="00E26A9E"/>
    <w:rsid w:val="00E27A11"/>
    <w:rsid w:val="00E31936"/>
    <w:rsid w:val="00E31A20"/>
    <w:rsid w:val="00E353FA"/>
    <w:rsid w:val="00E3756B"/>
    <w:rsid w:val="00E3766F"/>
    <w:rsid w:val="00E408FF"/>
    <w:rsid w:val="00E40D29"/>
    <w:rsid w:val="00E43AA8"/>
    <w:rsid w:val="00E4462F"/>
    <w:rsid w:val="00E44F77"/>
    <w:rsid w:val="00E470CE"/>
    <w:rsid w:val="00E50394"/>
    <w:rsid w:val="00E54FC9"/>
    <w:rsid w:val="00E55CFE"/>
    <w:rsid w:val="00E56238"/>
    <w:rsid w:val="00E57621"/>
    <w:rsid w:val="00E60A2B"/>
    <w:rsid w:val="00E6109D"/>
    <w:rsid w:val="00E623CA"/>
    <w:rsid w:val="00E64E49"/>
    <w:rsid w:val="00E65E8A"/>
    <w:rsid w:val="00E66398"/>
    <w:rsid w:val="00E70BEF"/>
    <w:rsid w:val="00E74D39"/>
    <w:rsid w:val="00E75930"/>
    <w:rsid w:val="00E76697"/>
    <w:rsid w:val="00E80D0A"/>
    <w:rsid w:val="00E816F2"/>
    <w:rsid w:val="00E82108"/>
    <w:rsid w:val="00E82C3F"/>
    <w:rsid w:val="00E83583"/>
    <w:rsid w:val="00E83FC0"/>
    <w:rsid w:val="00E86076"/>
    <w:rsid w:val="00E8634A"/>
    <w:rsid w:val="00E93084"/>
    <w:rsid w:val="00E93EE0"/>
    <w:rsid w:val="00E962CB"/>
    <w:rsid w:val="00EA405E"/>
    <w:rsid w:val="00EB2C59"/>
    <w:rsid w:val="00EB31F0"/>
    <w:rsid w:val="00EB3FEB"/>
    <w:rsid w:val="00EB5250"/>
    <w:rsid w:val="00EB5524"/>
    <w:rsid w:val="00EB5754"/>
    <w:rsid w:val="00EB5953"/>
    <w:rsid w:val="00EB6550"/>
    <w:rsid w:val="00EC0ECF"/>
    <w:rsid w:val="00EC13A1"/>
    <w:rsid w:val="00EC162D"/>
    <w:rsid w:val="00EC191B"/>
    <w:rsid w:val="00EC49B3"/>
    <w:rsid w:val="00EC4D4E"/>
    <w:rsid w:val="00ED24C5"/>
    <w:rsid w:val="00ED332F"/>
    <w:rsid w:val="00ED668D"/>
    <w:rsid w:val="00ED7B0E"/>
    <w:rsid w:val="00EE0469"/>
    <w:rsid w:val="00EE0788"/>
    <w:rsid w:val="00EE0C21"/>
    <w:rsid w:val="00EE2FD5"/>
    <w:rsid w:val="00EE4007"/>
    <w:rsid w:val="00EF073A"/>
    <w:rsid w:val="00EF083A"/>
    <w:rsid w:val="00EF187C"/>
    <w:rsid w:val="00EF393A"/>
    <w:rsid w:val="00EF5FFE"/>
    <w:rsid w:val="00F0130F"/>
    <w:rsid w:val="00F03039"/>
    <w:rsid w:val="00F05A88"/>
    <w:rsid w:val="00F06C49"/>
    <w:rsid w:val="00F10CC7"/>
    <w:rsid w:val="00F11159"/>
    <w:rsid w:val="00F130A0"/>
    <w:rsid w:val="00F13860"/>
    <w:rsid w:val="00F14173"/>
    <w:rsid w:val="00F14179"/>
    <w:rsid w:val="00F146F8"/>
    <w:rsid w:val="00F16810"/>
    <w:rsid w:val="00F16EAE"/>
    <w:rsid w:val="00F25A84"/>
    <w:rsid w:val="00F26270"/>
    <w:rsid w:val="00F266BB"/>
    <w:rsid w:val="00F27105"/>
    <w:rsid w:val="00F40A6C"/>
    <w:rsid w:val="00F420C0"/>
    <w:rsid w:val="00F436CE"/>
    <w:rsid w:val="00F4669E"/>
    <w:rsid w:val="00F516DB"/>
    <w:rsid w:val="00F51784"/>
    <w:rsid w:val="00F539BF"/>
    <w:rsid w:val="00F5418E"/>
    <w:rsid w:val="00F54820"/>
    <w:rsid w:val="00F55B3F"/>
    <w:rsid w:val="00F55D78"/>
    <w:rsid w:val="00F55FE4"/>
    <w:rsid w:val="00F56C0E"/>
    <w:rsid w:val="00F570A3"/>
    <w:rsid w:val="00F57AD4"/>
    <w:rsid w:val="00F57B0B"/>
    <w:rsid w:val="00F6041A"/>
    <w:rsid w:val="00F64015"/>
    <w:rsid w:val="00F64505"/>
    <w:rsid w:val="00F72C03"/>
    <w:rsid w:val="00F75204"/>
    <w:rsid w:val="00F7578E"/>
    <w:rsid w:val="00F75EBF"/>
    <w:rsid w:val="00F76AC4"/>
    <w:rsid w:val="00F77457"/>
    <w:rsid w:val="00F829D5"/>
    <w:rsid w:val="00F83028"/>
    <w:rsid w:val="00F83E4B"/>
    <w:rsid w:val="00F874FC"/>
    <w:rsid w:val="00F9030D"/>
    <w:rsid w:val="00F9313E"/>
    <w:rsid w:val="00F93478"/>
    <w:rsid w:val="00F9468F"/>
    <w:rsid w:val="00F95649"/>
    <w:rsid w:val="00F971B7"/>
    <w:rsid w:val="00F977FC"/>
    <w:rsid w:val="00FA04B3"/>
    <w:rsid w:val="00FA19F8"/>
    <w:rsid w:val="00FA2DCD"/>
    <w:rsid w:val="00FA3DDA"/>
    <w:rsid w:val="00FA54C0"/>
    <w:rsid w:val="00FA7CFA"/>
    <w:rsid w:val="00FB4D85"/>
    <w:rsid w:val="00FC2258"/>
    <w:rsid w:val="00FC53BB"/>
    <w:rsid w:val="00FC76B5"/>
    <w:rsid w:val="00FC7A82"/>
    <w:rsid w:val="00FD4CB2"/>
    <w:rsid w:val="00FD5508"/>
    <w:rsid w:val="00FD572B"/>
    <w:rsid w:val="00FE0D54"/>
    <w:rsid w:val="00FE2FB1"/>
    <w:rsid w:val="00FE62CA"/>
    <w:rsid w:val="00FE6F8E"/>
    <w:rsid w:val="00FE7F83"/>
    <w:rsid w:val="00FF0C14"/>
    <w:rsid w:val="00FF1B30"/>
    <w:rsid w:val="00FF2174"/>
    <w:rsid w:val="00FF462E"/>
    <w:rsid w:val="00FF5A3D"/>
    <w:rsid w:val="00FF5B8A"/>
    <w:rsid w:val="00FF5D17"/>
    <w:rsid w:val="0CD4123A"/>
    <w:rsid w:val="158FA834"/>
    <w:rsid w:val="2141E379"/>
    <w:rsid w:val="2344E433"/>
    <w:rsid w:val="2D031D61"/>
    <w:rsid w:val="2FC47962"/>
    <w:rsid w:val="39E18277"/>
    <w:rsid w:val="3C3E2E4B"/>
    <w:rsid w:val="439E96B0"/>
    <w:rsid w:val="64661775"/>
    <w:rsid w:val="6793A0E0"/>
    <w:rsid w:val="6BE79646"/>
    <w:rsid w:val="6FCFC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0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sz w:val="24"/>
        <w:lang w:val="en-GB" w:eastAsia="en-GB" w:bidi="ar-SA"/>
      </w:rPr>
    </w:rPrDefault>
    <w:pPrDefault>
      <w:pPr>
        <w:spacing w:after="240" w:line="281" w:lineRule="auto"/>
      </w:pPr>
    </w:pPrDefault>
  </w:docDefaults>
  <w:latentStyles w:defLockedState="0" w:defUIPriority="0" w:defSemiHidden="0" w:defUnhideWhenUsed="0" w:defQFormat="0" w:count="376">
    <w:lsdException w:name="Normal" w:uiPriority="1" w:qFormat="1"/>
    <w:lsdException w:name="heading 1" w:uiPriority="2" w:qFormat="1"/>
    <w:lsdException w:name="heading 2" w:uiPriority="2" w:qFormat="1"/>
    <w:lsdException w:name="heading 3" w:uiPriority="2" w:qFormat="1"/>
    <w:lsdException w:name="heading 4" w:uiPriority="2" w:unhideWhenUsed="1" w:qFormat="1"/>
    <w:lsdException w:name="heading 5" w:semiHidden="1" w:uiPriority="2"/>
    <w:lsdException w:name="heading 6" w:semiHidden="1" w:uiPriority="2"/>
    <w:lsdException w:name="heading 7" w:semiHidden="1" w:uiPriority="2"/>
    <w:lsdException w:name="heading 8" w:semiHidden="1" w:uiPriority="2"/>
    <w:lsdException w:name="heading 9" w:semiHidden="1" w:uiPriority="2"/>
    <w:lsdException w:name="index 1" w:unhideWhenUsed="1"/>
    <w:lsdException w:name="index 2" w:unhideWhenUsed="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lsdException w:name="toc 8" w:semiHidden="1"/>
    <w:lsdException w:name="toc 9" w:semiHidden="1"/>
    <w:lsdException w:name="Normal Indent" w:semiHidden="1"/>
    <w:lsdException w:name="footnote text" w:unhideWhenUsed="1" w:qFormat="1"/>
    <w:lsdException w:name="annotation text" w:semiHidden="1"/>
    <w:lsdException w:name="header" w:uiPriority="99" w:unhideWhenUsed="1"/>
    <w:lsdException w:name="footer" w:uiPriority="99" w:unhideWhenUsed="1"/>
    <w:lsdException w:name="index heading" w:semiHidden="1"/>
    <w:lsdException w:name="caption" w:uiPriority="35" w:unhideWhenUsed="1" w:qFormat="1"/>
    <w:lsdException w:name="table of figures" w:uiPriority="39" w:unhideWhenUsed="1"/>
    <w:lsdException w:name="envelope address" w:semiHidden="1"/>
    <w:lsdException w:name="envelope return" w:semiHidden="1"/>
    <w:lsdException w:name="footnote reference" w:unhideWhenUsed="1"/>
    <w:lsdException w:name="annotation reference" w:semiHidden="1"/>
    <w:lsdException w:name="line number" w:semiHidden="1"/>
    <w:lsdException w:name="page number" w:semiHidden="1"/>
    <w:lsdException w:name="endnote reference" w:uiPriority="99" w:unhideWhenUsed="1"/>
    <w:lsdException w:name="endnote text" w:uiPriority="99" w:unhideWhenUsed="1"/>
    <w:lsdException w:name="table of authorities" w:semiHidden="1"/>
    <w:lsdException w:name="macro" w:semiHidden="1"/>
    <w:lsdException w:name="toa heading" w:semiHidden="1"/>
    <w:lsdException w:name="List" w:semiHidden="1"/>
    <w:lsdException w:name="List Bullet" w:uiPriority="5" w:qFormat="1"/>
    <w:lsdException w:name="List Number" w:uiPriority="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4"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5" w:qFormat="1"/>
    <w:lsdException w:name="Salutation" w:semiHidden="1"/>
    <w:lsdException w:name="Date" w:uiPriority="19" w:unhideWhenUsed="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unhideWhenUsed="1"/>
    <w:lsdException w:name="FollowedHyperlink" w:semiHidden="1"/>
    <w:lsdException w:name="Strong" w:semiHidden="1"/>
    <w:lsdException w:name="Emphasis" w:uiPriority="69"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5"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uiPriority="39" w:unhideWhenUsed="1" w:qFormat="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style>
  <w:style w:type="paragraph" w:styleId="Heading1">
    <w:name w:val="heading 1"/>
    <w:next w:val="Normal"/>
    <w:link w:val="Heading1Char"/>
    <w:uiPriority w:val="2"/>
    <w:qFormat/>
    <w:pPr>
      <w:keepNext/>
      <w:pageBreakBefore/>
      <w:spacing w:before="600" w:after="400" w:line="240" w:lineRule="auto"/>
      <w:outlineLvl w:val="0"/>
    </w:pPr>
    <w:rPr>
      <w:b/>
      <w:color w:val="006FB4"/>
      <w:kern w:val="24"/>
      <w:sz w:val="52"/>
    </w:rPr>
  </w:style>
  <w:style w:type="paragraph" w:styleId="Heading2">
    <w:name w:val="heading 2"/>
    <w:next w:val="Normal"/>
    <w:link w:val="Heading2Char"/>
    <w:uiPriority w:val="2"/>
    <w:qFormat/>
    <w:pPr>
      <w:keepNext/>
      <w:spacing w:before="520" w:after="320" w:line="240" w:lineRule="auto"/>
      <w:outlineLvl w:val="1"/>
    </w:pPr>
    <w:rPr>
      <w:color w:val="006FB4"/>
      <w:sz w:val="44"/>
    </w:rPr>
  </w:style>
  <w:style w:type="paragraph" w:styleId="Heading3">
    <w:name w:val="heading 3"/>
    <w:next w:val="Normal"/>
    <w:link w:val="Heading3Char"/>
    <w:uiPriority w:val="2"/>
    <w:qFormat/>
    <w:pPr>
      <w:keepNext/>
      <w:spacing w:before="320" w:line="240" w:lineRule="auto"/>
      <w:outlineLvl w:val="2"/>
    </w:pPr>
    <w:rPr>
      <w:b/>
      <w:color w:val="525E65"/>
      <w:sz w:val="36"/>
    </w:rPr>
  </w:style>
  <w:style w:type="paragraph" w:styleId="Heading4">
    <w:name w:val="heading 4"/>
    <w:next w:val="Normal"/>
    <w:link w:val="Heading4Char"/>
    <w:uiPriority w:val="2"/>
    <w:semiHidden/>
    <w:unhideWhenUsed/>
    <w:qFormat/>
    <w:pPr>
      <w:keepNext/>
      <w:spacing w:line="240" w:lineRule="auto"/>
      <w:outlineLvl w:val="3"/>
    </w:pPr>
    <w:rPr>
      <w:color w:val="525E65"/>
      <w:sz w:val="32"/>
    </w:rPr>
  </w:style>
  <w:style w:type="paragraph" w:styleId="Heading5">
    <w:name w:val="heading 5"/>
    <w:next w:val="Normal"/>
    <w:link w:val="Heading5Char"/>
    <w:uiPriority w:val="2"/>
    <w:semiHidden/>
    <w:pPr>
      <w:outlineLvl w:val="4"/>
    </w:pPr>
  </w:style>
  <w:style w:type="paragraph" w:styleId="Heading6">
    <w:name w:val="heading 6"/>
    <w:next w:val="Normal"/>
    <w:link w:val="Heading6Char"/>
    <w:uiPriority w:val="2"/>
    <w:semiHidden/>
    <w:pPr>
      <w:outlineLvl w:val="5"/>
    </w:pPr>
  </w:style>
  <w:style w:type="paragraph" w:styleId="Heading7">
    <w:name w:val="heading 7"/>
    <w:next w:val="Normal"/>
    <w:link w:val="Heading7Char"/>
    <w:uiPriority w:val="2"/>
    <w:semiHidden/>
    <w:pPr>
      <w:outlineLvl w:val="6"/>
    </w:pPr>
  </w:style>
  <w:style w:type="paragraph" w:styleId="Heading8">
    <w:name w:val="heading 8"/>
    <w:next w:val="Normal"/>
    <w:link w:val="Heading8Char"/>
    <w:uiPriority w:val="2"/>
    <w:semiHidden/>
    <w:pPr>
      <w:outlineLvl w:val="7"/>
    </w:pPr>
  </w:style>
  <w:style w:type="paragraph" w:styleId="Heading9">
    <w:name w:val="heading 9"/>
    <w:next w:val="Normal"/>
    <w:link w:val="Heading9Char"/>
    <w:uiPriority w:val="2"/>
    <w:semiHidden/>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ngXX">
    <w:name w:val="lang_XX"/>
  </w:style>
  <w:style w:type="character" w:customStyle="1" w:styleId="langSV">
    <w:name w:val="lang_SV"/>
    <w:rPr>
      <w:lang w:val="sv-SE"/>
    </w:rPr>
  </w:style>
  <w:style w:type="character" w:customStyle="1" w:styleId="langES">
    <w:name w:val="lang_ES"/>
    <w:rPr>
      <w:lang w:val="es-ES"/>
    </w:rPr>
  </w:style>
  <w:style w:type="character" w:customStyle="1" w:styleId="langSL">
    <w:name w:val="lang_SL"/>
    <w:rPr>
      <w:lang w:val="sl-SI"/>
    </w:rPr>
  </w:style>
  <w:style w:type="character" w:customStyle="1" w:styleId="langSK">
    <w:name w:val="lang_SK"/>
    <w:rPr>
      <w:lang w:val="sk-SK"/>
    </w:rPr>
  </w:style>
  <w:style w:type="character" w:customStyle="1" w:styleId="langRO">
    <w:name w:val="lang_RO"/>
    <w:rPr>
      <w:lang w:val="ro-RO"/>
    </w:rPr>
  </w:style>
  <w:style w:type="character" w:customStyle="1" w:styleId="langPT">
    <w:name w:val="lang_PT"/>
    <w:rPr>
      <w:lang w:val="pt-PT"/>
    </w:rPr>
  </w:style>
  <w:style w:type="character" w:customStyle="1" w:styleId="langPL">
    <w:name w:val="lang_PL"/>
    <w:rPr>
      <w:lang w:val="pl-PL"/>
    </w:rPr>
  </w:style>
  <w:style w:type="character" w:customStyle="1" w:styleId="langMT">
    <w:name w:val="lang_MT"/>
    <w:rPr>
      <w:lang w:val="mt-MT"/>
    </w:rPr>
  </w:style>
  <w:style w:type="character" w:customStyle="1" w:styleId="langLT">
    <w:name w:val="lang_LT"/>
    <w:rPr>
      <w:lang w:val="lt-LT"/>
    </w:rPr>
  </w:style>
  <w:style w:type="character" w:customStyle="1" w:styleId="langLV">
    <w:name w:val="lang_LV"/>
    <w:rPr>
      <w:lang w:val="lv-LV"/>
    </w:rPr>
  </w:style>
  <w:style w:type="character" w:customStyle="1" w:styleId="langIT">
    <w:name w:val="lang_IT"/>
    <w:rPr>
      <w:lang w:val="it-IT"/>
    </w:rPr>
  </w:style>
  <w:style w:type="character" w:customStyle="1" w:styleId="langGA">
    <w:name w:val="lang_GA"/>
    <w:rPr>
      <w:lang w:val="ga-IE"/>
    </w:rPr>
  </w:style>
  <w:style w:type="character" w:customStyle="1" w:styleId="langHU">
    <w:name w:val="lang_HU"/>
    <w:rPr>
      <w:lang w:val="hu-HU"/>
    </w:rPr>
  </w:style>
  <w:style w:type="character" w:customStyle="1" w:styleId="langEL">
    <w:name w:val="lang_EL"/>
    <w:rPr>
      <w:lang w:val="el-GR"/>
    </w:rPr>
  </w:style>
  <w:style w:type="character" w:customStyle="1" w:styleId="langDE">
    <w:name w:val="lang_DE"/>
    <w:rPr>
      <w:lang w:val="de-DE"/>
    </w:rPr>
  </w:style>
  <w:style w:type="character" w:customStyle="1" w:styleId="langFR">
    <w:name w:val="lang_FR"/>
    <w:rPr>
      <w:lang w:val="fr-FR"/>
    </w:rPr>
  </w:style>
  <w:style w:type="character" w:customStyle="1" w:styleId="langFI">
    <w:name w:val="lang_FI"/>
    <w:rPr>
      <w:lang w:val="fi-FI"/>
    </w:rPr>
  </w:style>
  <w:style w:type="character" w:customStyle="1" w:styleId="langET">
    <w:name w:val="lang_ET"/>
    <w:rPr>
      <w:lang w:val="et-EE"/>
    </w:rPr>
  </w:style>
  <w:style w:type="character" w:customStyle="1" w:styleId="langEN">
    <w:name w:val="lang_EN"/>
    <w:rPr>
      <w:lang w:val="en-GB"/>
    </w:rPr>
  </w:style>
  <w:style w:type="character" w:customStyle="1" w:styleId="langNL">
    <w:name w:val="lang_NL"/>
    <w:rPr>
      <w:lang w:val="nl-NL"/>
    </w:rPr>
  </w:style>
  <w:style w:type="character" w:customStyle="1" w:styleId="langDA">
    <w:name w:val="lang_DA"/>
    <w:rPr>
      <w:lang w:val="da-DK"/>
    </w:rPr>
  </w:style>
  <w:style w:type="character" w:customStyle="1" w:styleId="langCS">
    <w:name w:val="lang_CS"/>
    <w:rPr>
      <w:lang w:val="cs-CZ"/>
    </w:rPr>
  </w:style>
  <w:style w:type="character" w:customStyle="1" w:styleId="langHR">
    <w:name w:val="lang_HR"/>
    <w:rPr>
      <w:lang w:val="hr-HR"/>
    </w:rPr>
  </w:style>
  <w:style w:type="character" w:customStyle="1" w:styleId="langBG">
    <w:name w:val="lang_BG"/>
    <w:rPr>
      <w:lang w:val="bg-BG"/>
    </w:rPr>
  </w:style>
  <w:style w:type="character" w:styleId="Hyperlink">
    <w:name w:val="Hyperlink"/>
    <w:uiPriority w:val="99"/>
    <w:unhideWhenUsed/>
    <w:rPr>
      <w:color w:val="337AB7"/>
      <w:u w:val="single"/>
      <w:shd w:val="clear" w:color="auto" w:fill="auto"/>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unhideWhenUsed/>
    <w:rPr>
      <w:color w:val="337AB7"/>
      <w:vertAlign w:val="superscript"/>
    </w:rPr>
  </w:style>
  <w:style w:type="character" w:styleId="EndnoteReference">
    <w:name w:val="endnote reference"/>
    <w:uiPriority w:val="99"/>
    <w:semiHidden/>
    <w:unhideWhenUsed/>
    <w:rPr>
      <w:vertAlign w:val="superscript"/>
    </w:rPr>
  </w:style>
  <w:style w:type="character" w:styleId="Emphasis">
    <w:name w:val="Emphasis"/>
    <w:uiPriority w:val="69"/>
    <w:qFormat/>
    <w:rPr>
      <w:i/>
    </w:rPr>
  </w:style>
  <w:style w:type="character" w:customStyle="1" w:styleId="CrossReference">
    <w:name w:val="Cross Reference"/>
    <w:uiPriority w:val="11"/>
    <w:rPr>
      <w:b/>
      <w:i/>
      <w:color w:val="337AB7"/>
    </w:rPr>
  </w:style>
  <w:style w:type="character" w:customStyle="1" w:styleId="Reference">
    <w:name w:val="Reference"/>
    <w:uiPriority w:val="10"/>
    <w:rPr>
      <w:b/>
      <w:i/>
      <w:shd w:val="clear" w:color="auto" w:fill="auto"/>
    </w:rPr>
  </w:style>
  <w:style w:type="character" w:customStyle="1" w:styleId="TOCPageNumber">
    <w:name w:val="TOC Page Number"/>
    <w:uiPriority w:val="39"/>
    <w:rPr>
      <w:b w:val="0"/>
      <w:noProof/>
      <w:color w:val="181717"/>
    </w:rPr>
  </w:style>
  <w:style w:type="character" w:customStyle="1" w:styleId="BodyPlaceholderText">
    <w:name w:val="BodyPlaceholderText"/>
    <w:uiPriority w:val="1"/>
    <w:semiHidden/>
    <w:rPr>
      <w:color w:val="3366CC"/>
    </w:rPr>
  </w:style>
  <w:style w:type="character" w:styleId="PlaceholderText">
    <w:name w:val="Placeholder Text"/>
    <w:uiPriority w:val="99"/>
    <w:semiHidden/>
    <w:rPr>
      <w:color w:val="3366CC"/>
    </w:rPr>
  </w:style>
  <w:style w:type="paragraph" w:customStyle="1" w:styleId="QuotationPull">
    <w:name w:val="Quotation Pull"/>
    <w:uiPriority w:val="1"/>
    <w:pPr>
      <w:spacing w:before="360" w:after="480"/>
      <w:ind w:left="567" w:right="567"/>
      <w:jc w:val="center"/>
    </w:pPr>
    <w:rPr>
      <w:i/>
      <w:color w:val="006FB4"/>
      <w:sz w:val="28"/>
    </w:rPr>
  </w:style>
  <w:style w:type="paragraph" w:customStyle="1" w:styleId="QuotationSource">
    <w:name w:val="Quotation Source"/>
    <w:uiPriority w:val="1"/>
    <w:pPr>
      <w:spacing w:before="120" w:after="360"/>
      <w:ind w:left="567" w:right="567"/>
      <w:jc w:val="right"/>
    </w:pPr>
    <w:rPr>
      <w:color w:val="8B82A1"/>
    </w:rPr>
  </w:style>
  <w:style w:type="paragraph" w:customStyle="1" w:styleId="Quotation">
    <w:name w:val="Quotation"/>
    <w:uiPriority w:val="1"/>
    <w:pPr>
      <w:spacing w:before="360" w:after="120"/>
      <w:ind w:left="567" w:right="567"/>
      <w:jc w:val="center"/>
    </w:pPr>
    <w:rPr>
      <w:i/>
      <w:color w:val="771D7B"/>
      <w:sz w:val="28"/>
    </w:rPr>
  </w:style>
  <w:style w:type="paragraph" w:customStyle="1" w:styleId="ListBulletLevel4">
    <w:name w:val="List Bullet (Level 4)"/>
    <w:uiPriority w:val="5"/>
    <w:qFormat/>
    <w:pPr>
      <w:numPr>
        <w:ilvl w:val="3"/>
        <w:numId w:val="3"/>
      </w:numPr>
      <w:ind w:left="1417" w:hanging="1417"/>
    </w:pPr>
  </w:style>
  <w:style w:type="paragraph" w:customStyle="1" w:styleId="ListBulletLevel3">
    <w:name w:val="List Bullet (Level 3)"/>
    <w:uiPriority w:val="5"/>
    <w:qFormat/>
    <w:pPr>
      <w:numPr>
        <w:ilvl w:val="2"/>
        <w:numId w:val="3"/>
      </w:numPr>
      <w:ind w:left="1134" w:hanging="1134"/>
    </w:pPr>
  </w:style>
  <w:style w:type="paragraph" w:customStyle="1" w:styleId="ListBulletLevel2">
    <w:name w:val="List Bullet (Level 2)"/>
    <w:uiPriority w:val="5"/>
    <w:qFormat/>
    <w:pPr>
      <w:numPr>
        <w:ilvl w:val="1"/>
        <w:numId w:val="3"/>
      </w:numPr>
      <w:ind w:left="850" w:hanging="850"/>
    </w:pPr>
  </w:style>
  <w:style w:type="paragraph" w:styleId="ListBullet">
    <w:name w:val="List Bullet"/>
    <w:uiPriority w:val="5"/>
    <w:qFormat/>
    <w:pPr>
      <w:numPr>
        <w:numId w:val="3"/>
      </w:numPr>
      <w:ind w:left="567" w:hanging="567"/>
    </w:pPr>
  </w:style>
  <w:style w:type="paragraph" w:customStyle="1" w:styleId="ListNumberNonindentedLevel5">
    <w:name w:val="List Number Nonindented (Level 5)"/>
    <w:uiPriority w:val="1"/>
    <w:qFormat/>
    <w:pPr>
      <w:numPr>
        <w:ilvl w:val="4"/>
        <w:numId w:val="1"/>
      </w:numPr>
    </w:pPr>
  </w:style>
  <w:style w:type="paragraph" w:customStyle="1" w:styleId="ListNumberNonindentedLevel4">
    <w:name w:val="List Number Nonindented (Level 4)"/>
    <w:uiPriority w:val="1"/>
    <w:qFormat/>
    <w:pPr>
      <w:numPr>
        <w:ilvl w:val="3"/>
        <w:numId w:val="1"/>
      </w:numPr>
    </w:pPr>
  </w:style>
  <w:style w:type="paragraph" w:customStyle="1" w:styleId="ListNumberNonindentedLevel3">
    <w:name w:val="List Number Nonindented (Level 3)"/>
    <w:uiPriority w:val="1"/>
    <w:qFormat/>
    <w:pPr>
      <w:numPr>
        <w:ilvl w:val="2"/>
        <w:numId w:val="1"/>
      </w:numPr>
    </w:pPr>
  </w:style>
  <w:style w:type="paragraph" w:customStyle="1" w:styleId="ListNumberNonindentedLevel2">
    <w:name w:val="List Number Nonindented (Level 2)"/>
    <w:uiPriority w:val="1"/>
    <w:qFormat/>
    <w:pPr>
      <w:numPr>
        <w:ilvl w:val="1"/>
        <w:numId w:val="1"/>
      </w:numPr>
    </w:pPr>
  </w:style>
  <w:style w:type="paragraph" w:customStyle="1" w:styleId="ListNumberNonindented">
    <w:name w:val="List Number Nonindented"/>
    <w:uiPriority w:val="1"/>
    <w:qFormat/>
    <w:pPr>
      <w:numPr>
        <w:numId w:val="1"/>
      </w:numPr>
      <w:ind w:firstLine="0"/>
    </w:pPr>
  </w:style>
  <w:style w:type="paragraph" w:customStyle="1" w:styleId="ImageSource">
    <w:name w:val="Image Source"/>
    <w:pPr>
      <w:spacing w:before="80" w:after="360" w:line="240" w:lineRule="auto"/>
    </w:pPr>
    <w:rPr>
      <w:sz w:val="20"/>
    </w:rPr>
  </w:style>
  <w:style w:type="paragraph" w:customStyle="1" w:styleId="ImageCopyrights">
    <w:name w:val="Image Copyrights"/>
    <w:pPr>
      <w:keepNext/>
      <w:spacing w:before="120" w:after="120"/>
    </w:pPr>
    <w:rPr>
      <w:color w:val="525E65"/>
    </w:rPr>
  </w:style>
  <w:style w:type="paragraph" w:customStyle="1" w:styleId="ImageCaption">
    <w:name w:val="Image Caption"/>
    <w:pPr>
      <w:keepNext/>
      <w:spacing w:before="120" w:after="120"/>
    </w:pPr>
    <w:rPr>
      <w:color w:val="525E65"/>
    </w:rPr>
  </w:style>
  <w:style w:type="paragraph" w:customStyle="1" w:styleId="ImageAlternative">
    <w:name w:val="Image Alternative"/>
    <w:pPr>
      <w:keepNext/>
      <w:spacing w:before="120" w:after="120"/>
    </w:pPr>
    <w:rPr>
      <w:color w:val="771D7B"/>
      <w:sz w:val="20"/>
    </w:rPr>
  </w:style>
  <w:style w:type="paragraph" w:customStyle="1" w:styleId="ImagePlaceholder">
    <w:name w:val="Image Placeholder"/>
    <w:next w:val="ImageAlternative"/>
    <w:pPr>
      <w:keepNext/>
      <w:spacing w:before="120" w:after="120"/>
      <w:jc w:val="center"/>
    </w:pPr>
    <w:rPr>
      <w:color w:val="525E65"/>
    </w:rPr>
  </w:style>
  <w:style w:type="paragraph" w:customStyle="1" w:styleId="ImageSubtitle">
    <w:name w:val="Image Subtitle"/>
    <w:next w:val="ImagePlaceholder"/>
    <w:pPr>
      <w:keepNext/>
      <w:spacing w:after="120"/>
    </w:pPr>
    <w:rPr>
      <w:color w:val="525E65"/>
      <w:sz w:val="28"/>
    </w:rPr>
  </w:style>
  <w:style w:type="paragraph" w:customStyle="1" w:styleId="ImageTitle">
    <w:name w:val="Image Title"/>
    <w:next w:val="ImageSubtitle"/>
    <w:pPr>
      <w:keepNext/>
      <w:spacing w:before="120" w:after="0"/>
    </w:pPr>
    <w:rPr>
      <w:b/>
      <w:color w:val="771D7B"/>
      <w:sz w:val="28"/>
    </w:rPr>
  </w:style>
  <w:style w:type="paragraph" w:customStyle="1" w:styleId="CaptionSourceorCopyright">
    <w:name w:val="Caption Source or Copyright"/>
    <w:uiPriority w:val="99"/>
    <w:qFormat/>
    <w:rPr>
      <w:sz w:val="20"/>
    </w:rPr>
  </w:style>
  <w:style w:type="paragraph" w:styleId="Caption">
    <w:name w:val="caption"/>
    <w:next w:val="Normal"/>
    <w:uiPriority w:val="35"/>
    <w:semiHidden/>
    <w:unhideWhenUsed/>
    <w:qFormat/>
    <w:pPr>
      <w:spacing w:after="200" w:line="240" w:lineRule="auto"/>
    </w:pPr>
    <w:rPr>
      <w:b/>
      <w:sz w:val="20"/>
    </w:rPr>
  </w:style>
  <w:style w:type="paragraph" w:customStyle="1" w:styleId="BoxText">
    <w:name w:val="Box Text"/>
    <w:uiPriority w:val="21"/>
  </w:style>
  <w:style w:type="paragraph" w:customStyle="1" w:styleId="BoxTitleC">
    <w:name w:val="Box Title C"/>
    <w:next w:val="BoxText"/>
    <w:uiPriority w:val="21"/>
    <w:pPr>
      <w:spacing w:before="120"/>
    </w:pPr>
    <w:rPr>
      <w:b/>
      <w:color w:val="525E65"/>
      <w:sz w:val="28"/>
    </w:rPr>
  </w:style>
  <w:style w:type="paragraph" w:customStyle="1" w:styleId="BoxTitleB">
    <w:name w:val="Box Title B"/>
    <w:next w:val="BoxText"/>
    <w:uiPriority w:val="21"/>
    <w:pPr>
      <w:spacing w:before="120"/>
    </w:pPr>
    <w:rPr>
      <w:b/>
      <w:color w:val="006FB4"/>
      <w:sz w:val="28"/>
    </w:rPr>
  </w:style>
  <w:style w:type="paragraph" w:customStyle="1" w:styleId="BoxTitleA">
    <w:name w:val="Box Title A"/>
    <w:next w:val="BoxText"/>
    <w:uiPriority w:val="21"/>
    <w:pPr>
      <w:spacing w:before="120"/>
    </w:pPr>
    <w:rPr>
      <w:b/>
      <w:color w:val="771D7B"/>
      <w:sz w:val="28"/>
    </w:rPr>
  </w:style>
  <w:style w:type="paragraph" w:customStyle="1" w:styleId="AdoptionFormula">
    <w:name w:val="Adoption Formula"/>
    <w:uiPriority w:val="20"/>
    <w:qFormat/>
    <w:pPr>
      <w:tabs>
        <w:tab w:val="center" w:pos="6520"/>
      </w:tabs>
    </w:pPr>
    <w:rPr>
      <w:noProof/>
    </w:rPr>
  </w:style>
  <w:style w:type="paragraph" w:customStyle="1" w:styleId="Filename">
    <w:name w:val="Filename"/>
    <w:uiPriority w:val="11"/>
    <w:qFormat/>
    <w:pPr>
      <w:spacing w:line="240" w:lineRule="auto"/>
      <w:jc w:val="center"/>
    </w:pPr>
  </w:style>
  <w:style w:type="paragraph" w:customStyle="1" w:styleId="SignatureDate">
    <w:name w:val="Signature Date"/>
    <w:uiPriority w:val="10"/>
    <w:qFormat/>
    <w:pPr>
      <w:spacing w:before="600" w:after="60" w:line="240" w:lineRule="auto"/>
      <w:jc w:val="center"/>
    </w:pPr>
    <w:rPr>
      <w:b/>
      <w:sz w:val="22"/>
    </w:rPr>
  </w:style>
  <w:style w:type="paragraph" w:customStyle="1" w:styleId="SignatureText">
    <w:name w:val="Signature Text"/>
    <w:uiPriority w:val="10"/>
    <w:qFormat/>
    <w:pPr>
      <w:spacing w:before="60" w:after="60" w:line="240" w:lineRule="auto"/>
      <w:jc w:val="center"/>
    </w:pPr>
    <w:rPr>
      <w:b/>
      <w:sz w:val="22"/>
    </w:rPr>
  </w:style>
  <w:style w:type="paragraph" w:customStyle="1" w:styleId="SignaturePlaceholder">
    <w:name w:val="Signature Placeholder"/>
    <w:uiPriority w:val="10"/>
    <w:qFormat/>
    <w:pPr>
      <w:jc w:val="center"/>
    </w:pPr>
    <w:rPr>
      <w:i/>
      <w:sz w:val="22"/>
    </w:rPr>
  </w:style>
  <w:style w:type="paragraph" w:customStyle="1" w:styleId="Comment">
    <w:name w:val="Comment"/>
    <w:basedOn w:val="Normal"/>
    <w:uiPriority w:val="36"/>
    <w:pPr>
      <w:shd w:val="thinDiagStripe" w:color="D9D9D9" w:fill="auto"/>
    </w:pPr>
    <w:rPr>
      <w:vanish/>
    </w:rPr>
  </w:style>
  <w:style w:type="paragraph" w:styleId="TOC9">
    <w:name w:val="toc 9"/>
    <w:semiHidden/>
    <w:pPr>
      <w:tabs>
        <w:tab w:val="right" w:leader="dot" w:pos="8504"/>
      </w:tabs>
      <w:spacing w:before="120" w:after="0" w:line="240" w:lineRule="auto"/>
    </w:pPr>
    <w:rPr>
      <w:color w:val="525E65"/>
      <w:sz w:val="22"/>
    </w:rPr>
  </w:style>
  <w:style w:type="paragraph" w:styleId="TOC8">
    <w:name w:val="toc 8"/>
    <w:semiHidden/>
    <w:pPr>
      <w:tabs>
        <w:tab w:val="right" w:leader="dot" w:pos="8504"/>
      </w:tabs>
      <w:spacing w:before="120" w:after="0" w:line="240" w:lineRule="auto"/>
    </w:pPr>
    <w:rPr>
      <w:color w:val="525E65"/>
      <w:sz w:val="22"/>
    </w:rPr>
  </w:style>
  <w:style w:type="paragraph" w:styleId="TOC7">
    <w:name w:val="toc 7"/>
    <w:semiHidden/>
    <w:pPr>
      <w:tabs>
        <w:tab w:val="right" w:leader="dot" w:pos="8504"/>
      </w:tabs>
      <w:spacing w:before="120" w:after="0" w:line="240" w:lineRule="auto"/>
    </w:pPr>
    <w:rPr>
      <w:color w:val="525E65"/>
      <w:sz w:val="22"/>
    </w:rPr>
  </w:style>
  <w:style w:type="paragraph" w:styleId="TOC6">
    <w:name w:val="toc 6"/>
    <w:next w:val="Normal"/>
    <w:uiPriority w:val="39"/>
    <w:semiHidden/>
    <w:unhideWhenUsed/>
    <w:pPr>
      <w:tabs>
        <w:tab w:val="right" w:leader="dot" w:pos="8504"/>
      </w:tabs>
      <w:spacing w:before="120" w:after="0" w:line="240" w:lineRule="auto"/>
      <w:ind w:left="612"/>
    </w:pPr>
    <w:rPr>
      <w:color w:val="525E65"/>
      <w:sz w:val="22"/>
    </w:rPr>
  </w:style>
  <w:style w:type="paragraph" w:styleId="TOC5">
    <w:name w:val="toc 5"/>
    <w:next w:val="Normal"/>
    <w:uiPriority w:val="39"/>
    <w:unhideWhenUsed/>
    <w:pPr>
      <w:tabs>
        <w:tab w:val="right" w:leader="dot" w:pos="8504"/>
      </w:tabs>
      <w:spacing w:before="120" w:after="0" w:line="240" w:lineRule="auto"/>
      <w:ind w:left="408"/>
    </w:pPr>
    <w:rPr>
      <w:color w:val="525E65"/>
      <w:sz w:val="22"/>
    </w:rPr>
  </w:style>
  <w:style w:type="paragraph" w:styleId="TOC4">
    <w:name w:val="toc 4"/>
    <w:next w:val="Normal"/>
    <w:uiPriority w:val="39"/>
    <w:unhideWhenUsed/>
    <w:pPr>
      <w:tabs>
        <w:tab w:val="right" w:leader="dot" w:pos="8504"/>
      </w:tabs>
      <w:spacing w:before="120" w:after="0" w:line="240" w:lineRule="auto"/>
      <w:ind w:left="204"/>
    </w:pPr>
    <w:rPr>
      <w:color w:val="525E65"/>
      <w:sz w:val="22"/>
    </w:rPr>
  </w:style>
  <w:style w:type="paragraph" w:styleId="TOC3">
    <w:name w:val="toc 3"/>
    <w:next w:val="Normal"/>
    <w:uiPriority w:val="39"/>
    <w:unhideWhenUsed/>
    <w:pPr>
      <w:tabs>
        <w:tab w:val="right" w:leader="dot" w:pos="8504"/>
      </w:tabs>
      <w:spacing w:before="120" w:after="0" w:line="240" w:lineRule="auto"/>
    </w:pPr>
    <w:rPr>
      <w:color w:val="525E65"/>
      <w:sz w:val="22"/>
    </w:rPr>
  </w:style>
  <w:style w:type="paragraph" w:styleId="TOC2">
    <w:name w:val="toc 2"/>
    <w:next w:val="Normal"/>
    <w:uiPriority w:val="39"/>
    <w:unhideWhenUsed/>
    <w:pPr>
      <w:tabs>
        <w:tab w:val="right" w:leader="dot" w:pos="8504"/>
      </w:tabs>
      <w:spacing w:after="0" w:line="240" w:lineRule="auto"/>
      <w:ind w:right="850"/>
    </w:pPr>
    <w:rPr>
      <w:b/>
      <w:color w:val="006FB4"/>
    </w:rPr>
  </w:style>
  <w:style w:type="paragraph" w:styleId="TOC1">
    <w:name w:val="toc 1"/>
    <w:next w:val="Normal"/>
    <w:uiPriority w:val="39"/>
    <w:unhideWhenUsed/>
    <w:pPr>
      <w:tabs>
        <w:tab w:val="right" w:pos="8504"/>
      </w:tabs>
      <w:spacing w:before="240" w:after="0" w:line="240" w:lineRule="auto"/>
      <w:ind w:right="850"/>
    </w:pPr>
    <w:rPr>
      <w:b/>
      <w:color w:val="006FB4"/>
    </w:rPr>
  </w:style>
  <w:style w:type="paragraph" w:styleId="Index9">
    <w:name w:val="index 9"/>
    <w:semiHidden/>
    <w:rPr>
      <w:color w:val="525E65"/>
    </w:rPr>
  </w:style>
  <w:style w:type="paragraph" w:styleId="Index8">
    <w:name w:val="index 8"/>
    <w:semiHidden/>
    <w:rPr>
      <w:color w:val="525E65"/>
    </w:rPr>
  </w:style>
  <w:style w:type="paragraph" w:styleId="Index7">
    <w:name w:val="index 7"/>
    <w:semiHidden/>
    <w:rPr>
      <w:color w:val="525E65"/>
    </w:rPr>
  </w:style>
  <w:style w:type="paragraph" w:styleId="Index6">
    <w:name w:val="index 6"/>
    <w:semiHidden/>
    <w:rPr>
      <w:color w:val="525E65"/>
    </w:rPr>
  </w:style>
  <w:style w:type="paragraph" w:styleId="Index5">
    <w:name w:val="index 5"/>
    <w:semiHidden/>
    <w:rPr>
      <w:color w:val="525E65"/>
    </w:rPr>
  </w:style>
  <w:style w:type="paragraph" w:styleId="Index4">
    <w:name w:val="index 4"/>
    <w:semiHidden/>
    <w:rPr>
      <w:color w:val="525E65"/>
    </w:rPr>
  </w:style>
  <w:style w:type="paragraph" w:styleId="Index3">
    <w:name w:val="index 3"/>
    <w:semiHidden/>
    <w:pPr>
      <w:ind w:left="408"/>
    </w:pPr>
    <w:rPr>
      <w:color w:val="525E65"/>
    </w:rPr>
  </w:style>
  <w:style w:type="paragraph" w:styleId="Index2">
    <w:name w:val="index 2"/>
    <w:semiHidden/>
    <w:unhideWhenUsed/>
    <w:pPr>
      <w:ind w:left="204"/>
    </w:pPr>
    <w:rPr>
      <w:color w:val="525E65"/>
    </w:rPr>
  </w:style>
  <w:style w:type="paragraph" w:styleId="Index1">
    <w:name w:val="index 1"/>
    <w:semiHidden/>
    <w:unhideWhenUsed/>
    <w:rPr>
      <w:color w:val="525E65"/>
    </w:rPr>
  </w:style>
  <w:style w:type="paragraph" w:styleId="TableofFigures">
    <w:name w:val="table of figures"/>
    <w:next w:val="Normal"/>
    <w:uiPriority w:val="39"/>
    <w:semiHidden/>
    <w:unhideWhenUsed/>
    <w:pPr>
      <w:tabs>
        <w:tab w:val="right" w:leader="dot" w:pos="8504"/>
      </w:tabs>
      <w:spacing w:before="120" w:after="0" w:line="240" w:lineRule="auto"/>
    </w:pPr>
    <w:rPr>
      <w:color w:val="525E65"/>
    </w:rPr>
  </w:style>
  <w:style w:type="paragraph" w:styleId="TOCHeading">
    <w:name w:val="TOC Heading"/>
    <w:next w:val="Normal"/>
    <w:uiPriority w:val="39"/>
    <w:unhideWhenUsed/>
    <w:qFormat/>
    <w:pPr>
      <w:keepNext/>
      <w:spacing w:before="240"/>
      <w:jc w:val="center"/>
    </w:pPr>
    <w:rPr>
      <w:b/>
      <w:color w:val="525E65"/>
    </w:rPr>
  </w:style>
  <w:style w:type="paragraph" w:customStyle="1" w:styleId="FigureSource">
    <w:name w:val="Figure Source"/>
    <w:next w:val="Normal"/>
    <w:uiPriority w:val="7"/>
    <w:pPr>
      <w:spacing w:line="240" w:lineRule="auto"/>
    </w:pPr>
    <w:rPr>
      <w:sz w:val="20"/>
    </w:rPr>
  </w:style>
  <w:style w:type="paragraph" w:customStyle="1" w:styleId="FigureNote">
    <w:name w:val="Figure Note"/>
    <w:next w:val="FigureSource"/>
    <w:uiPriority w:val="7"/>
    <w:pPr>
      <w:spacing w:line="240" w:lineRule="auto"/>
    </w:pPr>
    <w:rPr>
      <w:b/>
      <w:sz w:val="20"/>
    </w:rPr>
  </w:style>
  <w:style w:type="paragraph" w:customStyle="1" w:styleId="FigureBody">
    <w:name w:val="Figure Body"/>
    <w:next w:val="FigureNote"/>
    <w:uiPriority w:val="7"/>
    <w:pPr>
      <w:keepNext/>
      <w:spacing w:after="40" w:line="240" w:lineRule="auto"/>
    </w:pPr>
  </w:style>
  <w:style w:type="paragraph" w:customStyle="1" w:styleId="FigureSubtitle">
    <w:name w:val="Figure Subtitle"/>
    <w:next w:val="FigureBody"/>
    <w:uiPriority w:val="6"/>
    <w:pPr>
      <w:keepNext/>
      <w:spacing w:after="180"/>
    </w:pPr>
    <w:rPr>
      <w:color w:val="525E65"/>
      <w:sz w:val="28"/>
    </w:rPr>
  </w:style>
  <w:style w:type="paragraph" w:customStyle="1" w:styleId="FigureTitle">
    <w:name w:val="Figure Title"/>
    <w:next w:val="FigureBody"/>
    <w:uiPriority w:val="6"/>
    <w:pPr>
      <w:keepNext/>
      <w:spacing w:after="180"/>
    </w:pPr>
    <w:rPr>
      <w:b/>
      <w:color w:val="771D7B"/>
      <w:sz w:val="28"/>
    </w:rPr>
  </w:style>
  <w:style w:type="paragraph" w:customStyle="1" w:styleId="TableSource">
    <w:name w:val="Table Source"/>
    <w:next w:val="Normal"/>
    <w:uiPriority w:val="7"/>
    <w:pPr>
      <w:spacing w:before="80" w:after="360" w:line="240" w:lineRule="auto"/>
    </w:pPr>
    <w:rPr>
      <w:sz w:val="20"/>
    </w:rPr>
  </w:style>
  <w:style w:type="paragraph" w:customStyle="1" w:styleId="TableNote">
    <w:name w:val="Table Note"/>
    <w:next w:val="TableSource"/>
    <w:uiPriority w:val="7"/>
    <w:pPr>
      <w:spacing w:before="80" w:after="360" w:line="240" w:lineRule="auto"/>
    </w:pPr>
    <w:rPr>
      <w:b/>
      <w:sz w:val="20"/>
    </w:rPr>
  </w:style>
  <w:style w:type="paragraph" w:customStyle="1" w:styleId="TableBody">
    <w:name w:val="Table Body"/>
    <w:next w:val="TableNote"/>
    <w:uiPriority w:val="7"/>
    <w:pPr>
      <w:keepNext/>
      <w:spacing w:after="40" w:line="240" w:lineRule="auto"/>
    </w:pPr>
  </w:style>
  <w:style w:type="paragraph" w:customStyle="1" w:styleId="TableAlternative">
    <w:name w:val="Table Alternative"/>
    <w:pPr>
      <w:keepNext/>
      <w:spacing w:before="120" w:after="120"/>
    </w:pPr>
    <w:rPr>
      <w:color w:val="771D7B"/>
      <w:sz w:val="20"/>
    </w:rPr>
  </w:style>
  <w:style w:type="paragraph" w:customStyle="1" w:styleId="TableSubtitle">
    <w:name w:val="Table Subtitle"/>
    <w:next w:val="TableBody"/>
    <w:uiPriority w:val="6"/>
    <w:pPr>
      <w:keepNext/>
      <w:spacing w:after="120"/>
    </w:pPr>
    <w:rPr>
      <w:color w:val="525E65"/>
      <w:sz w:val="28"/>
    </w:rPr>
  </w:style>
  <w:style w:type="paragraph" w:customStyle="1" w:styleId="TableTitle">
    <w:name w:val="Table Title"/>
    <w:next w:val="TableBody"/>
    <w:uiPriority w:val="6"/>
    <w:pPr>
      <w:keepNext/>
      <w:spacing w:before="120" w:after="0"/>
    </w:pPr>
    <w:rPr>
      <w:b/>
      <w:color w:val="771D7B"/>
      <w:sz w:val="28"/>
    </w:rPr>
  </w:style>
  <w:style w:type="paragraph" w:styleId="ListParagraph">
    <w:name w:val="List Paragraph"/>
    <w:uiPriority w:val="5"/>
    <w:qFormat/>
    <w:pPr>
      <w:ind w:left="720"/>
      <w:contextualSpacing/>
    </w:pPr>
  </w:style>
  <w:style w:type="paragraph" w:customStyle="1" w:styleId="RomanParagraph">
    <w:name w:val="Roman Paragraph"/>
    <w:uiPriority w:val="3"/>
    <w:pPr>
      <w:numPr>
        <w:numId w:val="4"/>
      </w:numPr>
    </w:pPr>
  </w:style>
  <w:style w:type="paragraph" w:customStyle="1" w:styleId="References2">
    <w:name w:val="References 2"/>
    <w:next w:val="Normal"/>
    <w:uiPriority w:val="2"/>
    <w:qFormat/>
    <w:pPr>
      <w:keepNext/>
      <w:spacing w:before="520" w:after="320" w:line="240" w:lineRule="auto"/>
      <w:outlineLvl w:val="1"/>
    </w:pPr>
    <w:rPr>
      <w:color w:val="006FB4"/>
      <w:sz w:val="44"/>
    </w:rPr>
  </w:style>
  <w:style w:type="paragraph" w:customStyle="1" w:styleId="References1">
    <w:name w:val="References 1"/>
    <w:next w:val="Normal"/>
    <w:uiPriority w:val="2"/>
    <w:qFormat/>
    <w:pPr>
      <w:keepNext/>
      <w:pageBreakBefore/>
      <w:spacing w:before="600" w:after="400" w:line="240" w:lineRule="auto"/>
      <w:outlineLvl w:val="0"/>
    </w:pPr>
    <w:rPr>
      <w:b/>
      <w:color w:val="006FB4"/>
      <w:kern w:val="24"/>
      <w:sz w:val="52"/>
    </w:rPr>
  </w:style>
  <w:style w:type="paragraph" w:customStyle="1" w:styleId="HeadingNumbered4">
    <w:name w:val="Heading Numbered 4"/>
    <w:next w:val="Normal"/>
    <w:uiPriority w:val="2"/>
    <w:semiHidden/>
    <w:unhideWhenUsed/>
    <w:qFormat/>
    <w:pPr>
      <w:keepNext/>
      <w:numPr>
        <w:ilvl w:val="3"/>
        <w:numId w:val="5"/>
      </w:numPr>
      <w:spacing w:line="240" w:lineRule="auto"/>
      <w:ind w:left="1928" w:hanging="482"/>
      <w:outlineLvl w:val="3"/>
    </w:pPr>
    <w:rPr>
      <w:color w:val="525E65"/>
      <w:sz w:val="32"/>
    </w:rPr>
  </w:style>
  <w:style w:type="paragraph" w:customStyle="1" w:styleId="HeadingNumbered3">
    <w:name w:val="Heading Numbered 3"/>
    <w:next w:val="Normal"/>
    <w:uiPriority w:val="2"/>
    <w:unhideWhenUsed/>
    <w:qFormat/>
    <w:pPr>
      <w:keepNext/>
      <w:numPr>
        <w:ilvl w:val="2"/>
        <w:numId w:val="5"/>
      </w:numPr>
      <w:spacing w:before="320" w:line="240" w:lineRule="auto"/>
      <w:ind w:left="1446" w:hanging="482"/>
      <w:outlineLvl w:val="2"/>
    </w:pPr>
    <w:rPr>
      <w:b/>
      <w:color w:val="525E65"/>
      <w:sz w:val="36"/>
    </w:rPr>
  </w:style>
  <w:style w:type="paragraph" w:customStyle="1" w:styleId="HeadingNumbered2">
    <w:name w:val="Heading Numbered 2"/>
    <w:next w:val="Normal"/>
    <w:uiPriority w:val="2"/>
    <w:unhideWhenUsed/>
    <w:qFormat/>
    <w:pPr>
      <w:keepNext/>
      <w:numPr>
        <w:ilvl w:val="1"/>
        <w:numId w:val="5"/>
      </w:numPr>
      <w:spacing w:before="520" w:after="320" w:line="240" w:lineRule="auto"/>
      <w:outlineLvl w:val="1"/>
    </w:pPr>
    <w:rPr>
      <w:color w:val="006FB4"/>
      <w:sz w:val="44"/>
    </w:rPr>
  </w:style>
  <w:style w:type="paragraph" w:customStyle="1" w:styleId="HeadingNumbered1">
    <w:name w:val="Heading Numbered 1"/>
    <w:next w:val="Normal"/>
    <w:uiPriority w:val="2"/>
    <w:unhideWhenUsed/>
    <w:qFormat/>
    <w:pPr>
      <w:keepNext/>
      <w:pageBreakBefore/>
      <w:numPr>
        <w:numId w:val="5"/>
      </w:numPr>
      <w:spacing w:before="600" w:after="400" w:line="240" w:lineRule="auto"/>
      <w:outlineLvl w:val="0"/>
    </w:pPr>
    <w:rPr>
      <w:b/>
      <w:color w:val="006FB4"/>
      <w:kern w:val="24"/>
      <w:sz w:val="52"/>
    </w:rPr>
  </w:style>
  <w:style w:type="paragraph" w:customStyle="1" w:styleId="HeadingNoTOC4">
    <w:name w:val="Heading NoTOC 4"/>
    <w:next w:val="Normal"/>
    <w:uiPriority w:val="2"/>
    <w:semiHidden/>
    <w:unhideWhenUsed/>
    <w:qFormat/>
    <w:pPr>
      <w:keepNext/>
      <w:spacing w:line="240" w:lineRule="auto"/>
      <w:outlineLvl w:val="3"/>
    </w:pPr>
    <w:rPr>
      <w:color w:val="525E65"/>
      <w:sz w:val="32"/>
    </w:rPr>
  </w:style>
  <w:style w:type="paragraph" w:customStyle="1" w:styleId="HeadingNoTOC3">
    <w:name w:val="Heading NoTOC 3"/>
    <w:next w:val="Normal"/>
    <w:uiPriority w:val="2"/>
    <w:semiHidden/>
    <w:unhideWhenUsed/>
    <w:qFormat/>
    <w:pPr>
      <w:keepNext/>
      <w:spacing w:before="320" w:line="240" w:lineRule="auto"/>
      <w:outlineLvl w:val="2"/>
    </w:pPr>
    <w:rPr>
      <w:b/>
      <w:color w:val="525E65"/>
      <w:sz w:val="36"/>
    </w:rPr>
  </w:style>
  <w:style w:type="paragraph" w:customStyle="1" w:styleId="HeadingNoTOC2">
    <w:name w:val="Heading NoTOC 2"/>
    <w:next w:val="Normal"/>
    <w:uiPriority w:val="2"/>
    <w:unhideWhenUsed/>
    <w:qFormat/>
    <w:pPr>
      <w:keepNext/>
      <w:spacing w:before="520" w:after="320" w:line="240" w:lineRule="auto"/>
      <w:outlineLvl w:val="1"/>
    </w:pPr>
    <w:rPr>
      <w:color w:val="006FB4"/>
      <w:sz w:val="44"/>
    </w:rPr>
  </w:style>
  <w:style w:type="paragraph" w:customStyle="1" w:styleId="HeadingNoTOC1">
    <w:name w:val="Heading NoTOC 1"/>
    <w:next w:val="Normal"/>
    <w:uiPriority w:val="2"/>
    <w:qFormat/>
    <w:pPr>
      <w:keepNext/>
      <w:pageBreakBefore/>
      <w:spacing w:before="600" w:after="400" w:line="240" w:lineRule="auto"/>
      <w:outlineLvl w:val="0"/>
    </w:pPr>
    <w:rPr>
      <w:b/>
      <w:color w:val="006FB4"/>
      <w:kern w:val="24"/>
      <w:sz w:val="52"/>
    </w:rPr>
  </w:style>
  <w:style w:type="paragraph" w:customStyle="1" w:styleId="SectionSubsubtitle">
    <w:name w:val="Section Subsubtitle"/>
    <w:next w:val="Heading1"/>
    <w:pPr>
      <w:pBdr>
        <w:left w:val="single" w:sz="48" w:space="8" w:color="771D7B"/>
      </w:pBdr>
      <w:spacing w:after="0" w:line="240" w:lineRule="auto"/>
    </w:pPr>
    <w:rPr>
      <w:color w:val="8B82A1"/>
      <w:sz w:val="20"/>
    </w:rPr>
  </w:style>
  <w:style w:type="paragraph" w:customStyle="1" w:styleId="SectionSubtitle">
    <w:name w:val="Section Subtitle"/>
    <w:next w:val="SectionSubsubtitle"/>
    <w:pPr>
      <w:pBdr>
        <w:left w:val="single" w:sz="48" w:space="8" w:color="771D7B"/>
      </w:pBdr>
      <w:spacing w:after="0" w:line="240" w:lineRule="auto"/>
    </w:pPr>
    <w:rPr>
      <w:color w:val="8B82A1"/>
    </w:rPr>
  </w:style>
  <w:style w:type="paragraph" w:customStyle="1" w:styleId="SectionTitle">
    <w:name w:val="Section Title"/>
    <w:next w:val="SectionSubtitle"/>
    <w:pPr>
      <w:pBdr>
        <w:left w:val="single" w:sz="48" w:space="8" w:color="771D7B"/>
      </w:pBdr>
      <w:spacing w:after="0" w:line="240" w:lineRule="auto"/>
      <w:outlineLvl w:val="0"/>
    </w:pPr>
    <w:rPr>
      <w:b/>
      <w:color w:val="771D7B"/>
      <w:sz w:val="32"/>
    </w:rPr>
  </w:style>
  <w:style w:type="paragraph" w:customStyle="1" w:styleId="SectionNumber">
    <w:name w:val="Section Number"/>
    <w:next w:val="SectionTitle"/>
    <w:pPr>
      <w:pageBreakBefore/>
      <w:pBdr>
        <w:left w:val="single" w:sz="48" w:space="8" w:color="771D7B"/>
      </w:pBdr>
      <w:spacing w:after="0" w:line="240" w:lineRule="auto"/>
    </w:pPr>
    <w:rPr>
      <w:b/>
      <w:color w:val="8B82A1"/>
      <w:sz w:val="44"/>
    </w:rPr>
  </w:style>
  <w:style w:type="paragraph" w:customStyle="1" w:styleId="ChapterSubsubtitle">
    <w:name w:val="Chapter Subsubtitle"/>
    <w:next w:val="Heading1"/>
    <w:pPr>
      <w:pBdr>
        <w:left w:val="single" w:sz="48" w:space="8" w:color="771D7B"/>
      </w:pBdr>
      <w:spacing w:after="0" w:line="240" w:lineRule="auto"/>
    </w:pPr>
    <w:rPr>
      <w:color w:val="8B82A1"/>
    </w:rPr>
  </w:style>
  <w:style w:type="paragraph" w:customStyle="1" w:styleId="ChapterSubtitle">
    <w:name w:val="Chapter Subtitle"/>
    <w:next w:val="ChapterSubsubtitle"/>
    <w:pPr>
      <w:pBdr>
        <w:left w:val="single" w:sz="48" w:space="8" w:color="771D7B"/>
      </w:pBdr>
      <w:spacing w:after="0" w:line="240" w:lineRule="auto"/>
    </w:pPr>
    <w:rPr>
      <w:color w:val="8B82A1"/>
      <w:sz w:val="44"/>
    </w:rPr>
  </w:style>
  <w:style w:type="paragraph" w:customStyle="1" w:styleId="ChapterTitle">
    <w:name w:val="Chapter Title"/>
    <w:next w:val="ChapterSubtitle"/>
    <w:pPr>
      <w:pBdr>
        <w:left w:val="single" w:sz="48" w:space="8" w:color="771D7B"/>
      </w:pBdr>
      <w:spacing w:after="0" w:line="240" w:lineRule="auto"/>
      <w:outlineLvl w:val="0"/>
    </w:pPr>
    <w:rPr>
      <w:b/>
      <w:color w:val="771D7B"/>
      <w:sz w:val="56"/>
    </w:rPr>
  </w:style>
  <w:style w:type="paragraph" w:customStyle="1" w:styleId="ChapterNumber">
    <w:name w:val="Chapter Number"/>
    <w:next w:val="ChapterTitle"/>
    <w:pPr>
      <w:pageBreakBefore/>
      <w:pBdr>
        <w:left w:val="single" w:sz="48" w:space="8" w:color="771D7B"/>
      </w:pBdr>
      <w:spacing w:after="0" w:line="240" w:lineRule="auto"/>
    </w:pPr>
    <w:rPr>
      <w:b/>
      <w:color w:val="8B82A1"/>
      <w:sz w:val="72"/>
    </w:rPr>
  </w:style>
  <w:style w:type="paragraph" w:customStyle="1" w:styleId="PartSubsubtitle">
    <w:name w:val="Part Subsubtitle"/>
    <w:next w:val="Heading1"/>
    <w:pPr>
      <w:pBdr>
        <w:left w:val="single" w:sz="48" w:space="8" w:color="771D7B"/>
      </w:pBdr>
      <w:spacing w:after="0" w:line="240" w:lineRule="auto"/>
    </w:pPr>
    <w:rPr>
      <w:color w:val="8B82A1"/>
      <w:sz w:val="28"/>
    </w:rPr>
  </w:style>
  <w:style w:type="paragraph" w:customStyle="1" w:styleId="PartSubtitle">
    <w:name w:val="Part Subtitle"/>
    <w:next w:val="PartSubsubtitle"/>
    <w:pPr>
      <w:pBdr>
        <w:left w:val="single" w:sz="48" w:space="8" w:color="771D7B"/>
      </w:pBdr>
      <w:spacing w:after="0" w:line="240" w:lineRule="auto"/>
    </w:pPr>
    <w:rPr>
      <w:color w:val="8B82A1"/>
      <w:sz w:val="48"/>
    </w:rPr>
  </w:style>
  <w:style w:type="paragraph" w:customStyle="1" w:styleId="PartTitle">
    <w:name w:val="Part Title"/>
    <w:next w:val="PartSubtitle"/>
    <w:pPr>
      <w:pBdr>
        <w:left w:val="single" w:sz="48" w:space="8" w:color="771D7B"/>
      </w:pBdr>
      <w:spacing w:after="0" w:line="240" w:lineRule="auto"/>
      <w:outlineLvl w:val="0"/>
    </w:pPr>
    <w:rPr>
      <w:b/>
      <w:color w:val="771D7B"/>
      <w:sz w:val="84"/>
    </w:rPr>
  </w:style>
  <w:style w:type="paragraph" w:customStyle="1" w:styleId="PartNumber">
    <w:name w:val="Part Number"/>
    <w:next w:val="PartTitle"/>
    <w:pPr>
      <w:pageBreakBefore/>
      <w:pBdr>
        <w:left w:val="single" w:sz="48" w:space="8" w:color="771D7B"/>
      </w:pBdr>
      <w:spacing w:after="0" w:line="240" w:lineRule="auto"/>
    </w:pPr>
    <w:rPr>
      <w:b/>
      <w:color w:val="8B82A1"/>
      <w:sz w:val="156"/>
    </w:rPr>
  </w:style>
  <w:style w:type="paragraph" w:customStyle="1" w:styleId="PublicationDate">
    <w:name w:val="Publication Date"/>
    <w:uiPriority w:val="99"/>
    <w:qFormat/>
    <w:pPr>
      <w:spacing w:before="320" w:after="320"/>
      <w:jc w:val="right"/>
    </w:pPr>
    <w:rPr>
      <w:b/>
      <w:color w:val="525E65"/>
      <w:sz w:val="32"/>
    </w:rPr>
  </w:style>
  <w:style w:type="paragraph" w:customStyle="1" w:styleId="PublicationSubsubtitle">
    <w:name w:val="Publication Subsubtitle"/>
    <w:uiPriority w:val="99"/>
    <w:qFormat/>
    <w:pPr>
      <w:spacing w:after="400"/>
    </w:pPr>
    <w:rPr>
      <w:color w:val="8B82A1"/>
      <w:sz w:val="32"/>
    </w:rPr>
  </w:style>
  <w:style w:type="paragraph" w:customStyle="1" w:styleId="PublicationSubtitle">
    <w:name w:val="Publication Subtitle"/>
    <w:uiPriority w:val="99"/>
    <w:qFormat/>
    <w:pPr>
      <w:spacing w:before="600" w:after="0"/>
    </w:pPr>
    <w:rPr>
      <w:b/>
      <w:color w:val="8B82A1"/>
      <w:sz w:val="36"/>
    </w:rPr>
  </w:style>
  <w:style w:type="paragraph" w:customStyle="1" w:styleId="PublicationTitle">
    <w:name w:val="Publication Title"/>
    <w:uiPriority w:val="99"/>
    <w:qFormat/>
    <w:pPr>
      <w:spacing w:before="2000" w:after="400"/>
    </w:pPr>
    <w:rPr>
      <w:b/>
      <w:color w:val="771D7B"/>
      <w:sz w:val="72"/>
    </w:rPr>
  </w:style>
  <w:style w:type="paragraph" w:styleId="NoSpacing">
    <w:name w:val="No Spacing"/>
    <w:uiPriority w:val="2"/>
    <w:qFormat/>
    <w:pPr>
      <w:spacing w:line="240" w:lineRule="auto"/>
    </w:pPr>
  </w:style>
  <w:style w:type="paragraph" w:customStyle="1" w:styleId="NumberedParagraph">
    <w:name w:val="Numbered Paragraph"/>
    <w:uiPriority w:val="4"/>
    <w:pPr>
      <w:numPr>
        <w:numId w:val="6"/>
      </w:numPr>
    </w:pPr>
  </w:style>
  <w:style w:type="paragraph" w:customStyle="1" w:styleId="ListRoman">
    <w:name w:val="List Roman"/>
    <w:uiPriority w:val="1"/>
    <w:qFormat/>
    <w:pPr>
      <w:numPr>
        <w:numId w:val="10"/>
      </w:numPr>
    </w:pPr>
  </w:style>
  <w:style w:type="paragraph" w:customStyle="1" w:styleId="ListRomanLevel2">
    <w:name w:val="List Roman (Level 2)"/>
    <w:uiPriority w:val="1"/>
    <w:qFormat/>
    <w:pPr>
      <w:numPr>
        <w:ilvl w:val="1"/>
        <w:numId w:val="10"/>
      </w:numPr>
    </w:pPr>
  </w:style>
  <w:style w:type="paragraph" w:customStyle="1" w:styleId="ListRomanLevel3">
    <w:name w:val="List Roman (Level 3)"/>
    <w:uiPriority w:val="1"/>
    <w:qFormat/>
    <w:pPr>
      <w:numPr>
        <w:ilvl w:val="2"/>
        <w:numId w:val="10"/>
      </w:numPr>
    </w:pPr>
  </w:style>
  <w:style w:type="paragraph" w:customStyle="1" w:styleId="ListRomanLevel4">
    <w:name w:val="List Roman (Level 4)"/>
    <w:uiPriority w:val="1"/>
    <w:qFormat/>
    <w:pPr>
      <w:numPr>
        <w:ilvl w:val="3"/>
        <w:numId w:val="10"/>
      </w:numPr>
    </w:pPr>
  </w:style>
  <w:style w:type="paragraph" w:styleId="ListNumber">
    <w:name w:val="List Number"/>
    <w:basedOn w:val="Normal"/>
    <w:uiPriority w:val="1"/>
    <w:qFormat/>
    <w:pPr>
      <w:numPr>
        <w:numId w:val="7"/>
      </w:numPr>
    </w:pPr>
  </w:style>
  <w:style w:type="paragraph" w:customStyle="1" w:styleId="ListNumberLevel2">
    <w:name w:val="List Number (Level 2)"/>
    <w:basedOn w:val="ListNumber"/>
    <w:uiPriority w:val="1"/>
    <w:qFormat/>
    <w:pPr>
      <w:numPr>
        <w:ilvl w:val="1"/>
      </w:numPr>
    </w:pPr>
  </w:style>
  <w:style w:type="paragraph" w:customStyle="1" w:styleId="ListNumberLevel3">
    <w:name w:val="List Number (Level 3)"/>
    <w:basedOn w:val="ListNumber"/>
    <w:uiPriority w:val="1"/>
    <w:qFormat/>
    <w:pPr>
      <w:numPr>
        <w:ilvl w:val="2"/>
      </w:numPr>
    </w:pPr>
  </w:style>
  <w:style w:type="paragraph" w:customStyle="1" w:styleId="ListNumberLevel4">
    <w:name w:val="List Number (Level 4)"/>
    <w:basedOn w:val="ListNumber"/>
    <w:uiPriority w:val="1"/>
    <w:qFormat/>
    <w:pPr>
      <w:numPr>
        <w:ilvl w:val="3"/>
      </w:numPr>
    </w:pPr>
  </w:style>
  <w:style w:type="paragraph" w:customStyle="1" w:styleId="ListNumberLevel5">
    <w:name w:val="List Number (Level 5)"/>
    <w:uiPriority w:val="1"/>
    <w:qFormat/>
    <w:pPr>
      <w:numPr>
        <w:ilvl w:val="4"/>
        <w:numId w:val="7"/>
      </w:numPr>
    </w:pPr>
  </w:style>
  <w:style w:type="paragraph" w:customStyle="1" w:styleId="ListMixed">
    <w:name w:val="List Mixed"/>
    <w:uiPriority w:val="1"/>
    <w:qFormat/>
    <w:pPr>
      <w:numPr>
        <w:numId w:val="8"/>
      </w:numPr>
    </w:pPr>
  </w:style>
  <w:style w:type="paragraph" w:customStyle="1" w:styleId="ListMixedLevel2">
    <w:name w:val="List Mixed (Level 2)"/>
    <w:uiPriority w:val="1"/>
    <w:qFormat/>
    <w:pPr>
      <w:numPr>
        <w:ilvl w:val="1"/>
        <w:numId w:val="8"/>
      </w:numPr>
    </w:pPr>
  </w:style>
  <w:style w:type="paragraph" w:customStyle="1" w:styleId="ListMixedLevel3">
    <w:name w:val="List Mixed (Level 3)"/>
    <w:uiPriority w:val="1"/>
    <w:qFormat/>
    <w:pPr>
      <w:numPr>
        <w:ilvl w:val="2"/>
        <w:numId w:val="8"/>
      </w:numPr>
    </w:pPr>
  </w:style>
  <w:style w:type="paragraph" w:customStyle="1" w:styleId="ListMixedLevel4">
    <w:name w:val="List Mixed (Level 4)"/>
    <w:uiPriority w:val="1"/>
    <w:qFormat/>
    <w:pPr>
      <w:numPr>
        <w:ilvl w:val="3"/>
        <w:numId w:val="8"/>
      </w:numPr>
    </w:pPr>
  </w:style>
  <w:style w:type="paragraph" w:customStyle="1" w:styleId="ListMixedLevel5">
    <w:name w:val="List Mixed (Level 5)"/>
    <w:uiPriority w:val="1"/>
    <w:qFormat/>
    <w:pPr>
      <w:ind w:left="2835" w:hanging="567"/>
    </w:pPr>
  </w:style>
  <w:style w:type="paragraph" w:customStyle="1" w:styleId="Listabc">
    <w:name w:val="List abc"/>
    <w:uiPriority w:val="1"/>
    <w:qFormat/>
    <w:pPr>
      <w:numPr>
        <w:numId w:val="9"/>
      </w:numPr>
    </w:pPr>
  </w:style>
  <w:style w:type="paragraph" w:customStyle="1" w:styleId="ListabcLevel2">
    <w:name w:val="List abc (Level 2)"/>
    <w:uiPriority w:val="1"/>
    <w:qFormat/>
    <w:pPr>
      <w:numPr>
        <w:ilvl w:val="1"/>
        <w:numId w:val="9"/>
      </w:numPr>
    </w:pPr>
  </w:style>
  <w:style w:type="paragraph" w:customStyle="1" w:styleId="ListabcLevel3">
    <w:name w:val="List abc (Level 3)"/>
    <w:uiPriority w:val="1"/>
    <w:qFormat/>
    <w:pPr>
      <w:numPr>
        <w:ilvl w:val="2"/>
        <w:numId w:val="9"/>
      </w:numPr>
    </w:pPr>
  </w:style>
  <w:style w:type="paragraph" w:customStyle="1" w:styleId="ListabcLevel4">
    <w:name w:val="List abc (Level 4)"/>
    <w:uiPriority w:val="1"/>
    <w:qFormat/>
    <w:pPr>
      <w:numPr>
        <w:ilvl w:val="3"/>
        <w:numId w:val="9"/>
      </w:numPr>
    </w:pPr>
  </w:style>
  <w:style w:type="paragraph" w:customStyle="1" w:styleId="ListDash">
    <w:name w:val="List Dash"/>
    <w:uiPriority w:val="4"/>
    <w:qFormat/>
    <w:pPr>
      <w:numPr>
        <w:numId w:val="2"/>
      </w:numPr>
    </w:pPr>
  </w:style>
  <w:style w:type="paragraph" w:customStyle="1" w:styleId="ListDashLevel2">
    <w:name w:val="List Dash (Level 2)"/>
    <w:uiPriority w:val="4"/>
    <w:qFormat/>
    <w:pPr>
      <w:numPr>
        <w:ilvl w:val="1"/>
        <w:numId w:val="2"/>
      </w:numPr>
    </w:pPr>
  </w:style>
  <w:style w:type="paragraph" w:customStyle="1" w:styleId="ListDashLevel3">
    <w:name w:val="List Dash (Level 3)"/>
    <w:uiPriority w:val="4"/>
    <w:qFormat/>
    <w:pPr>
      <w:numPr>
        <w:ilvl w:val="2"/>
        <w:numId w:val="2"/>
      </w:numPr>
    </w:pPr>
  </w:style>
  <w:style w:type="paragraph" w:customStyle="1" w:styleId="ListDashLevel4">
    <w:name w:val="List Dash (Level 4)"/>
    <w:uiPriority w:val="4"/>
    <w:qFormat/>
    <w:pPr>
      <w:numPr>
        <w:ilvl w:val="3"/>
        <w:numId w:val="2"/>
      </w:numPr>
    </w:pPr>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link w:val="FootnoteTextChar"/>
    <w:unhideWhenUsed/>
    <w:qFormat/>
    <w:pPr>
      <w:spacing w:after="120"/>
      <w:ind w:left="283" w:hanging="283"/>
    </w:pPr>
    <w:rPr>
      <w:color w:val="525E65"/>
      <w:sz w:val="22"/>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link w:val="FootnoteText"/>
    <w:unhideWhenUsed/>
    <w:rPr>
      <w:color w:val="525E65"/>
      <w:sz w:val="22"/>
    </w:rPr>
  </w:style>
  <w:style w:type="paragraph" w:styleId="EndnoteText">
    <w:name w:val="endnote text"/>
    <w:link w:val="EndnoteTextChar"/>
    <w:uiPriority w:val="99"/>
    <w:semiHidden/>
    <w:unhideWhenUsed/>
    <w:pPr>
      <w:spacing w:after="120"/>
      <w:ind w:left="283" w:hanging="283"/>
    </w:pPr>
    <w:rPr>
      <w:color w:val="525E65"/>
      <w:sz w:val="22"/>
    </w:rPr>
  </w:style>
  <w:style w:type="character" w:customStyle="1" w:styleId="EndnoteTextChar">
    <w:name w:val="Endnote Text Char"/>
    <w:link w:val="EndnoteText"/>
    <w:uiPriority w:val="99"/>
    <w:semiHidden/>
    <w:unhideWhenUsed/>
    <w:rPr>
      <w:color w:val="525E65"/>
      <w:sz w:val="22"/>
    </w:rPr>
  </w:style>
  <w:style w:type="paragraph" w:styleId="Date">
    <w:name w:val="Date"/>
    <w:next w:val="Normal"/>
    <w:link w:val="DateChar"/>
    <w:uiPriority w:val="19"/>
    <w:semiHidden/>
    <w:unhideWhenUsed/>
    <w:pPr>
      <w:spacing w:after="0"/>
      <w:ind w:left="5669"/>
    </w:pPr>
  </w:style>
  <w:style w:type="character" w:customStyle="1" w:styleId="DateChar">
    <w:name w:val="Date Char"/>
    <w:link w:val="Date"/>
    <w:uiPriority w:val="19"/>
    <w:semiHidden/>
    <w:unhideWhenUsed/>
  </w:style>
  <w:style w:type="paragraph" w:styleId="Subtitle">
    <w:name w:val="Subtitle"/>
    <w:next w:val="Normal"/>
    <w:link w:val="SubtitleChar"/>
    <w:uiPriority w:val="15"/>
    <w:qFormat/>
    <w:pPr>
      <w:spacing w:before="2760"/>
      <w:jc w:val="center"/>
    </w:pPr>
    <w:rPr>
      <w:b/>
      <w:color w:val="056467"/>
      <w:sz w:val="52"/>
    </w:rPr>
  </w:style>
  <w:style w:type="character" w:customStyle="1" w:styleId="SubtitleChar">
    <w:name w:val="Subtitle Char"/>
    <w:link w:val="Subtitle"/>
    <w:uiPriority w:val="15"/>
    <w:qFormat/>
    <w:rPr>
      <w:b/>
      <w:color w:val="056467"/>
      <w:sz w:val="52"/>
    </w:rPr>
  </w:style>
  <w:style w:type="paragraph" w:styleId="Title">
    <w:name w:val="Title"/>
    <w:next w:val="Normal"/>
    <w:link w:val="TitleChar"/>
    <w:uiPriority w:val="14"/>
    <w:qFormat/>
    <w:pPr>
      <w:spacing w:beforeAutospacing="1"/>
      <w:jc w:val="center"/>
    </w:pPr>
    <w:rPr>
      <w:b/>
      <w:sz w:val="40"/>
    </w:rPr>
  </w:style>
  <w:style w:type="character" w:customStyle="1" w:styleId="TitleChar">
    <w:name w:val="Title Char"/>
    <w:link w:val="Title"/>
    <w:uiPriority w:val="14"/>
    <w:qFormat/>
    <w:rPr>
      <w:b/>
      <w:sz w:val="40"/>
    </w:rPr>
  </w:style>
  <w:style w:type="paragraph" w:customStyle="1" w:styleId="TOCParagraph">
    <w:name w:val="TOC Paragraph"/>
    <w:link w:val="TOCParagraphChar"/>
    <w:uiPriority w:val="38"/>
    <w:pPr>
      <w:spacing w:after="0"/>
      <w:jc w:val="right"/>
    </w:pPr>
    <w:rPr>
      <w:b/>
    </w:rPr>
  </w:style>
  <w:style w:type="character" w:customStyle="1" w:styleId="TOCParagraphChar">
    <w:name w:val="TOC Paragraph Char"/>
    <w:link w:val="TOCParagraph"/>
    <w:uiPriority w:val="38"/>
    <w:rPr>
      <w:b/>
    </w:rPr>
  </w:style>
  <w:style w:type="paragraph" w:styleId="Footer">
    <w:name w:val="footer"/>
    <w:link w:val="FooterChar"/>
    <w:uiPriority w:val="99"/>
    <w:unhideWhenUsed/>
    <w:pPr>
      <w:pBdr>
        <w:top w:val="single" w:sz="12" w:space="1" w:color="77777A"/>
      </w:pBdr>
      <w:tabs>
        <w:tab w:val="right" w:pos="8504"/>
      </w:tabs>
      <w:spacing w:after="0" w:line="240" w:lineRule="auto"/>
    </w:pPr>
    <w:rPr>
      <w:color w:val="525E65"/>
    </w:rPr>
  </w:style>
  <w:style w:type="character" w:customStyle="1" w:styleId="FooterChar">
    <w:name w:val="Footer Char"/>
    <w:link w:val="Footer"/>
    <w:uiPriority w:val="99"/>
    <w:unhideWhenUsed/>
    <w:rPr>
      <w:color w:val="525E65"/>
    </w:rPr>
  </w:style>
  <w:style w:type="paragraph" w:styleId="Header">
    <w:name w:val="header"/>
    <w:link w:val="HeaderChar"/>
    <w:uiPriority w:val="99"/>
    <w:unhideWhenUsed/>
    <w:pPr>
      <w:tabs>
        <w:tab w:val="right" w:pos="8504"/>
      </w:tabs>
    </w:pPr>
    <w:rPr>
      <w:color w:val="525E65"/>
    </w:rPr>
  </w:style>
  <w:style w:type="character" w:customStyle="1" w:styleId="HeaderChar">
    <w:name w:val="Header Char"/>
    <w:link w:val="Header"/>
    <w:uiPriority w:val="99"/>
    <w:unhideWhenUsed/>
    <w:rPr>
      <w:color w:val="525E65"/>
    </w:rPr>
  </w:style>
  <w:style w:type="character" w:customStyle="1" w:styleId="Heading9Char">
    <w:name w:val="Heading 9 Char"/>
    <w:link w:val="Heading9"/>
    <w:uiPriority w:val="2"/>
    <w:semiHidden/>
  </w:style>
  <w:style w:type="character" w:customStyle="1" w:styleId="Heading8Char">
    <w:name w:val="Heading 8 Char"/>
    <w:link w:val="Heading8"/>
    <w:uiPriority w:val="2"/>
    <w:semiHidden/>
  </w:style>
  <w:style w:type="character" w:customStyle="1" w:styleId="Heading7Char">
    <w:name w:val="Heading 7 Char"/>
    <w:link w:val="Heading7"/>
    <w:uiPriority w:val="2"/>
    <w:semiHidden/>
  </w:style>
  <w:style w:type="character" w:customStyle="1" w:styleId="Heading6Char">
    <w:name w:val="Heading 6 Char"/>
    <w:link w:val="Heading6"/>
    <w:uiPriority w:val="2"/>
    <w:semiHidden/>
  </w:style>
  <w:style w:type="character" w:customStyle="1" w:styleId="Heading5Char">
    <w:name w:val="Heading 5 Char"/>
    <w:link w:val="Heading5"/>
    <w:uiPriority w:val="2"/>
    <w:semiHidden/>
  </w:style>
  <w:style w:type="character" w:customStyle="1" w:styleId="Heading4Char">
    <w:name w:val="Heading 4 Char"/>
    <w:link w:val="Heading4"/>
    <w:uiPriority w:val="2"/>
    <w:semiHidden/>
    <w:unhideWhenUsed/>
    <w:qFormat/>
    <w:rPr>
      <w:color w:val="525E65"/>
      <w:sz w:val="32"/>
    </w:rPr>
  </w:style>
  <w:style w:type="character" w:customStyle="1" w:styleId="Heading3Char">
    <w:name w:val="Heading 3 Char"/>
    <w:link w:val="Heading3"/>
    <w:uiPriority w:val="2"/>
    <w:qFormat/>
    <w:rPr>
      <w:b/>
      <w:color w:val="525E65"/>
      <w:sz w:val="36"/>
    </w:rPr>
  </w:style>
  <w:style w:type="character" w:customStyle="1" w:styleId="Heading2Char">
    <w:name w:val="Heading 2 Char"/>
    <w:link w:val="Heading2"/>
    <w:uiPriority w:val="2"/>
    <w:qFormat/>
    <w:rPr>
      <w:color w:val="006FB4"/>
      <w:sz w:val="44"/>
    </w:rPr>
  </w:style>
  <w:style w:type="character" w:customStyle="1" w:styleId="Heading1Char">
    <w:name w:val="Heading 1 Char"/>
    <w:link w:val="Heading1"/>
    <w:uiPriority w:val="2"/>
    <w:qFormat/>
    <w:rPr>
      <w:b/>
      <w:color w:val="006FB4"/>
      <w:kern w:val="24"/>
      <w:sz w:val="52"/>
    </w:rPr>
  </w:style>
  <w:style w:type="table" w:styleId="TableGrid">
    <w:name w:val="Table Grid"/>
    <w:pPr>
      <w:spacing w:after="0" w:line="240" w:lineRule="auto"/>
    </w:pPr>
    <w:tblPr>
      <w:tblInd w:w="0" w:type="dxa"/>
      <w:tblBorders>
        <w:top w:val="single" w:sz="4" w:space="0" w:color="A4C4E6"/>
        <w:left w:val="single" w:sz="4" w:space="0" w:color="A4C4E6"/>
        <w:bottom w:val="single" w:sz="4" w:space="0" w:color="A4C4E6"/>
        <w:right w:val="single" w:sz="4" w:space="0" w:color="A4C4E6"/>
        <w:insideH w:val="single" w:sz="4" w:space="0" w:color="A4C4E6"/>
        <w:insideV w:val="single" w:sz="4" w:space="0" w:color="A4C4E6"/>
      </w:tblBorders>
      <w:tblCellMar>
        <w:top w:w="0" w:type="dxa"/>
        <w:left w:w="108" w:type="dxa"/>
        <w:bottom w:w="0" w:type="dxa"/>
        <w:right w:w="108" w:type="dxa"/>
      </w:tblCellMar>
    </w:tblPr>
    <w:tcPr>
      <w:shd w:val="clear" w:color="auto" w:fill="FFFFFF"/>
      <w:tcMar>
        <w:top w:w="80" w:type="dxa"/>
        <w:left w:w="120" w:type="dxa"/>
        <w:bottom w:w="80" w:type="dxa"/>
        <w:right w:w="120" w:type="dxa"/>
      </w:tcMar>
      <w:vAlign w:val="center"/>
    </w:tcPr>
    <w:tblStylePr w:type="firstRow">
      <w:pPr>
        <w:jc w:val="center"/>
      </w:pPr>
      <w:rPr>
        <w:rFonts w:ascii="Calibri" w:hAnsi="Calibri"/>
        <w:b/>
        <w:color w:val="006FB4"/>
        <w:sz w:val="24"/>
      </w:rPr>
      <w:tblPr/>
      <w:tcPr>
        <w:tcBorders>
          <w:bottom w:val="single" w:sz="4" w:space="0" w:color="FFFFFF"/>
          <w:insideH w:val="single" w:sz="4" w:space="0" w:color="FFFFFF"/>
          <w:insideV w:val="single" w:sz="4" w:space="0" w:color="FFFFFF"/>
        </w:tcBorders>
        <w:shd w:val="clear" w:color="auto" w:fill="A4C4E6"/>
        <w:vAlign w:val="center"/>
      </w:tcPr>
    </w:tblStylePr>
  </w:style>
  <w:style w:type="table" w:customStyle="1" w:styleId="BodyTable">
    <w:name w:val="Body Table"/>
    <w:pPr>
      <w:spacing w:after="0" w:line="240" w:lineRule="auto"/>
    </w:pPr>
    <w:tblPr>
      <w:tblInd w:w="0" w:type="dxa"/>
      <w:tblBorders>
        <w:top w:val="single" w:sz="4" w:space="0" w:color="A4C4E6"/>
        <w:left w:val="single" w:sz="4" w:space="0" w:color="A4C4E6"/>
        <w:bottom w:val="single" w:sz="4" w:space="0" w:color="A4C4E6"/>
        <w:right w:val="single" w:sz="4" w:space="0" w:color="A4C4E6"/>
        <w:insideH w:val="single" w:sz="4" w:space="0" w:color="A4C4E6"/>
        <w:insideV w:val="single" w:sz="4" w:space="0" w:color="A4C4E6"/>
      </w:tblBorders>
      <w:tblCellMar>
        <w:top w:w="0" w:type="dxa"/>
        <w:left w:w="108" w:type="dxa"/>
        <w:bottom w:w="0" w:type="dxa"/>
        <w:right w:w="108" w:type="dxa"/>
      </w:tblCellMar>
    </w:tblPr>
    <w:tcPr>
      <w:shd w:val="clear" w:color="auto" w:fill="FFFFFF"/>
      <w:tcMar>
        <w:top w:w="80" w:type="dxa"/>
        <w:left w:w="120" w:type="dxa"/>
        <w:bottom w:w="80" w:type="dxa"/>
        <w:right w:w="120" w:type="dxa"/>
      </w:tcMar>
      <w:vAlign w:val="center"/>
    </w:tcPr>
    <w:tblStylePr w:type="firstRow">
      <w:pPr>
        <w:jc w:val="center"/>
      </w:pPr>
      <w:rPr>
        <w:rFonts w:ascii="Calibri" w:hAnsi="Calibri"/>
        <w:b/>
        <w:color w:val="006FB4"/>
        <w:sz w:val="24"/>
      </w:rPr>
      <w:tblPr/>
      <w:tcPr>
        <w:tcBorders>
          <w:bottom w:val="single" w:sz="4" w:space="0" w:color="FFFFFF"/>
          <w:insideH w:val="single" w:sz="4" w:space="0" w:color="FFFFFF"/>
          <w:insideV w:val="single" w:sz="4" w:space="0" w:color="FFFFFF"/>
        </w:tcBorders>
        <w:shd w:val="clear" w:color="auto" w:fill="A4C4E6"/>
        <w:vAlign w:val="center"/>
      </w:tcPr>
    </w:tblStylePr>
  </w:style>
  <w:style w:type="table" w:customStyle="1" w:styleId="TableBoxC">
    <w:name w:val="Table Box C"/>
    <w:uiPriority w:val="99"/>
    <w:pPr>
      <w:spacing w:line="240" w:lineRule="auto"/>
    </w:pPr>
    <w:tblPr>
      <w:tblInd w:w="108" w:type="dxa"/>
      <w:tblBorders>
        <w:bottom w:val="single" w:sz="48" w:space="0" w:color="FFFFFF"/>
        <w:insideH w:val="single" w:sz="4" w:space="0" w:color="A4C4E6"/>
        <w:insideV w:val="single" w:sz="4" w:space="0" w:color="A4C4E6"/>
      </w:tblBorders>
      <w:tblCellMar>
        <w:top w:w="0" w:type="dxa"/>
        <w:left w:w="108" w:type="dxa"/>
        <w:bottom w:w="0" w:type="dxa"/>
        <w:right w:w="108" w:type="dxa"/>
      </w:tblCellMar>
    </w:tblPr>
    <w:tcPr>
      <w:shd w:val="clear" w:color="auto" w:fill="D5D8DA"/>
    </w:tcPr>
  </w:style>
  <w:style w:type="table" w:customStyle="1" w:styleId="TableBoxB">
    <w:name w:val="Table Box B"/>
    <w:uiPriority w:val="99"/>
    <w:pPr>
      <w:spacing w:line="240" w:lineRule="auto"/>
    </w:pPr>
    <w:tblPr>
      <w:tblInd w:w="108" w:type="dxa"/>
      <w:tblBorders>
        <w:bottom w:val="single" w:sz="48" w:space="0" w:color="FFFFFF" w:themeColor="background1"/>
        <w:insideH w:val="single" w:sz="4" w:space="0" w:color="A4C4E6"/>
        <w:insideV w:val="single" w:sz="4" w:space="0" w:color="A4C4E6"/>
      </w:tblBorders>
      <w:tblCellMar>
        <w:top w:w="0" w:type="dxa"/>
        <w:left w:w="108" w:type="dxa"/>
        <w:bottom w:w="0" w:type="dxa"/>
        <w:right w:w="108" w:type="dxa"/>
      </w:tblCellMar>
    </w:tblPr>
    <w:tcPr>
      <w:shd w:val="clear" w:color="auto" w:fill="DDF2FF"/>
    </w:tcPr>
  </w:style>
  <w:style w:type="table" w:customStyle="1" w:styleId="TableBoxA">
    <w:name w:val="Table Box A"/>
    <w:uiPriority w:val="99"/>
    <w:pPr>
      <w:spacing w:line="240" w:lineRule="auto"/>
    </w:pPr>
    <w:tblPr>
      <w:tblInd w:w="108" w:type="dxa"/>
      <w:tblBorders>
        <w:bottom w:val="single" w:sz="48" w:space="0" w:color="FFFFFF" w:themeColor="background1"/>
        <w:insideH w:val="single" w:sz="4" w:space="0" w:color="A4C4E6"/>
        <w:insideV w:val="single" w:sz="4" w:space="0" w:color="A4C4E6"/>
      </w:tblBorders>
      <w:tblCellMar>
        <w:top w:w="0" w:type="dxa"/>
        <w:left w:w="108" w:type="dxa"/>
        <w:bottom w:w="0" w:type="dxa"/>
        <w:right w:w="108" w:type="dxa"/>
      </w:tblCellMar>
    </w:tblPr>
    <w:tcPr>
      <w:shd w:val="clear" w:color="auto" w:fill="E7DBED"/>
    </w:tcPr>
  </w:style>
  <w:style w:type="table" w:customStyle="1" w:styleId="TableAboutBox">
    <w:name w:val="Table About Box"/>
    <w:uiPriority w:val="99"/>
    <w:pPr>
      <w:spacing w:line="240" w:lineRule="auto"/>
    </w:pPr>
    <w:tblPr>
      <w:tblInd w:w="0" w:type="dxa"/>
      <w:tblCellMar>
        <w:top w:w="108" w:type="dxa"/>
        <w:left w:w="108" w:type="dxa"/>
        <w:bottom w:w="108" w:type="dxa"/>
        <w:right w:w="108" w:type="dxa"/>
      </w:tblCellMar>
    </w:tblPr>
    <w:tcPr>
      <w:shd w:val="clear" w:color="auto" w:fill="EFF1F0"/>
    </w:tcPr>
  </w:style>
  <w:style w:type="table" w:customStyle="1" w:styleId="ApprovalTable">
    <w:name w:val="Approval Table"/>
    <w:uiPriority w:val="99"/>
    <w:pPr>
      <w:spacing w:line="240" w:lineRule="auto"/>
    </w:pPr>
    <w:rPr>
      <w:sz w:val="20"/>
      <w:lang w:val="fr-FR" w:eastAsia="fr-FR"/>
    </w:rPr>
    <w:tblPr>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blStylePr w:type="firstCol">
      <w:pPr>
        <w:wordWrap/>
        <w:spacing w:beforeLines="0"/>
      </w:pPr>
      <w:rPr>
        <w:rFonts w:ascii="Calibri" w:hAnsi="Calibri"/>
        <w:b w:val="0"/>
        <w:sz w:val="24"/>
      </w:rPr>
      <w:tblPr>
        <w:jc w:val="center"/>
      </w:tblPr>
      <w:trPr>
        <w:jc w:val="center"/>
      </w:trPr>
    </w:tblStylePr>
  </w:style>
  <w:style w:type="table" w:customStyle="1" w:styleId="TableLetterhead">
    <w:name w:val="Table Letterhead"/>
    <w:uiPriority w:val="99"/>
    <w:pPr>
      <w:spacing w:line="240" w:lineRule="auto"/>
    </w:pPr>
    <w:tblPr>
      <w:jc w:val="center"/>
      <w:tblInd w:w="0" w:type="dxa"/>
      <w:tblCellMar>
        <w:top w:w="0" w:type="dxa"/>
        <w:left w:w="0" w:type="dxa"/>
        <w:bottom w:w="0" w:type="dxa"/>
        <w:right w:w="0" w:type="dxa"/>
      </w:tblCellMar>
    </w:tblPr>
    <w:trPr>
      <w:jc w:val="center"/>
    </w:trPr>
  </w:style>
  <w:style w:type="paragraph" w:customStyle="1" w:styleId="FRAHeading1">
    <w:name w:val="(FRA) Heading 1"/>
    <w:next w:val="FRAHeading2"/>
    <w:autoRedefine/>
    <w:uiPriority w:val="1"/>
    <w:qFormat/>
    <w:rsid w:val="00FD4CB2"/>
    <w:pPr>
      <w:keepNext/>
      <w:numPr>
        <w:numId w:val="11"/>
      </w:numPr>
      <w:tabs>
        <w:tab w:val="left" w:pos="907"/>
      </w:tabs>
      <w:spacing w:before="240" w:after="60" w:line="276" w:lineRule="auto"/>
      <w:outlineLvl w:val="0"/>
    </w:pPr>
    <w:rPr>
      <w:rFonts w:ascii="Verdana" w:eastAsia="Calibri" w:hAnsi="Verdana" w:cs="Arial"/>
      <w:b/>
      <w:sz w:val="32"/>
      <w:szCs w:val="32"/>
      <w:lang w:eastAsia="en-US" w:bidi="en-US"/>
    </w:rPr>
  </w:style>
  <w:style w:type="paragraph" w:customStyle="1" w:styleId="FRAHeading2">
    <w:name w:val="(FRA) Heading 2"/>
    <w:basedOn w:val="FRAHeading1"/>
    <w:next w:val="FRAHeading3"/>
    <w:uiPriority w:val="1"/>
    <w:qFormat/>
    <w:rsid w:val="00FD4CB2"/>
    <w:pPr>
      <w:numPr>
        <w:ilvl w:val="1"/>
      </w:numPr>
      <w:outlineLvl w:val="1"/>
    </w:pPr>
    <w:rPr>
      <w:sz w:val="28"/>
      <w:szCs w:val="28"/>
    </w:rPr>
  </w:style>
  <w:style w:type="paragraph" w:customStyle="1" w:styleId="FRAHeading3">
    <w:name w:val="(FRA) Heading 3"/>
    <w:basedOn w:val="FRAHeading2"/>
    <w:next w:val="Normal"/>
    <w:uiPriority w:val="1"/>
    <w:qFormat/>
    <w:rsid w:val="00FD4CB2"/>
    <w:pPr>
      <w:numPr>
        <w:ilvl w:val="2"/>
      </w:numPr>
      <w:outlineLvl w:val="2"/>
    </w:pPr>
    <w:rPr>
      <w:sz w:val="24"/>
      <w:szCs w:val="24"/>
    </w:rPr>
  </w:style>
  <w:style w:type="paragraph" w:customStyle="1" w:styleId="FRAListNumbered">
    <w:name w:val="(FRA) List Numbered"/>
    <w:basedOn w:val="Normal"/>
    <w:autoRedefine/>
    <w:qFormat/>
    <w:rsid w:val="00FD4CB2"/>
    <w:pPr>
      <w:numPr>
        <w:ilvl w:val="4"/>
        <w:numId w:val="11"/>
      </w:numPr>
      <w:spacing w:after="200" w:line="276" w:lineRule="auto"/>
      <w:jc w:val="both"/>
    </w:pPr>
    <w:rPr>
      <w:rFonts w:ascii="Verdana" w:eastAsia="Calibri" w:hAnsi="Verdana" w:cstheme="minorBidi"/>
      <w:sz w:val="20"/>
      <w:szCs w:val="22"/>
      <w:lang w:eastAsia="en-US" w:bidi="en-US"/>
    </w:rPr>
  </w:style>
  <w:style w:type="paragraph" w:customStyle="1" w:styleId="FRAHeading4Unnumbered">
    <w:name w:val="(FRA) Heading 4 Unnumbered"/>
    <w:basedOn w:val="FRAHeading3"/>
    <w:next w:val="Normal"/>
    <w:autoRedefine/>
    <w:qFormat/>
    <w:rsid w:val="00236602"/>
    <w:pPr>
      <w:numPr>
        <w:ilvl w:val="3"/>
      </w:numPr>
      <w:tabs>
        <w:tab w:val="left" w:pos="0"/>
      </w:tabs>
      <w:outlineLvl w:val="3"/>
    </w:pPr>
    <w:rPr>
      <w:sz w:val="22"/>
    </w:rPr>
  </w:style>
  <w:style w:type="numbering" w:customStyle="1" w:styleId="FRAHeadings">
    <w:name w:val="(FRA) Headings"/>
    <w:uiPriority w:val="99"/>
    <w:rsid w:val="00FD4CB2"/>
    <w:pPr>
      <w:numPr>
        <w:numId w:val="11"/>
      </w:numPr>
    </w:pPr>
  </w:style>
  <w:style w:type="paragraph" w:customStyle="1" w:styleId="FRAListBullet">
    <w:name w:val="(FRA) List Bullet"/>
    <w:basedOn w:val="Normal"/>
    <w:autoRedefine/>
    <w:qFormat/>
    <w:rsid w:val="00FD4CB2"/>
    <w:pPr>
      <w:numPr>
        <w:ilvl w:val="5"/>
        <w:numId w:val="11"/>
      </w:numPr>
      <w:spacing w:after="200" w:line="276" w:lineRule="auto"/>
      <w:jc w:val="both"/>
    </w:pPr>
    <w:rPr>
      <w:rFonts w:ascii="Verdana" w:eastAsia="Calibri" w:hAnsi="Verdana" w:cstheme="minorBidi"/>
      <w:sz w:val="20"/>
      <w:szCs w:val="22"/>
      <w:lang w:eastAsia="en-US" w:bidi="en-US"/>
    </w:rPr>
  </w:style>
  <w:style w:type="character" w:styleId="CommentReference">
    <w:name w:val="annotation reference"/>
    <w:basedOn w:val="DefaultParagraphFont"/>
    <w:semiHidden/>
    <w:rsid w:val="00206AB5"/>
    <w:rPr>
      <w:sz w:val="16"/>
      <w:szCs w:val="16"/>
    </w:rPr>
  </w:style>
  <w:style w:type="paragraph" w:styleId="CommentText">
    <w:name w:val="annotation text"/>
    <w:basedOn w:val="Normal"/>
    <w:link w:val="CommentTextChar"/>
    <w:semiHidden/>
    <w:rsid w:val="00206AB5"/>
    <w:pPr>
      <w:spacing w:line="240" w:lineRule="auto"/>
    </w:pPr>
    <w:rPr>
      <w:sz w:val="20"/>
    </w:rPr>
  </w:style>
  <w:style w:type="character" w:customStyle="1" w:styleId="CommentTextChar">
    <w:name w:val="Comment Text Char"/>
    <w:basedOn w:val="DefaultParagraphFont"/>
    <w:link w:val="CommentText"/>
    <w:semiHidden/>
    <w:rsid w:val="00206AB5"/>
    <w:rPr>
      <w:sz w:val="20"/>
    </w:rPr>
  </w:style>
  <w:style w:type="paragraph" w:styleId="CommentSubject">
    <w:name w:val="annotation subject"/>
    <w:basedOn w:val="CommentText"/>
    <w:next w:val="CommentText"/>
    <w:link w:val="CommentSubjectChar"/>
    <w:semiHidden/>
    <w:rsid w:val="00206AB5"/>
    <w:rPr>
      <w:b/>
      <w:bCs/>
    </w:rPr>
  </w:style>
  <w:style w:type="character" w:customStyle="1" w:styleId="CommentSubjectChar">
    <w:name w:val="Comment Subject Char"/>
    <w:basedOn w:val="CommentTextChar"/>
    <w:link w:val="CommentSubject"/>
    <w:semiHidden/>
    <w:rsid w:val="00206AB5"/>
    <w:rPr>
      <w:b/>
      <w:bCs/>
      <w:sz w:val="20"/>
    </w:rPr>
  </w:style>
  <w:style w:type="paragraph" w:customStyle="1" w:styleId="FRABodyText">
    <w:name w:val="(FRA) Body Text"/>
    <w:link w:val="FRABodyTextChar"/>
    <w:autoRedefine/>
    <w:qFormat/>
    <w:rsid w:val="002B3544"/>
    <w:pPr>
      <w:spacing w:after="0" w:line="240" w:lineRule="auto"/>
      <w:jc w:val="both"/>
    </w:pPr>
    <w:rPr>
      <w:rFonts w:asciiTheme="minorHAnsi" w:eastAsia="Calibri" w:hAnsiTheme="minorHAnsi" w:cstheme="minorHAnsi"/>
      <w:sz w:val="22"/>
      <w:szCs w:val="22"/>
      <w:lang w:eastAsia="en-IE" w:bidi="en-US"/>
    </w:rPr>
  </w:style>
  <w:style w:type="character" w:customStyle="1" w:styleId="FRABodyTextChar">
    <w:name w:val="(FRA) Body Text Char"/>
    <w:basedOn w:val="DefaultParagraphFont"/>
    <w:link w:val="FRABodyText"/>
    <w:rsid w:val="002B3544"/>
    <w:rPr>
      <w:rFonts w:asciiTheme="minorHAnsi" w:eastAsia="Calibri" w:hAnsiTheme="minorHAnsi" w:cstheme="minorHAnsi"/>
      <w:sz w:val="22"/>
      <w:szCs w:val="22"/>
      <w:lang w:eastAsia="en-IE" w:bidi="en-US"/>
    </w:rPr>
  </w:style>
  <w:style w:type="paragraph" w:styleId="Revision">
    <w:name w:val="Revision"/>
    <w:hidden/>
    <w:semiHidden/>
    <w:rsid w:val="00572FAA"/>
    <w:pPr>
      <w:spacing w:after="0" w:line="240" w:lineRule="auto"/>
    </w:pPr>
  </w:style>
  <w:style w:type="paragraph" w:customStyle="1" w:styleId="FRATableRowHead">
    <w:name w:val="(FRA) Table Row Head"/>
    <w:basedOn w:val="FRABodyText"/>
    <w:next w:val="FRATableText"/>
    <w:autoRedefine/>
    <w:qFormat/>
    <w:rsid w:val="007616E1"/>
    <w:pPr>
      <w:spacing w:before="60" w:after="60"/>
      <w:contextualSpacing/>
    </w:pPr>
    <w:rPr>
      <w:rFonts w:eastAsia="Times New Roman"/>
      <w:b/>
      <w:szCs w:val="20"/>
    </w:rPr>
  </w:style>
  <w:style w:type="paragraph" w:customStyle="1" w:styleId="FRATableText">
    <w:name w:val="(FRA) Table Text"/>
    <w:basedOn w:val="FRABodyText"/>
    <w:autoRedefine/>
    <w:rsid w:val="007616E1"/>
    <w:pPr>
      <w:spacing w:before="40" w:after="40"/>
      <w:ind w:left="57"/>
      <w:contextualSpacing/>
    </w:pPr>
    <w:rPr>
      <w:rFonts w:cs="Arial"/>
      <w:bCs/>
      <w:szCs w:val="18"/>
      <w:lang w:eastAsia="en-US"/>
    </w:rPr>
  </w:style>
  <w:style w:type="character" w:styleId="UnresolvedMention">
    <w:name w:val="Unresolved Mention"/>
    <w:basedOn w:val="DefaultParagraphFont"/>
    <w:semiHidden/>
    <w:rsid w:val="00C2468F"/>
    <w:rPr>
      <w:color w:val="605E5C"/>
      <w:shd w:val="clear" w:color="auto" w:fill="E1DFDD"/>
    </w:rPr>
  </w:style>
  <w:style w:type="character" w:styleId="FollowedHyperlink">
    <w:name w:val="FollowedHyperlink"/>
    <w:basedOn w:val="DefaultParagraphFont"/>
    <w:semiHidden/>
    <w:rsid w:val="00F420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8297">
      <w:bodyDiv w:val="1"/>
      <w:marLeft w:val="0"/>
      <w:marRight w:val="0"/>
      <w:marTop w:val="0"/>
      <w:marBottom w:val="0"/>
      <w:divBdr>
        <w:top w:val="none" w:sz="0" w:space="0" w:color="auto"/>
        <w:left w:val="none" w:sz="0" w:space="0" w:color="auto"/>
        <w:bottom w:val="none" w:sz="0" w:space="0" w:color="auto"/>
        <w:right w:val="none" w:sz="0" w:space="0" w:color="auto"/>
      </w:divBdr>
    </w:div>
    <w:div w:id="55977787">
      <w:bodyDiv w:val="1"/>
      <w:marLeft w:val="0"/>
      <w:marRight w:val="0"/>
      <w:marTop w:val="0"/>
      <w:marBottom w:val="0"/>
      <w:divBdr>
        <w:top w:val="none" w:sz="0" w:space="0" w:color="auto"/>
        <w:left w:val="none" w:sz="0" w:space="0" w:color="auto"/>
        <w:bottom w:val="none" w:sz="0" w:space="0" w:color="auto"/>
        <w:right w:val="none" w:sz="0" w:space="0" w:color="auto"/>
      </w:divBdr>
    </w:div>
    <w:div w:id="209801712">
      <w:bodyDiv w:val="1"/>
      <w:marLeft w:val="0"/>
      <w:marRight w:val="0"/>
      <w:marTop w:val="0"/>
      <w:marBottom w:val="0"/>
      <w:divBdr>
        <w:top w:val="none" w:sz="0" w:space="0" w:color="auto"/>
        <w:left w:val="none" w:sz="0" w:space="0" w:color="auto"/>
        <w:bottom w:val="none" w:sz="0" w:space="0" w:color="auto"/>
        <w:right w:val="none" w:sz="0" w:space="0" w:color="auto"/>
      </w:divBdr>
    </w:div>
    <w:div w:id="222955305">
      <w:bodyDiv w:val="1"/>
      <w:marLeft w:val="0"/>
      <w:marRight w:val="0"/>
      <w:marTop w:val="0"/>
      <w:marBottom w:val="0"/>
      <w:divBdr>
        <w:top w:val="none" w:sz="0" w:space="0" w:color="auto"/>
        <w:left w:val="none" w:sz="0" w:space="0" w:color="auto"/>
        <w:bottom w:val="none" w:sz="0" w:space="0" w:color="auto"/>
        <w:right w:val="none" w:sz="0" w:space="0" w:color="auto"/>
      </w:divBdr>
    </w:div>
    <w:div w:id="254024166">
      <w:bodyDiv w:val="1"/>
      <w:marLeft w:val="0"/>
      <w:marRight w:val="0"/>
      <w:marTop w:val="0"/>
      <w:marBottom w:val="0"/>
      <w:divBdr>
        <w:top w:val="none" w:sz="0" w:space="0" w:color="auto"/>
        <w:left w:val="none" w:sz="0" w:space="0" w:color="auto"/>
        <w:bottom w:val="none" w:sz="0" w:space="0" w:color="auto"/>
        <w:right w:val="none" w:sz="0" w:space="0" w:color="auto"/>
      </w:divBdr>
    </w:div>
    <w:div w:id="271130229">
      <w:bodyDiv w:val="1"/>
      <w:marLeft w:val="0"/>
      <w:marRight w:val="0"/>
      <w:marTop w:val="0"/>
      <w:marBottom w:val="0"/>
      <w:divBdr>
        <w:top w:val="none" w:sz="0" w:space="0" w:color="auto"/>
        <w:left w:val="none" w:sz="0" w:space="0" w:color="auto"/>
        <w:bottom w:val="none" w:sz="0" w:space="0" w:color="auto"/>
        <w:right w:val="none" w:sz="0" w:space="0" w:color="auto"/>
      </w:divBdr>
    </w:div>
    <w:div w:id="346835718">
      <w:bodyDiv w:val="1"/>
      <w:marLeft w:val="0"/>
      <w:marRight w:val="0"/>
      <w:marTop w:val="0"/>
      <w:marBottom w:val="0"/>
      <w:divBdr>
        <w:top w:val="none" w:sz="0" w:space="0" w:color="auto"/>
        <w:left w:val="none" w:sz="0" w:space="0" w:color="auto"/>
        <w:bottom w:val="none" w:sz="0" w:space="0" w:color="auto"/>
        <w:right w:val="none" w:sz="0" w:space="0" w:color="auto"/>
      </w:divBdr>
    </w:div>
    <w:div w:id="487594771">
      <w:bodyDiv w:val="1"/>
      <w:marLeft w:val="0"/>
      <w:marRight w:val="0"/>
      <w:marTop w:val="0"/>
      <w:marBottom w:val="0"/>
      <w:divBdr>
        <w:top w:val="none" w:sz="0" w:space="0" w:color="auto"/>
        <w:left w:val="none" w:sz="0" w:space="0" w:color="auto"/>
        <w:bottom w:val="none" w:sz="0" w:space="0" w:color="auto"/>
        <w:right w:val="none" w:sz="0" w:space="0" w:color="auto"/>
      </w:divBdr>
    </w:div>
    <w:div w:id="507599976">
      <w:bodyDiv w:val="1"/>
      <w:marLeft w:val="0"/>
      <w:marRight w:val="0"/>
      <w:marTop w:val="0"/>
      <w:marBottom w:val="0"/>
      <w:divBdr>
        <w:top w:val="none" w:sz="0" w:space="0" w:color="auto"/>
        <w:left w:val="none" w:sz="0" w:space="0" w:color="auto"/>
        <w:bottom w:val="none" w:sz="0" w:space="0" w:color="auto"/>
        <w:right w:val="none" w:sz="0" w:space="0" w:color="auto"/>
      </w:divBdr>
    </w:div>
    <w:div w:id="541753187">
      <w:bodyDiv w:val="1"/>
      <w:marLeft w:val="0"/>
      <w:marRight w:val="0"/>
      <w:marTop w:val="0"/>
      <w:marBottom w:val="0"/>
      <w:divBdr>
        <w:top w:val="none" w:sz="0" w:space="0" w:color="auto"/>
        <w:left w:val="none" w:sz="0" w:space="0" w:color="auto"/>
        <w:bottom w:val="none" w:sz="0" w:space="0" w:color="auto"/>
        <w:right w:val="none" w:sz="0" w:space="0" w:color="auto"/>
      </w:divBdr>
    </w:div>
    <w:div w:id="575818638">
      <w:bodyDiv w:val="1"/>
      <w:marLeft w:val="0"/>
      <w:marRight w:val="0"/>
      <w:marTop w:val="0"/>
      <w:marBottom w:val="0"/>
      <w:divBdr>
        <w:top w:val="none" w:sz="0" w:space="0" w:color="auto"/>
        <w:left w:val="none" w:sz="0" w:space="0" w:color="auto"/>
        <w:bottom w:val="none" w:sz="0" w:space="0" w:color="auto"/>
        <w:right w:val="none" w:sz="0" w:space="0" w:color="auto"/>
      </w:divBdr>
    </w:div>
    <w:div w:id="605582255">
      <w:bodyDiv w:val="1"/>
      <w:marLeft w:val="0"/>
      <w:marRight w:val="0"/>
      <w:marTop w:val="0"/>
      <w:marBottom w:val="0"/>
      <w:divBdr>
        <w:top w:val="none" w:sz="0" w:space="0" w:color="auto"/>
        <w:left w:val="none" w:sz="0" w:space="0" w:color="auto"/>
        <w:bottom w:val="none" w:sz="0" w:space="0" w:color="auto"/>
        <w:right w:val="none" w:sz="0" w:space="0" w:color="auto"/>
      </w:divBdr>
    </w:div>
    <w:div w:id="1045640437">
      <w:bodyDiv w:val="1"/>
      <w:marLeft w:val="0"/>
      <w:marRight w:val="0"/>
      <w:marTop w:val="0"/>
      <w:marBottom w:val="0"/>
      <w:divBdr>
        <w:top w:val="none" w:sz="0" w:space="0" w:color="auto"/>
        <w:left w:val="none" w:sz="0" w:space="0" w:color="auto"/>
        <w:bottom w:val="none" w:sz="0" w:space="0" w:color="auto"/>
        <w:right w:val="none" w:sz="0" w:space="0" w:color="auto"/>
      </w:divBdr>
    </w:div>
    <w:div w:id="1305694900">
      <w:bodyDiv w:val="1"/>
      <w:marLeft w:val="0"/>
      <w:marRight w:val="0"/>
      <w:marTop w:val="0"/>
      <w:marBottom w:val="0"/>
      <w:divBdr>
        <w:top w:val="none" w:sz="0" w:space="0" w:color="auto"/>
        <w:left w:val="none" w:sz="0" w:space="0" w:color="auto"/>
        <w:bottom w:val="none" w:sz="0" w:space="0" w:color="auto"/>
        <w:right w:val="none" w:sz="0" w:space="0" w:color="auto"/>
      </w:divBdr>
    </w:div>
    <w:div w:id="1329213467">
      <w:bodyDiv w:val="1"/>
      <w:marLeft w:val="0"/>
      <w:marRight w:val="0"/>
      <w:marTop w:val="0"/>
      <w:marBottom w:val="0"/>
      <w:divBdr>
        <w:top w:val="none" w:sz="0" w:space="0" w:color="auto"/>
        <w:left w:val="none" w:sz="0" w:space="0" w:color="auto"/>
        <w:bottom w:val="none" w:sz="0" w:space="0" w:color="auto"/>
        <w:right w:val="none" w:sz="0" w:space="0" w:color="auto"/>
      </w:divBdr>
    </w:div>
    <w:div w:id="1342776603">
      <w:bodyDiv w:val="1"/>
      <w:marLeft w:val="0"/>
      <w:marRight w:val="0"/>
      <w:marTop w:val="0"/>
      <w:marBottom w:val="0"/>
      <w:divBdr>
        <w:top w:val="none" w:sz="0" w:space="0" w:color="auto"/>
        <w:left w:val="none" w:sz="0" w:space="0" w:color="auto"/>
        <w:bottom w:val="none" w:sz="0" w:space="0" w:color="auto"/>
        <w:right w:val="none" w:sz="0" w:space="0" w:color="auto"/>
      </w:divBdr>
    </w:div>
    <w:div w:id="1392461830">
      <w:bodyDiv w:val="1"/>
      <w:marLeft w:val="0"/>
      <w:marRight w:val="0"/>
      <w:marTop w:val="0"/>
      <w:marBottom w:val="0"/>
      <w:divBdr>
        <w:top w:val="none" w:sz="0" w:space="0" w:color="auto"/>
        <w:left w:val="none" w:sz="0" w:space="0" w:color="auto"/>
        <w:bottom w:val="none" w:sz="0" w:space="0" w:color="auto"/>
        <w:right w:val="none" w:sz="0" w:space="0" w:color="auto"/>
      </w:divBdr>
    </w:div>
    <w:div w:id="1408503185">
      <w:bodyDiv w:val="1"/>
      <w:marLeft w:val="0"/>
      <w:marRight w:val="0"/>
      <w:marTop w:val="0"/>
      <w:marBottom w:val="0"/>
      <w:divBdr>
        <w:top w:val="none" w:sz="0" w:space="0" w:color="auto"/>
        <w:left w:val="none" w:sz="0" w:space="0" w:color="auto"/>
        <w:bottom w:val="none" w:sz="0" w:space="0" w:color="auto"/>
        <w:right w:val="none" w:sz="0" w:space="0" w:color="auto"/>
      </w:divBdr>
    </w:div>
    <w:div w:id="1467625866">
      <w:bodyDiv w:val="1"/>
      <w:marLeft w:val="0"/>
      <w:marRight w:val="0"/>
      <w:marTop w:val="0"/>
      <w:marBottom w:val="0"/>
      <w:divBdr>
        <w:top w:val="none" w:sz="0" w:space="0" w:color="auto"/>
        <w:left w:val="none" w:sz="0" w:space="0" w:color="auto"/>
        <w:bottom w:val="none" w:sz="0" w:space="0" w:color="auto"/>
        <w:right w:val="none" w:sz="0" w:space="0" w:color="auto"/>
      </w:divBdr>
    </w:div>
    <w:div w:id="1525441354">
      <w:bodyDiv w:val="1"/>
      <w:marLeft w:val="0"/>
      <w:marRight w:val="0"/>
      <w:marTop w:val="0"/>
      <w:marBottom w:val="0"/>
      <w:divBdr>
        <w:top w:val="none" w:sz="0" w:space="0" w:color="auto"/>
        <w:left w:val="none" w:sz="0" w:space="0" w:color="auto"/>
        <w:bottom w:val="none" w:sz="0" w:space="0" w:color="auto"/>
        <w:right w:val="none" w:sz="0" w:space="0" w:color="auto"/>
      </w:divBdr>
    </w:div>
    <w:div w:id="1595018143">
      <w:bodyDiv w:val="1"/>
      <w:marLeft w:val="0"/>
      <w:marRight w:val="0"/>
      <w:marTop w:val="0"/>
      <w:marBottom w:val="0"/>
      <w:divBdr>
        <w:top w:val="none" w:sz="0" w:space="0" w:color="auto"/>
        <w:left w:val="none" w:sz="0" w:space="0" w:color="auto"/>
        <w:bottom w:val="none" w:sz="0" w:space="0" w:color="auto"/>
        <w:right w:val="none" w:sz="0" w:space="0" w:color="auto"/>
      </w:divBdr>
    </w:div>
    <w:div w:id="1618174205">
      <w:bodyDiv w:val="1"/>
      <w:marLeft w:val="0"/>
      <w:marRight w:val="0"/>
      <w:marTop w:val="0"/>
      <w:marBottom w:val="0"/>
      <w:divBdr>
        <w:top w:val="none" w:sz="0" w:space="0" w:color="auto"/>
        <w:left w:val="none" w:sz="0" w:space="0" w:color="auto"/>
        <w:bottom w:val="none" w:sz="0" w:space="0" w:color="auto"/>
        <w:right w:val="none" w:sz="0" w:space="0" w:color="auto"/>
      </w:divBdr>
    </w:div>
    <w:div w:id="1686248786">
      <w:bodyDiv w:val="1"/>
      <w:marLeft w:val="0"/>
      <w:marRight w:val="0"/>
      <w:marTop w:val="0"/>
      <w:marBottom w:val="0"/>
      <w:divBdr>
        <w:top w:val="none" w:sz="0" w:space="0" w:color="auto"/>
        <w:left w:val="none" w:sz="0" w:space="0" w:color="auto"/>
        <w:bottom w:val="none" w:sz="0" w:space="0" w:color="auto"/>
        <w:right w:val="none" w:sz="0" w:space="0" w:color="auto"/>
      </w:divBdr>
    </w:div>
    <w:div w:id="1714883480">
      <w:bodyDiv w:val="1"/>
      <w:marLeft w:val="0"/>
      <w:marRight w:val="0"/>
      <w:marTop w:val="0"/>
      <w:marBottom w:val="0"/>
      <w:divBdr>
        <w:top w:val="none" w:sz="0" w:space="0" w:color="auto"/>
        <w:left w:val="none" w:sz="0" w:space="0" w:color="auto"/>
        <w:bottom w:val="none" w:sz="0" w:space="0" w:color="auto"/>
        <w:right w:val="none" w:sz="0" w:space="0" w:color="auto"/>
      </w:divBdr>
    </w:div>
    <w:div w:id="1772239606">
      <w:bodyDiv w:val="1"/>
      <w:marLeft w:val="0"/>
      <w:marRight w:val="0"/>
      <w:marTop w:val="0"/>
      <w:marBottom w:val="0"/>
      <w:divBdr>
        <w:top w:val="none" w:sz="0" w:space="0" w:color="auto"/>
        <w:left w:val="none" w:sz="0" w:space="0" w:color="auto"/>
        <w:bottom w:val="none" w:sz="0" w:space="0" w:color="auto"/>
        <w:right w:val="none" w:sz="0" w:space="0" w:color="auto"/>
      </w:divBdr>
    </w:div>
    <w:div w:id="1772779185">
      <w:bodyDiv w:val="1"/>
      <w:marLeft w:val="0"/>
      <w:marRight w:val="0"/>
      <w:marTop w:val="0"/>
      <w:marBottom w:val="0"/>
      <w:divBdr>
        <w:top w:val="none" w:sz="0" w:space="0" w:color="auto"/>
        <w:left w:val="none" w:sz="0" w:space="0" w:color="auto"/>
        <w:bottom w:val="none" w:sz="0" w:space="0" w:color="auto"/>
        <w:right w:val="none" w:sz="0" w:space="0" w:color="auto"/>
      </w:divBdr>
    </w:div>
    <w:div w:id="1794397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vaalit.fi/apua-ongelmatilanteiss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vaalit.fi/sv/allman-hjalpsid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17" Type="http://schemas.openxmlformats.org/officeDocument/2006/relationships/hyperlink" Target="https://julkaisut.valtioneuvosto.fi/handle/10024/165118" TargetMode="External"/><Relationship Id="rId21" Type="http://schemas.openxmlformats.org/officeDocument/2006/relationships/hyperlink" Target="https://dvv.fi/aanioikeus" TargetMode="External"/><Relationship Id="rId42" Type="http://schemas.openxmlformats.org/officeDocument/2006/relationships/hyperlink" Target="https://finlex.fi/fi/laki/alkup/2019/20190808" TargetMode="External"/><Relationship Id="rId63" Type="http://schemas.openxmlformats.org/officeDocument/2006/relationships/hyperlink" Target="https://www.yvtltk.fi/material/collections/20230609110359/Hs0NkTgA5/Tapausseloste_YVTltk_3xx_2018_vaalikampanjatilan_esteettomyys.pdf" TargetMode="External"/><Relationship Id="rId84" Type="http://schemas.openxmlformats.org/officeDocument/2006/relationships/hyperlink" Target="https://julkaisut.valtioneuvosto.fi/handle/10024/165118" TargetMode="External"/><Relationship Id="rId138" Type="http://schemas.openxmlformats.org/officeDocument/2006/relationships/hyperlink" Target="https://www.invalidiliitto.fi/ajankohtaista/esteettomyyden-toteutumisessa-puutteita-kevaan-2023-eduskuntavaalien" TargetMode="External"/><Relationship Id="rId16" Type="http://schemas.openxmlformats.org/officeDocument/2006/relationships/hyperlink" Target="https://finlex.fi/fi/laki/ajantasa/2015/20150410" TargetMode="External"/><Relationship Id="rId107" Type="http://schemas.openxmlformats.org/officeDocument/2006/relationships/hyperlink" Target="https://vm.fi/documents/10623/68097244/Valtioneuvoston+periaatep%C3%A4%C3%A4t%C3%B6s+valtion+toimitilastrategiaksi.pdf/9adb45e9-f7d1-90ce-511b-e53bbaee3e71/Valtioneuvoston+periaatep%C3%A4%C3%A4t%C3%B6s+valtion+toimitilastrategiaksi.pdf?t=1658140212929" TargetMode="External"/><Relationship Id="rId11" Type="http://schemas.openxmlformats.org/officeDocument/2006/relationships/hyperlink" Target="https://finlex.fi/fi/laki/kaannokset/1999/en19990731.pdf" TargetMode="External"/><Relationship Id="rId32" Type="http://schemas.openxmlformats.org/officeDocument/2006/relationships/hyperlink" Target="https://vaalit.fi/aanestaminen-laitoksessa" TargetMode="External"/><Relationship Id="rId37" Type="http://schemas.openxmlformats.org/officeDocument/2006/relationships/hyperlink" Target="https://vaalit.fi/sv/bistaende-av-valjaren" TargetMode="External"/><Relationship Id="rId53" Type="http://schemas.openxmlformats.org/officeDocument/2006/relationships/hyperlink" Target="https://finlex.fi/fi/laki/ajantasa/2003/20030434" TargetMode="External"/><Relationship Id="rId58" Type="http://schemas.openxmlformats.org/officeDocument/2006/relationships/hyperlink" Target="https://www.oikeusasiamies.fi/sv/tillganglighetsutlatande" TargetMode="External"/><Relationship Id="rId74" Type="http://schemas.openxmlformats.org/officeDocument/2006/relationships/hyperlink" Target="https://www.finlex.fi/fi/laki/alkup/2016/20160908" TargetMode="External"/><Relationship Id="rId79" Type="http://schemas.openxmlformats.org/officeDocument/2006/relationships/hyperlink" Target="https://www.lausuntopalvelu.fi/FI/Proposal/Participation?proposalId=35d25a9b-5196-494e-87c4-6841101b5901" TargetMode="External"/><Relationship Id="rId102" Type="http://schemas.openxmlformats.org/officeDocument/2006/relationships/hyperlink" Target="https://val.sfp.fi/fi/vaaliohjelma/selkokielinen-vaaliohjelma-2023/" TargetMode="External"/><Relationship Id="rId123" Type="http://schemas.openxmlformats.org/officeDocument/2006/relationships/hyperlink" Target="https://www.oikeusasiamies.fi/en/w/deficiencies-in-arrangements-for-advance-voting-and-voting-at-special-advance-voting-facilities-found-in-unannounced-inspections?redirect=%2Fen%2Fpress-releases" TargetMode="External"/><Relationship Id="rId128" Type="http://schemas.openxmlformats.org/officeDocument/2006/relationships/hyperlink" Target="https://www.oikeusasiamies.fi/documents/20184/39006/summary2016" TargetMode="External"/><Relationship Id="rId5" Type="http://schemas.openxmlformats.org/officeDocument/2006/relationships/hyperlink" Target="https://julkaisut.valtioneuvosto.fi/bitstream/handle/10024/162687/STM_2021_2_J.pdf?sequence=1&amp;isAllowed=y" TargetMode="External"/><Relationship Id="rId90" Type="http://schemas.openxmlformats.org/officeDocument/2006/relationships/hyperlink" Target="https://finlex.fi/fi/laki/alkup/2017/20170241" TargetMode="External"/><Relationship Id="rId95" Type="http://schemas.openxmlformats.org/officeDocument/2006/relationships/hyperlink" Target="https://finlex.fi/fi/laki/ajantasa/2014/20140917" TargetMode="External"/><Relationship Id="rId22" Type="http://schemas.openxmlformats.org/officeDocument/2006/relationships/hyperlink" Target="https://dvv.fi/sv/rostratt" TargetMode="External"/><Relationship Id="rId27" Type="http://schemas.openxmlformats.org/officeDocument/2006/relationships/hyperlink" Target="https://finlex.fi/sv/laki/ajantasa/1998/19980714" TargetMode="External"/><Relationship Id="rId43" Type="http://schemas.openxmlformats.org/officeDocument/2006/relationships/hyperlink" Target="https://finlex.fi/sv/laki/alkup/2019/20190808" TargetMode="External"/><Relationship Id="rId48" Type="http://schemas.openxmlformats.org/officeDocument/2006/relationships/hyperlink" Target="https://finlex.fi/sv/laki/alkup/2014/20141325" TargetMode="External"/><Relationship Id="rId64" Type="http://schemas.openxmlformats.org/officeDocument/2006/relationships/hyperlink" Target="https://www.oikeusasiamies.fi/en/-/shortcomings-in-accessibility-and-protecting-the-secrecy-of-the-ballot?redirect=%2Fen%2Ftiedotteet1%2F-%2Fcategories%2F56461" TargetMode="External"/><Relationship Id="rId69" Type="http://schemas.openxmlformats.org/officeDocument/2006/relationships/hyperlink" Target="https://vaalit.fi/documents/5430845/151506146/02+Kirje+kunnanhallituksille+(pl.+Ahvenanmaan+maakunta).+Vuoden+2024+vaalit,+2.6.2023.pdf/434b0a39-f1d5-648b-dc35-403a4a04a0a0/02+Kirje+kunnanhallituksille+(pl.+Ahvenanmaan+maakunta).+Vuoden+2024+vaalit,+2.6.2023.pdf?version=1.6&amp;t=1692169138168" TargetMode="External"/><Relationship Id="rId113" Type="http://schemas.openxmlformats.org/officeDocument/2006/relationships/hyperlink" Target="https://www.eduskunta.fi/FI/vaski/HallituksenEsitys/Documents/HE_139+2022.pdf" TargetMode="External"/><Relationship Id="rId118" Type="http://schemas.openxmlformats.org/officeDocument/2006/relationships/hyperlink" Target="https://julkaisut.valtioneuvosto.fi/bitstream/handle/10024/163652/VNTEAS_2021_71.pdf?sequence=4&amp;isAllowed=y" TargetMode="External"/><Relationship Id="rId134" Type="http://schemas.openxmlformats.org/officeDocument/2006/relationships/hyperlink" Target="https://www.invalidiliitto.fi/aanestyspaikkojen-esteettomyyden-tarkistuslista" TargetMode="External"/><Relationship Id="rId80" Type="http://schemas.openxmlformats.org/officeDocument/2006/relationships/hyperlink" Target="https://finlex.fi/fi/laki/ajantasa/2015/20150410" TargetMode="External"/><Relationship Id="rId85" Type="http://schemas.openxmlformats.org/officeDocument/2006/relationships/hyperlink" Target="https://julkaisut.valtioneuvosto.fi/bitstream/handle/10024/163217/STM_2021_22_J.pdf?sequence=1" TargetMode="External"/><Relationship Id="rId12" Type="http://schemas.openxmlformats.org/officeDocument/2006/relationships/hyperlink" Target="https://finlex.fi/fi/laki/ajantasa/1999/19990731" TargetMode="External"/><Relationship Id="rId17" Type="http://schemas.openxmlformats.org/officeDocument/2006/relationships/hyperlink" Target="https://finlex.fi/sv/laki/ajantasa/2015/20150410" TargetMode="External"/><Relationship Id="rId33" Type="http://schemas.openxmlformats.org/officeDocument/2006/relationships/hyperlink" Target="https://vaalit.fi/sv/rostning-pa-anstalter" TargetMode="External"/><Relationship Id="rId38" Type="http://schemas.openxmlformats.org/officeDocument/2006/relationships/hyperlink" Target="https://www.finlex.fi/fi/laki/ajantasa/1987/19870380" TargetMode="External"/><Relationship Id="rId59" Type="http://schemas.openxmlformats.org/officeDocument/2006/relationships/hyperlink" Target="https://yvtltk.fi/fi/index/lautakunta/saavutettavuus.html" TargetMode="External"/><Relationship Id="rId103" Type="http://schemas.openxmlformats.org/officeDocument/2006/relationships/hyperlink" Target="https://www.finlex.fi/fi/laki/alkup/2019/20190306" TargetMode="External"/><Relationship Id="rId108" Type="http://schemas.openxmlformats.org/officeDocument/2006/relationships/hyperlink" Target="https://finlex.fi/fi/laki/ajantasa/1999/19990132" TargetMode="External"/><Relationship Id="rId124" Type="http://schemas.openxmlformats.org/officeDocument/2006/relationships/hyperlink" Target="https://www.oikeusasiamies.fi/r/fi/ratkaisut/-/eoar/8012/2023" TargetMode="External"/><Relationship Id="rId129" Type="http://schemas.openxmlformats.org/officeDocument/2006/relationships/hyperlink" Target="https://vaalit.fi/eduskunnan-oikeusasiamiehen-ratkaisuja" TargetMode="External"/><Relationship Id="rId54" Type="http://schemas.openxmlformats.org/officeDocument/2006/relationships/hyperlink" Target="https://finlex.fi/sv/laki/ajantasa/2003/20030434" TargetMode="External"/><Relationship Id="rId70" Type="http://schemas.openxmlformats.org/officeDocument/2006/relationships/hyperlink" Target="https://vaalit.fi/documents/5430845/151506146/02+Kirje+kunnanhallituksille+(pl.+Ahvenanmaan+maakunta).+Vuoden+2024+vaalit,+2.6.2023.pdf/434b0a39-f1d5-648b-dc35-403a4a04a0a0/02+Kirje+kunnanhallituksille+(pl.+Ahvenanmaan+maakunta).+Vuoden+2024+vaalit,+2.6.2023.pdf?version=1.6&amp;t=1692169138168" TargetMode="External"/><Relationship Id="rId75" Type="http://schemas.openxmlformats.org/officeDocument/2006/relationships/hyperlink" Target="https://www.finlex.fi/sv/laki/alkup/2016/20160908" TargetMode="External"/><Relationship Id="rId91" Type="http://schemas.openxmlformats.org/officeDocument/2006/relationships/hyperlink" Target="https://finlex.fi/sv/laki/alkup/2017/20170241" TargetMode="External"/><Relationship Id="rId96" Type="http://schemas.openxmlformats.org/officeDocument/2006/relationships/hyperlink" Target="https://finlex.fi/sv/laki/ajantasa/2014/20140917" TargetMode="External"/><Relationship Id="rId1" Type="http://schemas.openxmlformats.org/officeDocument/2006/relationships/hyperlink" Target="https://julkaisut.valtioneuvosto.fi/bitstream/handle/10024/163217/STM_2021_22_J.pdf?sequence=1" TargetMode="External"/><Relationship Id="rId6" Type="http://schemas.openxmlformats.org/officeDocument/2006/relationships/hyperlink" Target="https://julkaisut.valtioneuvosto.fi/handle/10024/163388" TargetMode="External"/><Relationship Id="rId23" Type="http://schemas.openxmlformats.org/officeDocument/2006/relationships/hyperlink" Target="http://www.osce.org/odihr/81121" TargetMode="External"/><Relationship Id="rId28" Type="http://schemas.openxmlformats.org/officeDocument/2006/relationships/hyperlink" Target="https://vaalit.fi/aanestaminen-kotona" TargetMode="External"/><Relationship Id="rId49" Type="http://schemas.openxmlformats.org/officeDocument/2006/relationships/hyperlink" Target="https://finlex.fi/fi/laki/ajantasa/1986/19860609" TargetMode="External"/><Relationship Id="rId114" Type="http://schemas.openxmlformats.org/officeDocument/2006/relationships/hyperlink" Target="https://finlex.fi/sv/esitykset/he/2022/20220139.pdf" TargetMode="External"/><Relationship Id="rId119" Type="http://schemas.openxmlformats.org/officeDocument/2006/relationships/hyperlink" Target="https://api.hankeikkuna.fi/asiakirjat/eedc7b72-fc05-4c75-a932-a91d16befdc0/e4776510-df56-447f-ab76-af496235d27a/RAPORTTI_20230419120046.PDF" TargetMode="External"/><Relationship Id="rId44" Type="http://schemas.openxmlformats.org/officeDocument/2006/relationships/hyperlink" Target="https://finlex.fi/fi/laki/ajantasa/2002/20020197" TargetMode="External"/><Relationship Id="rId60" Type="http://schemas.openxmlformats.org/officeDocument/2006/relationships/hyperlink" Target="https://yvtltk.fi/sv/index/namnden/saavutettavuus.html" TargetMode="External"/><Relationship Id="rId65" Type="http://schemas.openxmlformats.org/officeDocument/2006/relationships/hyperlink" Target="https://vaalit.fi/vaaliviranomaiset" TargetMode="External"/><Relationship Id="rId81" Type="http://schemas.openxmlformats.org/officeDocument/2006/relationships/hyperlink" Target="https://finlex.fi/sv/laki/ajantasa/2015/20150410" TargetMode="External"/><Relationship Id="rId86" Type="http://schemas.openxmlformats.org/officeDocument/2006/relationships/hyperlink" Target="https://julkaisut.valtioneuvosto.fi/bitstream/handle/10024/162687/STM_2021_2_J.pdf?sequence=1&amp;isAllowed=y" TargetMode="External"/><Relationship Id="rId130" Type="http://schemas.openxmlformats.org/officeDocument/2006/relationships/hyperlink" Target="https://julkaisut.valtioneuvosto.fi/handle/10024/160666" TargetMode="External"/><Relationship Id="rId135" Type="http://schemas.openxmlformats.org/officeDocument/2006/relationships/hyperlink" Target="https://www.invalidiliitto.fi/checklista-rostningsstallenas-tillganglighet" TargetMode="External"/><Relationship Id="rId13" Type="http://schemas.openxmlformats.org/officeDocument/2006/relationships/hyperlink" Target="https://finlex.fi/sv/laki/ajantasa/1999/19990731" TargetMode="External"/><Relationship Id="rId18" Type="http://schemas.openxmlformats.org/officeDocument/2006/relationships/hyperlink" Target="https://finlex.fi/fi/laki/alkup/2021/20210611" TargetMode="External"/><Relationship Id="rId39" Type="http://schemas.openxmlformats.org/officeDocument/2006/relationships/hyperlink" Target="https://www.finlex.fi/sv/laki/ajantasa/1987/19870380" TargetMode="External"/><Relationship Id="rId109" Type="http://schemas.openxmlformats.org/officeDocument/2006/relationships/hyperlink" Target="https://finlex.fi/sv/laki/ajantasa/1999/19990132" TargetMode="External"/><Relationship Id="rId34" Type="http://schemas.openxmlformats.org/officeDocument/2006/relationships/hyperlink" Target="https://finlex.fi/fi/laki/ajantasa/1998/19980714" TargetMode="External"/><Relationship Id="rId50" Type="http://schemas.openxmlformats.org/officeDocument/2006/relationships/hyperlink" Target="https://fraeuropaeu.sharepoint.com/sites/2019-A.4.2/Project%20Deliverables/Political%20participation%202023/Franet%20Deliverables%202023/Final%20submission/Laki%20naisten%20ja%20miesten%20v&#228;lisest&#228;%20tasa-arvosta" TargetMode="External"/><Relationship Id="rId55" Type="http://schemas.openxmlformats.org/officeDocument/2006/relationships/hyperlink" Target="https://vaalit.fi/saavutettavuusseloste" TargetMode="External"/><Relationship Id="rId76" Type="http://schemas.openxmlformats.org/officeDocument/2006/relationships/hyperlink" Target="https://finlex.fi/fi/laki/ajantasa/2002/20020197" TargetMode="External"/><Relationship Id="rId97" Type="http://schemas.openxmlformats.org/officeDocument/2006/relationships/hyperlink" Target="https://yle.fi/aihe/s/about-yle/accessibility-in-yles-services" TargetMode="External"/><Relationship Id="rId104" Type="http://schemas.openxmlformats.org/officeDocument/2006/relationships/hyperlink" Target="https://www.finlex.fi/sv/laki/alkup/2019/20190306" TargetMode="External"/><Relationship Id="rId120" Type="http://schemas.openxmlformats.org/officeDocument/2006/relationships/hyperlink" Target="https://www.oikeusasiamies.fi/en/the-rights-of-persons-with-disabilities" TargetMode="External"/><Relationship Id="rId125" Type="http://schemas.openxmlformats.org/officeDocument/2006/relationships/hyperlink" Target="https://www.oikeusasiamies.fi/documents/20184/39006/2012-en" TargetMode="External"/><Relationship Id="rId7" Type="http://schemas.openxmlformats.org/officeDocument/2006/relationships/hyperlink" Target="https://api.hankeikkuna.fi/asiakirjat/b90db14e-6790-41d1-82bb-056437530015/20de2c92-c8bd-4461-b5d4-23083e71e4c6/KIRJE_20200327120730.PDF" TargetMode="External"/><Relationship Id="rId71" Type="http://schemas.openxmlformats.org/officeDocument/2006/relationships/hyperlink" Target="https://www.invalidiliitto.fi/accessibility-checklist-polling-stations" TargetMode="External"/><Relationship Id="rId92" Type="http://schemas.openxmlformats.org/officeDocument/2006/relationships/hyperlink" Target="https://vaalit.fi/en/frontpage?p_p_id=fi_yja_language_version_tool_web_portlet_LanguageVersionToolMissingNotificationPortlet&amp;_fi_yja_language_version_tool_web_portlet_LanguageVersionToolMissingNotificationPortlet_missingLanguageVersion=1" TargetMode="External"/><Relationship Id="rId2" Type="http://schemas.openxmlformats.org/officeDocument/2006/relationships/hyperlink" Target="https://julkaisut.valtioneuvosto.fi/bitstream/handle/10024/162687/STM_2021_2_J.pdf?sequence=1&amp;isAllowed=y" TargetMode="External"/><Relationship Id="rId29" Type="http://schemas.openxmlformats.org/officeDocument/2006/relationships/hyperlink" Target="https://vaalit.fi/sv/att-rosta-hemma" TargetMode="External"/><Relationship Id="rId24" Type="http://schemas.openxmlformats.org/officeDocument/2006/relationships/hyperlink" Target="https://finlex.fi/fi/laki/ajantasa/1998/19980714" TargetMode="External"/><Relationship Id="rId40" Type="http://schemas.openxmlformats.org/officeDocument/2006/relationships/hyperlink" Target="https://finlex.fi/fi/laki/ajantasa/1998/19980714" TargetMode="External"/><Relationship Id="rId45" Type="http://schemas.openxmlformats.org/officeDocument/2006/relationships/hyperlink" Target="https://finlex.fi/sv/laki/ajantasa/2002/20020197" TargetMode="External"/><Relationship Id="rId66" Type="http://schemas.openxmlformats.org/officeDocument/2006/relationships/hyperlink" Target="https://vaalit.fi/sv/valmyndigheter" TargetMode="External"/><Relationship Id="rId87" Type="http://schemas.openxmlformats.org/officeDocument/2006/relationships/hyperlink" Target="https://julkaisut.valtioneuvosto.fi/handle/10024/163388" TargetMode="External"/><Relationship Id="rId110" Type="http://schemas.openxmlformats.org/officeDocument/2006/relationships/hyperlink" Target="https://finlex.fi/fi/laki/alkup/2017/20170241" TargetMode="External"/><Relationship Id="rId115" Type="http://schemas.openxmlformats.org/officeDocument/2006/relationships/hyperlink" Target="https://api.hankeikkuna.fi/asiakirjat/eedc7b72-fc05-4c75-a932-a91d16befdc0/e4776510-df56-447f-ab76-af496235d27a/RAPORTTI_20230419120046.PDF" TargetMode="External"/><Relationship Id="rId131" Type="http://schemas.openxmlformats.org/officeDocument/2006/relationships/hyperlink" Target="https://julkaisut.valtioneuvosto.fi/bitstream/handle/10024/163217/STM_2021_22_J.pdf?sequence=1" TargetMode="External"/><Relationship Id="rId136" Type="http://schemas.openxmlformats.org/officeDocument/2006/relationships/hyperlink" Target="https://www.invalidiliitto.fi/edista-esteettomyytta-verkkokurssi" TargetMode="External"/><Relationship Id="rId61" Type="http://schemas.openxmlformats.org/officeDocument/2006/relationships/hyperlink" Target="https://www.osce.org/files/f/documents/f/e/539006_0.pdf" TargetMode="External"/><Relationship Id="rId82" Type="http://schemas.openxmlformats.org/officeDocument/2006/relationships/hyperlink" Target="https://finlex.fi/fi/laki/alkup/2021/20210611" TargetMode="External"/><Relationship Id="rId19" Type="http://schemas.openxmlformats.org/officeDocument/2006/relationships/hyperlink" Target="https://finlex.fi/sv/laki/alkup/2021/20210611" TargetMode="External"/><Relationship Id="rId14" Type="http://schemas.openxmlformats.org/officeDocument/2006/relationships/hyperlink" Target="https://finlex.fi/fi/laki/ajantasa/1998/19980714" TargetMode="External"/><Relationship Id="rId30" Type="http://schemas.openxmlformats.org/officeDocument/2006/relationships/hyperlink" Target="https://finlex.fi/fi/laki/ajantasa/1998/19980714" TargetMode="External"/><Relationship Id="rId35" Type="http://schemas.openxmlformats.org/officeDocument/2006/relationships/hyperlink" Target="https://finlex.fi/sv/laki/ajantasa/1998/19980714" TargetMode="External"/><Relationship Id="rId56" Type="http://schemas.openxmlformats.org/officeDocument/2006/relationships/hyperlink" Target="https://vaalit.fi/sv/tillganglighetsutlatande" TargetMode="External"/><Relationship Id="rId77" Type="http://schemas.openxmlformats.org/officeDocument/2006/relationships/hyperlink" Target="https://finlex.fi/sv/laki/ajantasa/2002/20020197" TargetMode="External"/><Relationship Id="rId100" Type="http://schemas.openxmlformats.org/officeDocument/2006/relationships/hyperlink" Target="https://areena.yle.fi/tv/ohjelmat/30-1530" TargetMode="External"/><Relationship Id="rId105" Type="http://schemas.openxmlformats.org/officeDocument/2006/relationships/hyperlink" Target="https://finlex.fi/fi/laki/ajantasa/2014/20140917" TargetMode="External"/><Relationship Id="rId126" Type="http://schemas.openxmlformats.org/officeDocument/2006/relationships/hyperlink" Target="https://www.oikeusasiamies.fi/r/fi/ratkaisut/-/eoar/4326/2021" TargetMode="External"/><Relationship Id="rId8" Type="http://schemas.openxmlformats.org/officeDocument/2006/relationships/hyperlink" Target="https://julkaisut.valtioneuvosto.fi/bitstream/handle/10024/163217/STM_2021_22_J.pdf?sequence=1" TargetMode="External"/><Relationship Id="rId51" Type="http://schemas.openxmlformats.org/officeDocument/2006/relationships/hyperlink" Target="https://www.finlex.fi/fi/laki/ajantasa/2014/20141327" TargetMode="External"/><Relationship Id="rId72" Type="http://schemas.openxmlformats.org/officeDocument/2006/relationships/hyperlink" Target="https://www.invalidiliitto.fi/aanestyspaikkojen-esteettomyyden-tarkistuslista" TargetMode="External"/><Relationship Id="rId93" Type="http://schemas.openxmlformats.org/officeDocument/2006/relationships/hyperlink" Target="https://vaalit.fi/etusivu?p_p_id=fi_yja_language_version_tool_web_portlet_LanguageVersionToolMissingNotificationPortlet&amp;_fi_yja_language_version_tool_web_portlet_LanguageVersionToolMissingNotificationPortlet_missingLanguageVersion=1" TargetMode="External"/><Relationship Id="rId98" Type="http://schemas.openxmlformats.org/officeDocument/2006/relationships/hyperlink" Target="https://yle.fi/aihe/a/20-10004368" TargetMode="External"/><Relationship Id="rId121" Type="http://schemas.openxmlformats.org/officeDocument/2006/relationships/hyperlink" Target="https://www.oikeusasiamies.fi/-/pyoratuolilla-paasee-entista-useammin-aanestamaan-esteettomasti" TargetMode="External"/><Relationship Id="rId3" Type="http://schemas.openxmlformats.org/officeDocument/2006/relationships/hyperlink" Target="https://julkaisut.valtioneuvosto.fi/handle/10024/163388" TargetMode="External"/><Relationship Id="rId25" Type="http://schemas.openxmlformats.org/officeDocument/2006/relationships/hyperlink" Target="https://finlex.fi/sv/laki/ajantasa/1998/19980714" TargetMode="External"/><Relationship Id="rId46" Type="http://schemas.openxmlformats.org/officeDocument/2006/relationships/hyperlink" Target="https://www.finlex.fi/fi/laki/alkup/2022/20220330" TargetMode="External"/><Relationship Id="rId67" Type="http://schemas.openxmlformats.org/officeDocument/2006/relationships/hyperlink" Target="https://vaalit.fi/vaaliviranomaiskirjeita-ja-muistioita" TargetMode="External"/><Relationship Id="rId116" Type="http://schemas.openxmlformats.org/officeDocument/2006/relationships/hyperlink" Target="https://valtioneuvosto.fi/-/1410853/parlamentaarinen-tyoryhma-kehittamaan-vaalien-ja-aanestamisen-kaytantoja-aanestyspaikkojen-esteettomyys-varmistetaan" TargetMode="External"/><Relationship Id="rId137" Type="http://schemas.openxmlformats.org/officeDocument/2006/relationships/hyperlink" Target="https://www.invalidiliitto.fi/ajankohtaista/esteettomyyden-toteutumisessa-puutteita-kevaan-2023-eduskuntavaalien" TargetMode="External"/><Relationship Id="rId20" Type="http://schemas.openxmlformats.org/officeDocument/2006/relationships/hyperlink" Target="https://dvv.fi/en/right-to-vote" TargetMode="External"/><Relationship Id="rId41" Type="http://schemas.openxmlformats.org/officeDocument/2006/relationships/hyperlink" Target="https://finlex.fi/sv/laki/ajantasa/1998/19980714" TargetMode="External"/><Relationship Id="rId62" Type="http://schemas.openxmlformats.org/officeDocument/2006/relationships/hyperlink" Target="https://www.yvtltk.fi/fi/index/materiaalit/tapausselosteet_3.html" TargetMode="External"/><Relationship Id="rId83" Type="http://schemas.openxmlformats.org/officeDocument/2006/relationships/hyperlink" Target="https://finlex.fi/sv/laki/alkup/2021/20210611" TargetMode="External"/><Relationship Id="rId88" Type="http://schemas.openxmlformats.org/officeDocument/2006/relationships/hyperlink" Target="https://www.invalidiliitto.fi/aanestyspaikkojen-esteettomyyden-tarkistuslista" TargetMode="External"/><Relationship Id="rId111" Type="http://schemas.openxmlformats.org/officeDocument/2006/relationships/hyperlink" Target="https://finlex.fi/sv/laki/alkup/2017/20170241" TargetMode="External"/><Relationship Id="rId132" Type="http://schemas.openxmlformats.org/officeDocument/2006/relationships/hyperlink" Target="https://julkaisut.valtioneuvosto.fi/bitstream/handle/10024/163742/VN_2022_6.pdf?sequence=1&amp;isAllowed=y" TargetMode="External"/><Relationship Id="rId15" Type="http://schemas.openxmlformats.org/officeDocument/2006/relationships/hyperlink" Target="https://finlex.fi/sv/laki/ajantasa/1998/19980714" TargetMode="External"/><Relationship Id="rId36" Type="http://schemas.openxmlformats.org/officeDocument/2006/relationships/hyperlink" Target="https://vaalit.fi/aanestajan-avustaminen" TargetMode="External"/><Relationship Id="rId57" Type="http://schemas.openxmlformats.org/officeDocument/2006/relationships/hyperlink" Target="https://www.oikeusasiamies.fi/web/guest/saavutettavuusseloste" TargetMode="External"/><Relationship Id="rId106" Type="http://schemas.openxmlformats.org/officeDocument/2006/relationships/hyperlink" Target="https://finlex.fi/sv/laki/ajantasa/2014/20140917" TargetMode="External"/><Relationship Id="rId127" Type="http://schemas.openxmlformats.org/officeDocument/2006/relationships/hyperlink" Target="https://www.oikeusasiamies.fi/r/fi/ratkaisut/-/eoar/2319/2023" TargetMode="External"/><Relationship Id="rId10" Type="http://schemas.openxmlformats.org/officeDocument/2006/relationships/hyperlink" Target="https://julkaisut.valtioneuvosto.fi/handle/10024/163388" TargetMode="External"/><Relationship Id="rId31" Type="http://schemas.openxmlformats.org/officeDocument/2006/relationships/hyperlink" Target="https://finlex.fi/sv/laki/ajantasa/1998/19980714" TargetMode="External"/><Relationship Id="rId52" Type="http://schemas.openxmlformats.org/officeDocument/2006/relationships/hyperlink" Target="https://www.finlex.fi/sv/laki/ajantasa/2014/20141327" TargetMode="External"/><Relationship Id="rId73" Type="http://schemas.openxmlformats.org/officeDocument/2006/relationships/hyperlink" Target="https://www.invalidiliitto.fi/checklista-rostningsstallenas-tillganglighet" TargetMode="External"/><Relationship Id="rId78" Type="http://schemas.openxmlformats.org/officeDocument/2006/relationships/hyperlink" Target="https://julkaisut.valtioneuvosto.fi/handle/10024/165118" TargetMode="External"/><Relationship Id="rId94" Type="http://schemas.openxmlformats.org/officeDocument/2006/relationships/hyperlink" Target="https://vaalit.fi/saavutettavuusseloste" TargetMode="External"/><Relationship Id="rId99" Type="http://schemas.openxmlformats.org/officeDocument/2006/relationships/hyperlink" Target="https://yle.fi/a/3-12689873" TargetMode="External"/><Relationship Id="rId101" Type="http://schemas.openxmlformats.org/officeDocument/2006/relationships/hyperlink" Target="https://www.sdp.fi/eduskuntavaalit-2023/vaaliohjelma/" TargetMode="External"/><Relationship Id="rId122" Type="http://schemas.openxmlformats.org/officeDocument/2006/relationships/hyperlink" Target="https://www.oikeusasiamies.fi/en/w/deficiencies-in-arrangements-for-advance-voting-and-voting-at-special-advance-voting-facilities-found-in-unannounced-inspections?redirect=%2Fen%2Fpress-releases" TargetMode="External"/><Relationship Id="rId4" Type="http://schemas.openxmlformats.org/officeDocument/2006/relationships/hyperlink" Target="https://julkaisut.valtioneuvosto.fi/bitstream/handle/10024/163217/STM_2021_22_J.pdf?sequence=1" TargetMode="External"/><Relationship Id="rId9" Type="http://schemas.openxmlformats.org/officeDocument/2006/relationships/hyperlink" Target="https://julkaisut.valtioneuvosto.fi/bitstream/handle/10024/162687/STM_2021_2_J.pdf?sequence=1&amp;isAllowed=y" TargetMode="External"/><Relationship Id="rId26" Type="http://schemas.openxmlformats.org/officeDocument/2006/relationships/hyperlink" Target="https://finlex.fi/fi/laki/ajantasa/1998/19980714" TargetMode="External"/><Relationship Id="rId47" Type="http://schemas.openxmlformats.org/officeDocument/2006/relationships/hyperlink" Target="https://www.finlex.fi/sv/laki/alkup/2022/20220330" TargetMode="External"/><Relationship Id="rId68" Type="http://schemas.openxmlformats.org/officeDocument/2006/relationships/hyperlink" Target="https://fraeuropaeu.sharepoint.com/sites/2019-A.4.2/Project%20Deliverables/Political%20participation%202023/Franet%20Deliverables%202023/Final%20submission/Brev%20och%20promemorior%20till%20valmyndigheterna" TargetMode="External"/><Relationship Id="rId89" Type="http://schemas.openxmlformats.org/officeDocument/2006/relationships/hyperlink" Target="https://ym.fi/documents/1410903/38439968/Ohje_esteettomyys_2018-A2B183D6_3C10_40A3_AE1F_DB0898AAC3D8-137003.pdf/86e77f87-c19d-4139-f744-531b500b9a86/Ohje_esteettomyys_2018-A2B183D6_3C10_40A3_AE1F_DB0898AAC3D8-137003.pdf?t=1603260121408" TargetMode="External"/><Relationship Id="rId112" Type="http://schemas.openxmlformats.org/officeDocument/2006/relationships/hyperlink" Target="https://ym.fi/documents/1410903/38439968/Ohje_esteettomyys_2018-A2B183D6_3C10_40A3_AE1F_DB0898AAC3D8-137003.pdf/86e77f87-c19d-4139-f744-531b500b9a86/Ohje_esteettomyys_2018-A2B183D6_3C10_40A3_AE1F_DB0898AAC3D8-137003.pdf?t=1603260121408" TargetMode="External"/><Relationship Id="rId133" Type="http://schemas.openxmlformats.org/officeDocument/2006/relationships/hyperlink" Target="https://www.invalidiliitto.fi/accessibility-checklist-polling-s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Author Role="Creator" AuthorRoleName="Writer" AuthorRoleId="a4fbaff4-b07c-48b4-a21e-e7b9eedf3796">
  <Id>47ca35c9-2f75-4edf-ad03-c5b2729b6df8</Id>
  <Names>
    <Latin>
      <FirstName>Peneva</FirstName>
      <LastName>Nevena</LastName>
    </Latin>
    <Greek>
      <FirstName/>
      <LastName/>
    </Greek>
    <Cyrillic>
      <FirstName/>
      <LastName/>
    </Cyrillic>
    <DocumentScript>
      <FirstName>Peneva</FirstName>
      <LastName>Nevena</LastName>
      <FullName>Peneva Nevena</FullName>
    </DocumentScript>
  </Names>
  <Initials>NP</Initials>
  <Gender/>
  <Email/>
  <Service/>
  <Function ADCode="" ShowInSignature="true" ShowInHeader="false" HeaderText=""/>
  <WebAddress/>
  <FunctionalMailbox/>
  <InheritedWebAddress/>
  <OrgaEntity1>
    <Id>8e54a02d-9dc4-40c7-bd93-866adaab31f6</Id>
    <LogicalLevel>1</LogicalLevel>
    <Name>Agencies and other bodies</Name>
    <HeadLine1/>
    <HeadLine2/>
    <PrimaryAddressId/>
    <SecondaryAddressId/>
    <WebAddress/>
    <InheritedWebAddress/>
    <ShowInHeader>false</ShowInHeader>
  </OrgaEntity1>
  <OrgaEntity2/>
  <OrgaEntity3/>
  <Hierarchy>
    <OrgaEntity>
      <Id>8e54a02d-9dc4-40c7-bd93-866adaab31f6</Id>
      <LogicalLevel>1</LogicalLevel>
      <Name>Agencies and other bodies</Name>
      <HeadLine1/>
      <HeadLine2/>
      <PrimaryAddressId/>
      <SecondaryAddressId/>
      <WebAddress/>
      <InheritedWebAddress/>
      <ShowInHeader>false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1264fb81-f6bb-475e-9f9d-a937d3be6ee2</AddressId>
    <Fax/>
    <Phone/>
    <Office/>
  </MainWorkplace>
  <Workplaces>
    <Workplace IsMain="false">
      <AddressId>f03b5801-04c9-4931-aa17-c6d6c70bc579</AddressId>
      <Fax/>
      <Phone/>
      <Office/>
    </Workplace>
    <Workplace IsMain="true">
      <AddressId>1264fb81-f6bb-475e-9f9d-a937d3be6ee2</AddressId>
      <Fax/>
      <Phone/>
      <Office/>
    </Workplace>
  </Workplaces>
</Author>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Texts>
  <ReferencesTableBoxesA>Table of Boxes A</ReferencesTableBoxesA>
  <ReferencesTablePictures>Table of Pictures</ReferencesTablePictures>
  <ReferencesIndex>Index</ReferencesIndex>
  <DivisionIdentifierPart>Part</DivisionIdentifierPart>
  <DivisionIdentifierSection>Section</DivisionIdentifierSection>
  <PublicationNumberSign/>
  <ReferencesTableBoxesC>Table of Boxes C</ReferencesTableBoxesC>
  <ReferencesSectionTitle>References</ReferencesSectionTitle>
  <LabelAlternativeText>Alternative text: </LabelAlternativeText>
  <LabelFormattedTableSeqOP>Table {field: SEQ Table \* ARABIC } – </LabelFormattedTableSeqOP>
  <LabelSource>Source</LabelSource>
  <DivisionIdentifierChapter>Chapter</DivisionIdentifierChapter>
  <BoxTitleA>Box A</BoxTitleA>
  <ReferencesTableTables>Table of Tables</ReferencesTableTables>
  <BoxTitleC>Box C</BoxTitleC>
  <LabelPictureSeq>Figure {SEQ Figure \* ARABIC }: </LabelPictureSeq>
  <OP_TOCHeading>Contents</OP_TOCHeading>
  <ReferencesTableBoxesB>Table of Boxes B</ReferencesTableBoxesB>
  <BoxTitleB>Box B</BoxTitleB>
  <LabelFigureSeqOP>Figure {SEQ Figure \* ARABIC } – </LabelFigureSeqOP>
  <DateFormatShort>dd/MM/yyyy</DateFormatShort>
  <DateFormatLong>d MMMM yyyy</DateFormatLong>
</Texts>
</file>

<file path=customXml/item4.xml><?xml version="1.0" encoding="utf-8"?>
<EurolookProperties>
  <ProductCustomizationId>EC</ProductCustomizationId>
  <Created>
    <Version>10.0.42702.0</Version>
    <Date>2023-05-17T15:14:09</Date>
    <Language>EN</Language>
    <Note/>
  </Created>
  <Edited>
    <Version>10.0.42702.0</Version>
    <Date>2023-12-20T11:22:57</Date>
  </Edited>
  <DocumentModel>
    <Id>2c238db1-3e86-4a59-bbaf-64f0c4329f8e</Id>
    <Name>Publication Drafting (by Publications Office)</Name>
  </DocumentModel>
  <DocumentDate>2023-05-17T15:14:09</DocumentDate>
  <DocumentVersion>0.1</DocumentVersion>
  <CompatibilityMode>Eurolook10</CompatibilityMode>
</EurolookProperties>
</file>

<file path=customXml/item5.xml><?xml version="1.0" encoding="utf-8"?>
<StyleCategorisation>
  <Categories>
    <Category>Built-In</Category>
    <Category>Document</Category>
    <Category>Toc</Category>
    <Category>Heading</Category>
    <Category>Text</Category>
    <Category>Figures and Images</Category>
    <Category>Tables</Category>
    <Category>Boxes</Category>
    <Category>Bulleted Lists</Category>
    <Category>Numbered Lists</Category>
    <Category>Footnotes and Endnotes</Category>
    <Category>User-Defined</Category>
    <Category>Favorites</Category>
  </Categories>
  <Styles>
    <Style>
      <Name>Table of Authorities</Name>
      <Categories>
        <Category>Toc</Category>
        <Category>Document</Category>
      </Categories>
    </Style>
    <Style>
      <Name>Table of Figures</Name>
      <Categories>
        <Category>Toc</Category>
        <Category>Document</Category>
      </Categories>
    </Style>
    <Style>
      <Name>TOA Heading</Name>
      <Categories>
        <Category>Toc</Category>
        <Category>Document</Category>
      </Categories>
    </Style>
    <Style>
      <Name>TOC 1</Name>
      <Categories>
        <Category>Toc</Category>
        <Category>Document</Category>
      </Categories>
    </Style>
    <Style>
      <Name>TOC 2</Name>
      <Categories>
        <Category>Toc</Category>
        <Category>Document</Category>
      </Categories>
    </Style>
    <Style>
      <Name>TOC 3</Name>
      <Categories>
        <Category>Toc</Category>
        <Category>Document</Category>
      </Categories>
    </Style>
    <Style>
      <Name>TOC 4</Name>
      <Categories>
        <Category>Toc</Category>
        <Category>Document</Category>
      </Categories>
    </Style>
    <Style>
      <Name>TOC 5</Name>
      <Categories>
        <Category>Toc</Category>
        <Category>Document</Category>
      </Categories>
    </Style>
    <Style>
      <Name>TOC 6</Name>
      <Categories>
        <Category>Toc</Category>
        <Category>Document</Category>
      </Categories>
    </Style>
    <Style>
      <Name>TOC 7</Name>
      <Categories>
        <Category>Toc</Category>
        <Category>Document</Category>
      </Categories>
    </Style>
    <Style>
      <Name>TOC 8</Name>
      <Categories>
        <Category>Toc</Category>
        <Category>Document</Category>
      </Categories>
    </Style>
    <Style>
      <Name>TOC 9</Name>
      <Categories>
        <Category>Toc</Category>
        <Category>Document</Category>
      </Categories>
    </Style>
    <Style>
      <Name>TOC Heading</Name>
      <Categories>
        <Category>Toc</Category>
        <Category>Document</Category>
      </Categories>
    </Style>
    <Style>
      <Name>TOC Page Number</Name>
      <Categories>
        <Category>Toc</Category>
        <Category>Document</Category>
      </Categories>
    </Style>
    <Style>
      <Name>TOC Paragraph</Name>
      <Categories>
        <Category>Toc</Category>
        <Category>Document</Category>
      </Categories>
    </Style>
    <Style>
      <Name>Chapter Number</Name>
      <Categories>
        <Category>Heading</Category>
        <Category>Document</Category>
      </Categories>
    </Style>
    <Style>
      <Name>Chapter Subsubtitle</Name>
      <Categories>
        <Category>Heading</Category>
        <Category>Document</Category>
      </Categories>
    </Style>
    <Style>
      <Name>Chapter Subtitle</Name>
      <Categories>
        <Category>Heading</Category>
        <Category>Document</Category>
      </Categories>
    </Style>
    <Style>
      <Name>Chapter Title</Name>
      <Categories>
        <Category>Heading</Category>
        <Category>Document</Category>
      </Categories>
    </Style>
    <Style>
      <Name>Heading 1</Name>
      <Categories>
        <Category>Heading</Category>
        <Category>Document</Category>
      </Categories>
    </Style>
    <Style>
      <Name>Heading 2</Name>
      <Categories>
        <Category>Heading</Category>
        <Category>Document</Category>
      </Categories>
    </Style>
    <Style>
      <Name>Heading 3</Name>
      <Categories>
        <Category>Heading</Category>
        <Category>Document</Category>
      </Categories>
    </Style>
    <Style>
      <Name>Heading 4</Name>
      <Categories>
        <Category>Heading</Category>
        <Category>Document</Category>
      </Categories>
    </Style>
    <Style>
      <Name>Heading 5</Name>
      <Categories>
        <Category>Heading</Category>
        <Category>Document</Category>
      </Categories>
    </Style>
    <Style>
      <Name>Heading 6</Name>
      <Categories>
        <Category>Heading</Category>
        <Category>Document</Category>
      </Categories>
    </Style>
    <Style>
      <Name>Heading 7</Name>
      <Categories>
        <Category>Heading</Category>
        <Category>Document</Category>
      </Categories>
    </Style>
    <Style>
      <Name>Heading 8</Name>
      <Categories>
        <Category>Heading</Category>
        <Category>Document</Category>
      </Categories>
    </Style>
    <Style>
      <Name>Heading 9</Name>
      <Categories>
        <Category>Heading</Category>
        <Category>Document</Category>
      </Categories>
    </Style>
    <Style>
      <Name>Heading Numbered 1</Name>
      <Categories>
        <Category>Heading</Category>
        <Category>Document</Category>
      </Categories>
    </Style>
    <Style>
      <Name>Heading Numbered 2</Name>
      <Categories>
        <Category>Heading</Category>
        <Category>Document</Category>
      </Categories>
    </Style>
    <Style>
      <Name>Heading Numbered 3</Name>
      <Categories>
        <Category>Heading</Category>
        <Category>Document</Category>
      </Categories>
    </Style>
    <Style>
      <Name>Heading Numbered 4</Name>
      <Categories>
        <Category>Heading</Category>
        <Category>Document</Category>
      </Categories>
    </Style>
    <Style>
      <Name>Heading NoTOC 1</Name>
      <Categories>
        <Category>Heading</Category>
        <Category>Document</Category>
      </Categories>
    </Style>
    <Style>
      <Name>Heading NoTOC 2</Name>
      <Categories>
        <Category>Heading</Category>
        <Category>Document</Category>
      </Categories>
    </Style>
    <Style>
      <Name>Heading NoTOC 3</Name>
      <Categories>
        <Category>Heading</Category>
        <Category>Document</Category>
      </Categories>
    </Style>
    <Style>
      <Name>Heading NoTOC 4</Name>
      <Categories>
        <Category>Heading</Category>
        <Category>Document</Category>
      </Categories>
    </Style>
    <Style>
      <Name>Part Number</Name>
      <Categories>
        <Category>Heading</Category>
        <Category>Document</Category>
      </Categories>
    </Style>
    <Style>
      <Name>Part Subsubtitle</Name>
      <Categories>
        <Category>Heading</Category>
        <Category>Document</Category>
      </Categories>
    </Style>
    <Style>
      <Name>Part Subtitle</Name>
      <Categories>
        <Category>Heading</Category>
        <Category>Document</Category>
      </Categories>
    </Style>
    <Style>
      <Name>Part Title</Name>
      <Categories>
        <Category>Heading</Category>
        <Category>Document</Category>
      </Categories>
    </Style>
    <Style>
      <Name>Publication Date</Name>
      <Categories>
        <Category>Heading</Category>
        <Category>Document</Category>
      </Categories>
    </Style>
    <Style>
      <Name>Publication Subsubtitle</Name>
      <Categories>
        <Category>Heading</Category>
        <Category>Document</Category>
      </Categories>
    </Style>
    <Style>
      <Name>Publication Subtitle</Name>
      <Categories>
        <Category>Heading</Category>
        <Category>Document</Category>
      </Categories>
    </Style>
    <Style>
      <Name>Publication Title</Name>
      <Categories>
        <Category>Heading</Category>
        <Category>Document</Category>
      </Categories>
    </Style>
    <Style>
      <Name>Section Number</Name>
      <Categories>
        <Category>Heading</Category>
        <Category>Document</Category>
      </Categories>
    </Style>
    <Style>
      <Name>Section Subsubtitle</Name>
      <Categories>
        <Category>Heading</Category>
        <Category>Document</Category>
      </Categories>
    </Style>
    <Style>
      <Name>Section Subtitle</Name>
      <Categories>
        <Category>Heading</Category>
        <Category>Document</Category>
      </Categories>
    </Style>
    <Style>
      <Name>Section Title</Name>
      <Categories>
        <Category>Heading</Category>
        <Category>Document</Category>
      </Categories>
    </Style>
    <Style>
      <Name>Subtitle</Name>
      <Categories>
        <Category>Heading</Category>
        <Category>Document</Category>
      </Categories>
    </Style>
    <Style>
      <Name>Title</Name>
      <Categories>
        <Category>Heading</Category>
        <Category>Document</Category>
      </Categories>
    </Style>
    <Style>
      <Name>Comment</Name>
      <Categories>
        <Category>Text</Category>
        <Category>Document</Category>
      </Categories>
    </Style>
    <Style>
      <Name>Default Paragraph Font</Name>
      <Categories>
        <Category>Text</Category>
        <Category>Document</Category>
      </Categories>
    </Style>
    <Style>
      <Name>Filename</Name>
      <Categories>
        <Category>Text</Category>
        <Category>Document</Category>
      </Categories>
    </Style>
    <Style>
      <Name>Normal</Name>
      <Categories>
        <Category>Text</Category>
        <Category>Document</Category>
      </Categories>
    </Style>
    <Style>
      <Name>Quotation</Name>
      <Categories>
        <Category>Text</Category>
        <Category>Document</Category>
      </Categories>
    </Style>
    <Style>
      <Name>Quotation Pull</Name>
      <Categories>
        <Category>Text</Category>
        <Category>Document</Category>
      </Categories>
    </Style>
    <Style>
      <Name>Quotation Source</Name>
      <Categories>
        <Category>Text</Category>
        <Category>Document</Category>
      </Categories>
    </Style>
    <Style>
      <Name>Salutation</Name>
      <Categories>
        <Category>Text</Category>
        <Category>Document</Category>
      </Categories>
    </Style>
    <Style>
      <Name>Signature</Name>
      <Categories>
        <Category>Text</Category>
        <Category>Document</Category>
      </Categories>
    </Style>
    <Style>
      <Name>Signature Date</Name>
      <Categories>
        <Category>Text</Category>
        <Category>Document</Category>
      </Categories>
    </Style>
    <Style>
      <Name>Signature Placeholder</Name>
      <Categories>
        <Category>Text</Category>
        <Category>Document</Category>
      </Categories>
    </Style>
    <Style>
      <Name>Signature Text</Name>
      <Categories>
        <Category>Text</Category>
        <Category>Document</Category>
      </Categories>
    </Style>
    <Style>
      <Name>Figure Body</Name>
      <Categories>
        <Category>Figures and Images</Category>
        <Category>Document</Category>
      </Categories>
    </Style>
    <Style>
      <Name>Figure Note</Name>
      <Categories>
        <Category>Figures and Images</Category>
        <Category>Document</Category>
      </Categories>
    </Style>
    <Style>
      <Name>Figure Source</Name>
      <Categories>
        <Category>Figures and Images</Category>
        <Category>Document</Category>
      </Categories>
    </Style>
    <Style>
      <Name>Figure Subtitle</Name>
      <Categories>
        <Category>Figures and Images</Category>
        <Category>Document</Category>
      </Categories>
    </Style>
    <Style>
      <Name>Figure Title</Name>
      <Categories>
        <Category>Figures and Images</Category>
        <Category>Document</Category>
      </Categories>
    </Style>
    <Style>
      <Name>Image Alternative</Name>
      <Categories>
        <Category>Figures and Images</Category>
        <Category>Document</Category>
      </Categories>
    </Style>
    <Style>
      <Name>Image Caption</Name>
      <Categories>
        <Category>Figures and Images</Category>
        <Category>Document</Category>
      </Categories>
    </Style>
    <Style>
      <Name>Image Copyrights</Name>
      <Categories>
        <Category>Figures and Images</Category>
        <Category>Document</Category>
      </Categories>
    </Style>
    <Style>
      <Name>Image Placeholder</Name>
      <Categories>
        <Category>Figures and Images</Category>
        <Category>Document</Category>
      </Categories>
    </Style>
    <Style>
      <Name>Image Source</Name>
      <Categories>
        <Category>Figures and Images</Category>
        <Category>Document</Category>
      </Categories>
    </Style>
    <Style>
      <Name>Image Subtitle</Name>
      <Categories>
        <Category>Figures and Images</Category>
        <Category>Document</Category>
      </Categories>
    </Style>
    <Style>
      <Name>Image Title</Name>
      <Categories>
        <Category>Figures and Images</Category>
        <Category>Document</Category>
      </Categories>
    </Style>
    <Style>
      <Name>Table Alternative</Name>
      <Categories>
        <Category>Tables</Category>
        <Category>Document</Category>
      </Categories>
    </Style>
    <Style>
      <Name>Table Body</Name>
      <Categories>
        <Category>Tables</Category>
        <Category>Document</Category>
      </Categories>
    </Style>
    <Style>
      <Name>Table Normal</Name>
      <Categories>
        <Category>Tables</Category>
        <Category>Document</Category>
      </Categories>
    </Style>
    <Style>
      <Name>Table Note</Name>
      <Categories>
        <Category>Tables</Category>
        <Category>Document</Category>
      </Categories>
    </Style>
    <Style>
      <Name>Table Source</Name>
      <Categories>
        <Category>Tables</Category>
        <Category>Document</Category>
      </Categories>
    </Style>
    <Style>
      <Name>Table Subtitle</Name>
      <Categories>
        <Category>Tables</Category>
        <Category>Document</Category>
      </Categories>
    </Style>
    <Style>
      <Name>Table Title</Name>
      <Categories>
        <Category>Tables</Category>
        <Category>Document</Category>
      </Categories>
    </Style>
    <Style>
      <Name>Box Text</Name>
      <Categories>
        <Category>Boxes</Category>
        <Category>Document</Category>
      </Categories>
    </Style>
    <Style>
      <Name>Box Title A</Name>
      <Categories>
        <Category>Boxes</Category>
        <Category>Document</Category>
      </Categories>
    </Style>
    <Style>
      <Name>Box Title B</Name>
      <Categories>
        <Category>Boxes</Category>
        <Category>Document</Category>
      </Categories>
    </Style>
    <Style>
      <Name>Box Title C</Name>
      <Categories>
        <Category>Boxes</Category>
        <Category>Document</Category>
      </Categories>
    </Style>
    <Style>
      <Name>Table Box A</Name>
      <Categories>
        <Category>Boxes</Category>
        <Category>Document</Category>
      </Categories>
    </Style>
    <Style>
      <Name>Table Box B</Name>
      <Categories>
        <Category>Boxes</Category>
        <Category>Document</Category>
      </Categories>
    </Style>
    <Style>
      <Name>Table Box C</Name>
      <Categories>
        <Category>Boxes</Category>
        <Category>Document</Category>
      </Categories>
    </Style>
    <Style>
      <Name>List Bullet</Name>
      <Categories>
        <Category>Bulleted Lists</Category>
        <Category>Document</Category>
      </Categories>
    </Style>
    <Style>
      <Name>List Bullet (Level 2)</Name>
      <Categories>
        <Category>Bulleted Lists</Category>
        <Category>Document</Category>
      </Categories>
    </Style>
    <Style>
      <Name>List Bullet (Level 3)</Name>
      <Categories>
        <Category>Bulleted Lists</Category>
        <Category>Document</Category>
      </Categories>
    </Style>
    <Style>
      <Name>List Bullet (Level 4)</Name>
      <Categories>
        <Category>Bulleted Lists</Category>
        <Category>Document</Category>
      </Categories>
    </Style>
    <Style>
      <Name>List Dash</Name>
      <Categories>
        <Category>Bulleted Lists</Category>
        <Category>Document</Category>
      </Categories>
    </Style>
    <Style>
      <Name>List Dash (Level 2)</Name>
      <Categories>
        <Category>Bulleted Lists</Category>
        <Category>Document</Category>
      </Categories>
    </Style>
    <Style>
      <Name>List Dash (Level 3)</Name>
      <Categories>
        <Category>Bulleted Lists</Category>
        <Category>Document</Category>
      </Categories>
    </Style>
    <Style>
      <Name>List Dash (Level 4)</Name>
      <Categories>
        <Category>Bulleted Lists</Category>
        <Category>Document</Category>
      </Categories>
    </Style>
    <Style>
      <Name>List Mixed</Name>
      <Categories>
        <Category>Bulleted Lists</Category>
        <Category>Document</Category>
      </Categories>
    </Style>
    <Style>
      <Name>List Mixed (Level 2)</Name>
      <Categories>
        <Category>Bulleted Lists</Category>
        <Category>Document</Category>
      </Categories>
    </Style>
    <Style>
      <Name>List Mixed (Level 3)</Name>
      <Categories>
        <Category>Bulleted Lists</Category>
        <Category>Document</Category>
      </Categories>
    </Style>
    <Style>
      <Name>List Mixed (Level 4)</Name>
      <Categories>
        <Category>Bulleted Lists</Category>
        <Category>Document</Category>
      </Categories>
    </Style>
    <Style>
      <Name>List Mixed (Level 5)</Name>
      <Categories>
        <Category>Bulleted Lists</Category>
        <Category>Document</Category>
      </Categories>
    </Style>
    <Style>
      <Name>List abc</Name>
      <Categories>
        <Category>Numbered Lists</Category>
        <Category>Document</Category>
      </Categories>
    </Style>
    <Style>
      <Name>List abc (Level 2)</Name>
      <Categories>
        <Category>Numbered Lists</Category>
        <Category>Document</Category>
      </Categories>
    </Style>
    <Style>
      <Name>List abc (Level 3)</Name>
      <Categories>
        <Category>Numbered Lists</Category>
        <Category>Document</Category>
      </Categories>
    </Style>
    <Style>
      <Name>List abc (Level 4)List Number</Name>
      <Categories>
        <Category>Numbered Lists</Category>
        <Category>Document</Category>
      </Categories>
    </Style>
    <Style>
      <Name>List Number (Level 2)</Name>
      <Categories>
        <Category>Numbered Lists</Category>
        <Category>Document</Category>
      </Categories>
    </Style>
    <Style>
      <Name>List Number (Level 3)</Name>
      <Categories>
        <Category>Numbered Lists</Category>
        <Category>Document</Category>
      </Categories>
    </Style>
    <Style>
      <Name>List Number (Level 4)</Name>
      <Categories>
        <Category>Numbered Lists</Category>
        <Category>Document</Category>
      </Categories>
    </Style>
    <Style>
      <Name>List Number (Level 5)</Name>
      <Categories>
        <Category>Numbered Lists</Category>
        <Category>Document</Category>
      </Categories>
    </Style>
    <Style>
      <Name>List Number Nonindented</Name>
      <Categories>
        <Category>Numbered Lists</Category>
        <Category>Document</Category>
      </Categories>
    </Style>
    <Style>
      <Name>List Number Nonindented (Level 2)</Name>
      <Categories>
        <Category>Numbered Lists</Category>
        <Category>Document</Category>
      </Categories>
    </Style>
    <Style>
      <Name>List Number Nonindented (Level 3)</Name>
      <Categories>
        <Category>Numbered Lists</Category>
        <Category>Document</Category>
      </Categories>
    </Style>
    <Style>
      <Name>List Number Nonindented (Level 4)</Name>
      <Categories>
        <Category>Numbered Lists</Category>
        <Category>Document</Category>
      </Categories>
    </Style>
    <Style>
      <Name>List Number Nonindented (Level 5)</Name>
      <Categories>
        <Category>Numbered Lists</Category>
        <Category>Document</Category>
      </Categories>
    </Style>
    <Style>
      <Name>List Roman</Name>
      <Categories>
        <Category>Numbered Lists</Category>
        <Category>Document</Category>
      </Categories>
    </Style>
    <Style>
      <Name>List Roman (Level 2)</Name>
      <Categories>
        <Category>Numbered Lists</Category>
        <Category>Document</Category>
      </Categories>
    </Style>
    <Style>
      <Name>List Roman (Level 3)</Name>
      <Categories>
        <Category>Numbered Lists</Category>
        <Category>Document</Category>
      </Categories>
    </Style>
    <Style>
      <Name>List Roman (Level 4)</Name>
      <Categories>
        <Category>Numbered Lists</Category>
        <Category>Document</Category>
      </Categories>
    </Style>
    <Style>
      <Name>Numbered Paragraph</Name>
      <Categories>
        <Category>Numbered Lists</Category>
        <Category>Document</Category>
      </Categories>
    </Style>
    <Style>
      <Name>Roman Paragraph</Name>
      <Categories>
        <Category>Numbered Lists</Category>
        <Category>Document</Category>
      </Categories>
    </Style>
    <Style>
      <Name>Endnote Reference</Name>
      <Categories>
        <Category>Footnotes and Endnotes</Category>
        <Category>Document</Category>
      </Categories>
    </Style>
    <Style>
      <Name>Endnote Text</Name>
      <Categories>
        <Category>Footnotes and Endnotes</Category>
        <Category>Document</Category>
      </Categories>
    </Style>
    <Style>
      <Name>Footnote Reference</Name>
      <Categories>
        <Category>Footnotes and Endnotes</Category>
        <Category>Document</Category>
      </Categories>
    </Style>
    <Style>
      <Name>Footnote Text</Name>
      <Categories>
        <Category>Footnotes and Endnotes</Category>
        <Category>Document</Category>
      </Categories>
    </Style>
  </Styles>
</StyleCategorisation>
</file>

<file path=customXml/itemProps1.xml><?xml version="1.0" encoding="utf-8"?>
<ds:datastoreItem xmlns:ds="http://schemas.openxmlformats.org/officeDocument/2006/customXml" ds:itemID="{BB331D43-972B-4D67-9598-33C3F123B328}">
  <ds:schemaRefs/>
</ds:datastoreItem>
</file>

<file path=customXml/itemProps2.xml><?xml version="1.0" encoding="utf-8"?>
<ds:datastoreItem xmlns:ds="http://schemas.openxmlformats.org/officeDocument/2006/customXml" ds:itemID="{F74A8373-12A3-492C-ADE9-9E742ED0C88D}">
  <ds:schemaRefs>
    <ds:schemaRef ds:uri="http://schemas.openxmlformats.org/officeDocument/2006/bibliography"/>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D3EA5527-7367-4268-9D83-5125C98D0ED2}">
  <ds:schemaRefs/>
</ds:datastoreItem>
</file>

<file path=customXml/itemProps5.xml><?xml version="1.0" encoding="utf-8"?>
<ds:datastoreItem xmlns:ds="http://schemas.openxmlformats.org/officeDocument/2006/customXml" ds:itemID="{925BFF32-4C3B-423D-BE8C-A831B166F6B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6684</Words>
  <Characters>38102</Characters>
  <Application>Microsoft Office Word</Application>
  <DocSecurity>0</DocSecurity>
  <PresentationFormat>Microsoft Word 14.0</PresentationFormat>
  <Lines>317</Lines>
  <Paragraphs>89</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2024-05-30T08:06:00Z</dcterms:created>
  <dcterms:modified xsi:type="dcterms:W3CDTF">2024-05-30T08:06:00Z</dcterms:modified>
</cp:coreProperties>
</file>