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sdtContent>
        <w:p w14:paraId="3A024E33" w14:textId="1D55603A" w:rsidR="00610C73" w:rsidRPr="0053503A" w:rsidRDefault="00610C73" w:rsidP="00236602">
          <w:pPr>
            <w:pStyle w:val="FRAHeading4Unnumbered"/>
          </w:pPr>
        </w:p>
        <w:p w14:paraId="057EBEB7" w14:textId="6DF825CF" w:rsidR="00610C73" w:rsidRPr="0053503A" w:rsidRDefault="005C7344" w:rsidP="00C5699E">
          <w:pPr>
            <w:pStyle w:val="PublicationTitle"/>
            <w:spacing w:before="480" w:after="360"/>
            <w:jc w:val="right"/>
            <w:rPr>
              <w:color w:val="4472C4" w:themeColor="accent1"/>
              <w:sz w:val="56"/>
              <w:szCs w:val="18"/>
            </w:rPr>
          </w:pPr>
          <w:r w:rsidRPr="0053503A">
            <w:rPr>
              <w:color w:val="4472C4" w:themeColor="accent1"/>
              <w:sz w:val="56"/>
              <w:szCs w:val="18"/>
            </w:rPr>
            <w:t xml:space="preserve">The right to political participation of persons with disabilities ahead of the 2024 European Parliament elections </w:t>
          </w:r>
        </w:p>
        <w:p w14:paraId="2283451C" w14:textId="7D85C3BD" w:rsidR="0089724A" w:rsidRPr="0053503A" w:rsidRDefault="0089724A" w:rsidP="008165EB">
          <w:pPr>
            <w:pStyle w:val="PublicationSubtitle"/>
            <w:spacing w:before="0"/>
            <w:jc w:val="right"/>
            <w:rPr>
              <w:color w:val="auto"/>
            </w:rPr>
          </w:pPr>
          <w:r w:rsidRPr="0053503A">
            <w:rPr>
              <w:color w:val="auto"/>
            </w:rPr>
            <w:t>Country</w:t>
          </w:r>
        </w:p>
        <w:p w14:paraId="76B6EB03" w14:textId="776FFD80" w:rsidR="0089724A" w:rsidRPr="0053503A" w:rsidRDefault="00315EC1" w:rsidP="008165EB">
          <w:pPr>
            <w:pStyle w:val="PublicationSubtitle"/>
            <w:spacing w:before="0"/>
            <w:jc w:val="right"/>
            <w:rPr>
              <w:color w:val="auto"/>
            </w:rPr>
          </w:pPr>
          <w:r w:rsidRPr="0053503A">
            <w:rPr>
              <w:color w:val="auto"/>
            </w:rPr>
            <w:t>MALTA</w:t>
          </w:r>
        </w:p>
        <w:p w14:paraId="6A673131" w14:textId="3F034D96" w:rsidR="00610C73" w:rsidRPr="0053503A" w:rsidRDefault="00CC2CCC" w:rsidP="00C5699E">
          <w:pPr>
            <w:pStyle w:val="PublicationSubtitle"/>
            <w:spacing w:before="0"/>
            <w:jc w:val="right"/>
            <w:rPr>
              <w:color w:val="auto"/>
            </w:rPr>
          </w:pPr>
          <w:r w:rsidRPr="0053503A">
            <w:rPr>
              <w:color w:val="auto"/>
            </w:rPr>
            <w:t>January 2024</w:t>
          </w:r>
        </w:p>
        <w:p w14:paraId="2EAF2CC3" w14:textId="47D942E6" w:rsidR="008165EB" w:rsidRPr="0053503A" w:rsidRDefault="008165EB" w:rsidP="008165EB">
          <w:pPr>
            <w:pStyle w:val="PublicationSubsubtitle"/>
            <w:spacing w:after="0"/>
            <w:jc w:val="right"/>
            <w:rPr>
              <w:color w:val="auto"/>
            </w:rPr>
          </w:pPr>
          <w:r w:rsidRPr="0053503A">
            <w:rPr>
              <w:color w:val="auto"/>
            </w:rPr>
            <w:t xml:space="preserve"> </w:t>
          </w:r>
        </w:p>
        <w:p w14:paraId="505EBD70" w14:textId="0428DCE7" w:rsidR="008165EB" w:rsidRPr="0053503A" w:rsidRDefault="008165EB" w:rsidP="008165EB">
          <w:pPr>
            <w:pStyle w:val="PublicationSubsubtitle"/>
            <w:spacing w:after="0"/>
            <w:jc w:val="right"/>
            <w:rPr>
              <w:color w:val="auto"/>
            </w:rPr>
          </w:pPr>
          <w:r w:rsidRPr="0053503A">
            <w:rPr>
              <w:color w:val="auto"/>
            </w:rPr>
            <w:t>Contractor:</w:t>
          </w:r>
        </w:p>
        <w:p w14:paraId="4FA623F4" w14:textId="0100CB0C" w:rsidR="008165EB" w:rsidRPr="0053503A" w:rsidRDefault="00B315FF" w:rsidP="00C5699E">
          <w:pPr>
            <w:pStyle w:val="PublicationSubsubtitle"/>
            <w:spacing w:after="0"/>
            <w:jc w:val="right"/>
            <w:rPr>
              <w:color w:val="auto"/>
            </w:rPr>
          </w:pPr>
          <w:r w:rsidRPr="0053503A">
            <w:rPr>
              <w:color w:val="auto"/>
            </w:rPr>
            <w:t>aditus foundation</w:t>
          </w:r>
          <w:r w:rsidR="008165EB" w:rsidRPr="0053503A">
            <w:rPr>
              <w:color w:val="auto"/>
            </w:rPr>
            <w:t xml:space="preserve"> </w:t>
          </w:r>
        </w:p>
        <w:p w14:paraId="3DDE0548" w14:textId="330109E6" w:rsidR="008165EB" w:rsidRPr="0053503A" w:rsidRDefault="008165EB" w:rsidP="008165EB">
          <w:pPr>
            <w:pStyle w:val="PublicationSubsubtitle"/>
            <w:spacing w:after="0"/>
            <w:jc w:val="right"/>
            <w:rPr>
              <w:color w:val="auto"/>
            </w:rPr>
          </w:pPr>
          <w:r w:rsidRPr="0053503A">
            <w:rPr>
              <w:color w:val="auto"/>
            </w:rPr>
            <w:t>Author(s):</w:t>
          </w:r>
        </w:p>
        <w:p w14:paraId="69907268" w14:textId="7A4B38C7" w:rsidR="008165EB" w:rsidRPr="0053503A" w:rsidRDefault="00B315FF" w:rsidP="00C5699E">
          <w:pPr>
            <w:pStyle w:val="PublicationSubsubtitle"/>
            <w:spacing w:after="0"/>
            <w:jc w:val="right"/>
          </w:pPr>
          <w:r w:rsidRPr="0053503A">
            <w:t>Neil Falzon</w:t>
          </w:r>
        </w:p>
        <w:p w14:paraId="1131CB92" w14:textId="77777777" w:rsidR="007C6232" w:rsidRPr="0053503A"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rsidRPr="0053503A" w14:paraId="6575B4F5" w14:textId="77777777">
            <w:tc>
              <w:tcPr>
                <w:tcW w:w="8503" w:type="dxa"/>
              </w:tcPr>
              <w:p w14:paraId="764F0746" w14:textId="2CBD0F39" w:rsidR="00676BF6" w:rsidRPr="0053503A" w:rsidRDefault="00851AF1">
                <w:pPr>
                  <w:pStyle w:val="BoxTitleC"/>
                </w:pPr>
                <w:r w:rsidRPr="0053503A">
                  <w:t>Disclaimer</w:t>
                </w:r>
              </w:p>
              <w:p w14:paraId="50D70F60" w14:textId="1AE76073" w:rsidR="00676BF6" w:rsidRPr="0053503A" w:rsidRDefault="00851AF1">
                <w:pPr>
                  <w:pStyle w:val="BoxText"/>
                </w:pPr>
                <w:r w:rsidRPr="0053503A">
                  <w:t xml:space="preserve">This document was commissioned under contract by the European Union Agency for Fundamental Rights (FRA) as background material for the project </w:t>
                </w:r>
                <w:r w:rsidR="00C71A5C" w:rsidRPr="0053503A">
                  <w:t>‘</w:t>
                </w:r>
                <w:r w:rsidR="00274E14" w:rsidRPr="0053503A">
                  <w:t>Participating in the EU Framework required by Article 33 (2) of the UN Convention on the Rights of Persons with Disabilities</w:t>
                </w:r>
                <w:r w:rsidR="00CC2CCC" w:rsidRPr="0053503A">
                  <w:t>’</w:t>
                </w:r>
                <w:r w:rsidRPr="0053503A">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53503A">
                  <w:t>.</w:t>
                </w:r>
              </w:p>
            </w:tc>
          </w:tr>
        </w:tbl>
        <w:p w14:paraId="7A70273C" w14:textId="77777777" w:rsidR="001B1B37" w:rsidRPr="0053503A" w:rsidRDefault="001B1B37"/>
        <w:p w14:paraId="4941C82D" w14:textId="77777777" w:rsidR="001B1B37" w:rsidRPr="0053503A" w:rsidRDefault="001B1B37"/>
        <w:p w14:paraId="55249A1F" w14:textId="77777777" w:rsidR="001B45E3" w:rsidRPr="0053503A" w:rsidRDefault="006329A9"/>
      </w:sdtContent>
    </w:sdt>
    <w:sdt>
      <w:sdtPr>
        <w:rPr>
          <w:color w:val="006FB4"/>
        </w:rPr>
        <w:id w:val="849872350"/>
        <w:docPartObj>
          <w:docPartGallery w:val="Table of Contents"/>
          <w:docPartUnique/>
        </w:docPartObj>
      </w:sdtPr>
      <w:sdtEndPr/>
      <w:sdtContent>
        <w:p w14:paraId="3D0A6AC7" w14:textId="43BE8730" w:rsidR="00B47E72" w:rsidRPr="0053503A" w:rsidRDefault="00B47E72">
          <w:pPr>
            <w:pStyle w:val="TOCHeading"/>
          </w:pPr>
          <w:r w:rsidRPr="0053503A">
            <w:t>Contents</w:t>
          </w:r>
        </w:p>
        <w:p w14:paraId="108BBD24" w14:textId="6EC921BA" w:rsidR="00B63701" w:rsidRPr="0053503A" w:rsidRDefault="00B63701" w:rsidP="2141E379">
          <w:pPr>
            <w:pStyle w:val="TOC1"/>
            <w:tabs>
              <w:tab w:val="clear" w:pos="8504"/>
              <w:tab w:val="left" w:pos="480"/>
              <w:tab w:val="right" w:leader="dot" w:pos="8490"/>
            </w:tabs>
            <w:rPr>
              <w:rStyle w:val="Hyperlink"/>
              <w:kern w:val="2"/>
              <w:lang w:eastAsia="fr-FR"/>
              <w14:ligatures w14:val="standardContextual"/>
            </w:rPr>
          </w:pPr>
          <w:r w:rsidRPr="0053503A">
            <w:fldChar w:fldCharType="begin"/>
          </w:r>
          <w:r w:rsidR="0CD4123A" w:rsidRPr="0053503A">
            <w:instrText>TOC \o "1-3" \h \z \u</w:instrText>
          </w:r>
          <w:r w:rsidRPr="0053503A">
            <w:fldChar w:fldCharType="separate"/>
          </w:r>
          <w:hyperlink w:anchor="_Toc1905438080">
            <w:r w:rsidR="2141E379" w:rsidRPr="0053503A">
              <w:rPr>
                <w:rStyle w:val="Hyperlink"/>
              </w:rPr>
              <w:t>1.</w:t>
            </w:r>
            <w:r w:rsidR="0CD4123A" w:rsidRPr="0053503A">
              <w:tab/>
            </w:r>
            <w:r w:rsidR="2141E379" w:rsidRPr="0053503A">
              <w:rPr>
                <w:rStyle w:val="Hyperlink"/>
              </w:rPr>
              <w:t>Data on persons with disabilities exercising their right to political participation</w:t>
            </w:r>
            <w:r w:rsidR="0CD4123A" w:rsidRPr="0053503A">
              <w:tab/>
            </w:r>
            <w:r w:rsidR="0CD4123A" w:rsidRPr="0053503A">
              <w:fldChar w:fldCharType="begin"/>
            </w:r>
            <w:r w:rsidR="0CD4123A" w:rsidRPr="0053503A">
              <w:instrText>PAGEREF _Toc1905438080 \h</w:instrText>
            </w:r>
            <w:r w:rsidR="0CD4123A" w:rsidRPr="0053503A">
              <w:fldChar w:fldCharType="separate"/>
            </w:r>
            <w:r w:rsidR="00E83FC0" w:rsidRPr="0053503A">
              <w:t>3</w:t>
            </w:r>
            <w:r w:rsidR="0CD4123A" w:rsidRPr="0053503A">
              <w:fldChar w:fldCharType="end"/>
            </w:r>
          </w:hyperlink>
        </w:p>
        <w:p w14:paraId="5BE3D1E3" w14:textId="491B167E" w:rsidR="00B63701" w:rsidRPr="0053503A" w:rsidRDefault="006329A9" w:rsidP="2141E379">
          <w:pPr>
            <w:pStyle w:val="TOC1"/>
            <w:tabs>
              <w:tab w:val="clear" w:pos="8504"/>
              <w:tab w:val="left" w:pos="480"/>
              <w:tab w:val="right" w:leader="dot" w:pos="8490"/>
            </w:tabs>
            <w:rPr>
              <w:rStyle w:val="Hyperlink"/>
              <w:kern w:val="2"/>
              <w:lang w:eastAsia="fr-FR"/>
              <w14:ligatures w14:val="standardContextual"/>
            </w:rPr>
          </w:pPr>
          <w:hyperlink w:anchor="_Toc1607741523">
            <w:r w:rsidR="2141E379" w:rsidRPr="0053503A">
              <w:rPr>
                <w:rStyle w:val="Hyperlink"/>
              </w:rPr>
              <w:t>2.</w:t>
            </w:r>
            <w:r w:rsidR="00B63701" w:rsidRPr="0053503A">
              <w:tab/>
            </w:r>
            <w:r w:rsidR="2141E379" w:rsidRPr="0053503A">
              <w:rPr>
                <w:rStyle w:val="Hyperlink"/>
              </w:rPr>
              <w:t>Political participation of persons with disabilities in practice</w:t>
            </w:r>
            <w:r w:rsidR="00B63701" w:rsidRPr="0053503A">
              <w:tab/>
            </w:r>
            <w:r w:rsidR="00B63701" w:rsidRPr="0053503A">
              <w:fldChar w:fldCharType="begin"/>
            </w:r>
            <w:r w:rsidR="00B63701" w:rsidRPr="0053503A">
              <w:instrText>PAGEREF _Toc1607741523 \h</w:instrText>
            </w:r>
            <w:r w:rsidR="00B63701" w:rsidRPr="0053503A">
              <w:fldChar w:fldCharType="separate"/>
            </w:r>
            <w:r w:rsidR="00E83FC0" w:rsidRPr="0053503A">
              <w:t>9</w:t>
            </w:r>
            <w:r w:rsidR="00B63701" w:rsidRPr="0053503A">
              <w:fldChar w:fldCharType="end"/>
            </w:r>
          </w:hyperlink>
        </w:p>
        <w:p w14:paraId="4DF7DA10" w14:textId="2A891E91" w:rsidR="00B63701" w:rsidRPr="0053503A" w:rsidRDefault="006329A9" w:rsidP="2141E379">
          <w:pPr>
            <w:pStyle w:val="TOC2"/>
            <w:tabs>
              <w:tab w:val="clear" w:pos="8504"/>
              <w:tab w:val="left" w:pos="720"/>
              <w:tab w:val="right" w:leader="dot" w:pos="8490"/>
            </w:tabs>
            <w:rPr>
              <w:rStyle w:val="Hyperlink"/>
              <w:kern w:val="2"/>
              <w:lang w:eastAsia="fr-FR"/>
              <w14:ligatures w14:val="standardContextual"/>
            </w:rPr>
          </w:pPr>
          <w:hyperlink w:anchor="_Toc1363565999">
            <w:r w:rsidR="2141E379" w:rsidRPr="0053503A">
              <w:rPr>
                <w:rStyle w:val="Hyperlink"/>
              </w:rPr>
              <w:t>2.1.</w:t>
            </w:r>
            <w:r w:rsidR="00B63701" w:rsidRPr="0053503A">
              <w:tab/>
            </w:r>
            <w:r w:rsidR="2141E379" w:rsidRPr="0053503A">
              <w:rPr>
                <w:rStyle w:val="Hyperlink"/>
              </w:rPr>
              <w:t>Positive and negative key development as regards political participation of persons with disabilities</w:t>
            </w:r>
            <w:r w:rsidR="00B63701" w:rsidRPr="0053503A">
              <w:tab/>
            </w:r>
            <w:r w:rsidR="00B63701" w:rsidRPr="0053503A">
              <w:fldChar w:fldCharType="begin"/>
            </w:r>
            <w:r w:rsidR="00B63701" w:rsidRPr="0053503A">
              <w:instrText>PAGEREF _Toc1363565999 \h</w:instrText>
            </w:r>
            <w:r w:rsidR="00B63701" w:rsidRPr="0053503A">
              <w:fldChar w:fldCharType="separate"/>
            </w:r>
            <w:r w:rsidR="00E83FC0" w:rsidRPr="0053503A">
              <w:t>9</w:t>
            </w:r>
            <w:r w:rsidR="00B63701" w:rsidRPr="0053503A">
              <w:fldChar w:fldCharType="end"/>
            </w:r>
          </w:hyperlink>
        </w:p>
        <w:p w14:paraId="38758788" w14:textId="640955F2" w:rsidR="00B63701" w:rsidRPr="0053503A" w:rsidRDefault="006329A9" w:rsidP="2141E379">
          <w:pPr>
            <w:pStyle w:val="TOC2"/>
            <w:tabs>
              <w:tab w:val="clear" w:pos="8504"/>
              <w:tab w:val="left" w:pos="720"/>
              <w:tab w:val="right" w:leader="dot" w:pos="8490"/>
            </w:tabs>
            <w:rPr>
              <w:rStyle w:val="Hyperlink"/>
              <w:kern w:val="2"/>
              <w:lang w:eastAsia="fr-FR"/>
              <w14:ligatures w14:val="standardContextual"/>
            </w:rPr>
          </w:pPr>
          <w:hyperlink w:anchor="_Toc299275285">
            <w:r w:rsidR="2141E379" w:rsidRPr="0053503A">
              <w:rPr>
                <w:rStyle w:val="Hyperlink"/>
              </w:rPr>
              <w:t>2.2.</w:t>
            </w:r>
            <w:r w:rsidR="00B63701" w:rsidRPr="0053503A">
              <w:tab/>
            </w:r>
            <w:r w:rsidR="2141E379" w:rsidRPr="0053503A">
              <w:rPr>
                <w:rStyle w:val="Hyperlink"/>
              </w:rPr>
              <w:t>Political participation: Promising practices</w:t>
            </w:r>
            <w:r w:rsidR="00B63701" w:rsidRPr="0053503A">
              <w:tab/>
            </w:r>
            <w:r w:rsidR="00B63701" w:rsidRPr="0053503A">
              <w:fldChar w:fldCharType="begin"/>
            </w:r>
            <w:r w:rsidR="00B63701" w:rsidRPr="0053503A">
              <w:instrText>PAGEREF _Toc299275285 \h</w:instrText>
            </w:r>
            <w:r w:rsidR="00B63701" w:rsidRPr="0053503A">
              <w:fldChar w:fldCharType="separate"/>
            </w:r>
            <w:r w:rsidR="00E83FC0" w:rsidRPr="0053503A">
              <w:t>9</w:t>
            </w:r>
            <w:r w:rsidR="00B63701" w:rsidRPr="0053503A">
              <w:fldChar w:fldCharType="end"/>
            </w:r>
          </w:hyperlink>
          <w:r w:rsidR="00B63701" w:rsidRPr="0053503A">
            <w:fldChar w:fldCharType="end"/>
          </w:r>
        </w:p>
      </w:sdtContent>
    </w:sdt>
    <w:p w14:paraId="52F6D9A5" w14:textId="0FDD3F94" w:rsidR="0CD4123A" w:rsidRPr="0053503A" w:rsidRDefault="0CD4123A" w:rsidP="00236602">
      <w:pPr>
        <w:pStyle w:val="TOC1"/>
        <w:tabs>
          <w:tab w:val="clear" w:pos="8504"/>
          <w:tab w:val="right" w:leader="dot" w:pos="8490"/>
        </w:tabs>
        <w:rPr>
          <w:rStyle w:val="Hyperlink"/>
          <w:b w:val="0"/>
        </w:rPr>
      </w:pPr>
    </w:p>
    <w:p w14:paraId="53AF2F08" w14:textId="53EDD068" w:rsidR="00B47E72" w:rsidRPr="0053503A" w:rsidRDefault="00B47E72"/>
    <w:p w14:paraId="0F11C898" w14:textId="77777777" w:rsidR="004231F5" w:rsidRPr="0053503A" w:rsidRDefault="004231F5" w:rsidP="004231F5"/>
    <w:p w14:paraId="7DD60D47" w14:textId="522EB76D" w:rsidR="002432A7" w:rsidRPr="0053503A" w:rsidRDefault="002432A7" w:rsidP="439E96B0">
      <w:pPr>
        <w:pStyle w:val="HeadingNumbered1"/>
        <w:numPr>
          <w:ilvl w:val="0"/>
          <w:numId w:val="0"/>
        </w:numPr>
        <w:sectPr w:rsidR="002432A7" w:rsidRPr="0053503A" w:rsidSect="00F64505">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53503A" w:rsidRDefault="005003F9" w:rsidP="005003F9">
      <w:pPr>
        <w:pStyle w:val="HeadingNumbered1"/>
      </w:pPr>
      <w:bookmarkStart w:id="0" w:name="_Toc1905438080"/>
      <w:r w:rsidRPr="0053503A">
        <w:lastRenderedPageBreak/>
        <w:t>Data on persons with disabilities exercising their right to political participation</w:t>
      </w:r>
      <w:bookmarkEnd w:id="0"/>
    </w:p>
    <w:p w14:paraId="5A92937D" w14:textId="5FB57E6F" w:rsidR="00FD4CB2" w:rsidRPr="0053503A" w:rsidRDefault="00FD4CB2">
      <w:pPr>
        <w:pStyle w:val="TableTitle"/>
      </w:pPr>
      <w:r w:rsidRPr="0053503A">
        <w:t xml:space="preserve">Table </w:t>
      </w:r>
      <w:r w:rsidR="00E033F5">
        <w:fldChar w:fldCharType="begin"/>
      </w:r>
      <w:r w:rsidR="00E033F5">
        <w:instrText xml:space="preserve"> SEQ Table \* ARABIC </w:instrText>
      </w:r>
      <w:r w:rsidR="00E033F5">
        <w:fldChar w:fldCharType="separate"/>
      </w:r>
      <w:r w:rsidR="00BC08BB" w:rsidRPr="0053503A">
        <w:t>1</w:t>
      </w:r>
      <w:r w:rsidR="00E033F5">
        <w:fldChar w:fldCharType="end"/>
      </w:r>
      <w:r w:rsidRPr="0053503A">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53503A" w14:paraId="5B6BBB24" w14:textId="77777777" w:rsidTr="00CC2CCC">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53503A" w:rsidRDefault="00566A68" w:rsidP="00CB20AB">
            <w:pPr>
              <w:pStyle w:val="FRABodyText"/>
              <w:rPr>
                <w:color w:val="auto"/>
              </w:rPr>
            </w:pPr>
            <w:r w:rsidRPr="0053503A">
              <w:t>Indicator</w:t>
            </w:r>
          </w:p>
          <w:p w14:paraId="4277CA28" w14:textId="77777777" w:rsidR="00566A68" w:rsidRPr="0053503A" w:rsidRDefault="00566A68" w:rsidP="00CB20AB">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53503A" w:rsidRDefault="00566A68" w:rsidP="00CB20AB">
            <w:pPr>
              <w:pStyle w:val="FRABodyText"/>
              <w:rPr>
                <w:b w:val="0"/>
                <w:color w:val="auto"/>
              </w:rPr>
            </w:pPr>
            <w:r w:rsidRPr="0053503A">
              <w:t>Answer</w:t>
            </w:r>
          </w:p>
          <w:p w14:paraId="152D096D" w14:textId="77777777" w:rsidR="00566A68" w:rsidRPr="0053503A" w:rsidRDefault="00566A68" w:rsidP="00CB20AB">
            <w:pPr>
              <w:pStyle w:val="FRABodyText"/>
              <w:rPr>
                <w:color w:val="auto"/>
              </w:rPr>
            </w:pPr>
            <w:r w:rsidRPr="0053503A">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53503A" w:rsidRDefault="00566A68" w:rsidP="00CB20AB">
            <w:pPr>
              <w:pStyle w:val="FRABodyText"/>
              <w:rPr>
                <w:color w:val="auto"/>
              </w:rPr>
            </w:pPr>
            <w:r w:rsidRPr="0053503A">
              <w:t xml:space="preserve">Source and </w:t>
            </w:r>
            <w:r w:rsidR="004512DA" w:rsidRPr="0053503A">
              <w:t>brief description/assessment</w:t>
            </w:r>
            <w:r w:rsidRPr="0053503A">
              <w:t xml:space="preserve"> </w:t>
            </w:r>
          </w:p>
        </w:tc>
      </w:tr>
      <w:tr w:rsidR="00CC2CCC" w:rsidRPr="0053503A" w14:paraId="12E136C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53503A" w:rsidRDefault="00566A68" w:rsidP="00CB20AB">
            <w:pPr>
              <w:pStyle w:val="FRABodyText"/>
            </w:pPr>
            <w:r w:rsidRPr="0053503A">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4E2ABD" w14:textId="3F185258" w:rsidR="00BD7FB4" w:rsidRPr="0053503A" w:rsidRDefault="00566A68" w:rsidP="00CB20AB">
            <w:pPr>
              <w:pStyle w:val="FRABodyText"/>
            </w:pPr>
            <w:r w:rsidRPr="0053503A">
              <w:t>National disability strategies specifically address political participation</w:t>
            </w:r>
          </w:p>
          <w:p w14:paraId="4E623AA0" w14:textId="2B25F379" w:rsidR="00566A68" w:rsidRPr="0053503A" w:rsidRDefault="00566A68" w:rsidP="00CB20AB">
            <w:pPr>
              <w:pStyle w:val="FRABodyText"/>
            </w:pPr>
          </w:p>
          <w:p w14:paraId="296FEA16" w14:textId="77777777" w:rsidR="00566A68" w:rsidRPr="0053503A" w:rsidRDefault="00566A68" w:rsidP="00CB20AB">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5741F4A" w14:textId="19F4336A" w:rsidR="00566A68" w:rsidRPr="0053503A" w:rsidRDefault="002921FE" w:rsidP="00CB20AB">
            <w:pPr>
              <w:pStyle w:val="FRABodyText"/>
            </w:pPr>
            <w:r w:rsidRPr="0053503A">
              <w:t>‘</w:t>
            </w:r>
            <w:r w:rsidR="00E67053" w:rsidRPr="0053503A">
              <w:t>Malta’s 2021 – 2030 National Strategy on the Rights of Disabled Persons</w:t>
            </w:r>
            <w:r w:rsidRPr="0053503A">
              <w:t>’</w:t>
            </w:r>
            <w:r w:rsidR="0009082E" w:rsidRPr="0053503A">
              <w:rPr>
                <w:rStyle w:val="FootnoteReference"/>
              </w:rPr>
              <w:footnoteReference w:id="2"/>
            </w:r>
            <w:r w:rsidRPr="0053503A">
              <w:t xml:space="preserve"> contains Objective 11 (out of a total of </w:t>
            </w:r>
            <w:r w:rsidR="006F34CC" w:rsidRPr="0053503A">
              <w:t xml:space="preserve">13 Objectives) entitled Participation in Political and Public Life. The Objective is composed of </w:t>
            </w:r>
            <w:r w:rsidR="00FF540A" w:rsidRPr="0053503A">
              <w:t xml:space="preserve">four actions: stakeholder discussions on inclusive voting mechanisms, the support of candidates with disabilities, </w:t>
            </w:r>
            <w:r w:rsidR="00D90C8D" w:rsidRPr="0053503A">
              <w:t>political party awareness-raising, Parliament accessibility.</w:t>
            </w:r>
          </w:p>
        </w:tc>
      </w:tr>
      <w:tr w:rsidR="00CC2CCC" w:rsidRPr="0053503A" w14:paraId="6862349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53503A" w:rsidRDefault="002402C9" w:rsidP="00CB20AB">
            <w:pPr>
              <w:pStyle w:val="FRABodyText"/>
            </w:pPr>
            <w:r w:rsidRPr="0053503A">
              <w:t xml:space="preserve">Can persons deprived of legal capacity </w:t>
            </w:r>
            <w:r w:rsidR="158FA834" w:rsidRPr="0053503A">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F36A6F" w14:textId="77777777" w:rsidR="00566A68" w:rsidRPr="0053503A" w:rsidRDefault="00566A68" w:rsidP="00CB20AB">
            <w:pPr>
              <w:pStyle w:val="FRABodyText"/>
            </w:pPr>
            <w:r w:rsidRPr="0053503A">
              <w:t>Exclusion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5A396E0" w14:textId="31770077" w:rsidR="00834885" w:rsidRPr="0053503A" w:rsidRDefault="008B5F92" w:rsidP="00CB20AB">
            <w:pPr>
              <w:pStyle w:val="FRABodyText"/>
            </w:pPr>
            <w:r w:rsidRPr="0053503A">
              <w:t>Malta’s Constitution</w:t>
            </w:r>
            <w:r w:rsidR="00382B12" w:rsidRPr="0053503A">
              <w:t>, in Article 58(a),</w:t>
            </w:r>
            <w:r w:rsidRPr="0053503A">
              <w:t xml:space="preserve"> </w:t>
            </w:r>
            <w:r w:rsidR="00BB336F" w:rsidRPr="0053503A">
              <w:t xml:space="preserve">disqualifies from registration to vote any person who a Court has </w:t>
            </w:r>
            <w:r w:rsidR="00F74793" w:rsidRPr="0053503A">
              <w:t>interdicted or incapacitated due to mental infirmity, or who is determined to be of “unsound mind”</w:t>
            </w:r>
            <w:r w:rsidR="006361C0" w:rsidRPr="0053503A">
              <w:rPr>
                <w:rStyle w:val="FootnoteReference"/>
              </w:rPr>
              <w:footnoteReference w:id="3"/>
            </w:r>
            <w:r w:rsidR="00F74793" w:rsidRPr="0053503A">
              <w:t>.</w:t>
            </w:r>
            <w:r w:rsidR="00A479E7" w:rsidRPr="0053503A">
              <w:t xml:space="preserve"> </w:t>
            </w:r>
          </w:p>
          <w:p w14:paraId="16FDCE77" w14:textId="77777777" w:rsidR="00834885" w:rsidRPr="0053503A" w:rsidRDefault="00834885" w:rsidP="00CB20AB">
            <w:pPr>
              <w:pStyle w:val="FRABodyText"/>
            </w:pPr>
          </w:p>
          <w:p w14:paraId="489A4283" w14:textId="3FFD55B6" w:rsidR="00566A68" w:rsidRPr="0053503A" w:rsidRDefault="00A479E7" w:rsidP="00CB20AB">
            <w:pPr>
              <w:pStyle w:val="FRABodyText"/>
            </w:pPr>
            <w:r w:rsidRPr="0053503A">
              <w:lastRenderedPageBreak/>
              <w:t>This is further reflected in the General Elections Act</w:t>
            </w:r>
            <w:r w:rsidR="00EB6689" w:rsidRPr="0053503A">
              <w:t xml:space="preserve"> where Article 21 lists the requisites for persons to be registered as voters</w:t>
            </w:r>
            <w:r w:rsidR="00F02BB9" w:rsidRPr="0053503A">
              <w:rPr>
                <w:rStyle w:val="FootnoteReference"/>
              </w:rPr>
              <w:footnoteReference w:id="4"/>
            </w:r>
            <w:r w:rsidR="00EB6689" w:rsidRPr="0053503A">
              <w:t>.</w:t>
            </w:r>
            <w:r w:rsidR="00841A67" w:rsidRPr="0053503A">
              <w:t xml:space="preserve"> Article 27 of the Act specifies that the Electoral Commission shall refuse to register as voter persons who have been </w:t>
            </w:r>
            <w:r w:rsidR="00BB3610" w:rsidRPr="0053503A">
              <w:t>interdicted</w:t>
            </w:r>
            <w:r w:rsidR="00841A67" w:rsidRPr="0053503A">
              <w:t xml:space="preserve"> or incapacitated by a competent Court or who have been declared to be of “unsound mind” by a Medical Board</w:t>
            </w:r>
            <w:r w:rsidR="00624F4A" w:rsidRPr="0053503A">
              <w:t xml:space="preserve"> established to assess </w:t>
            </w:r>
            <w:r w:rsidR="00382B12" w:rsidRPr="0053503A">
              <w:t xml:space="preserve">issues falling under the </w:t>
            </w:r>
            <w:r w:rsidR="003E4648" w:rsidRPr="0053503A">
              <w:t xml:space="preserve">above-mentioned </w:t>
            </w:r>
            <w:r w:rsidR="00382B12" w:rsidRPr="0053503A">
              <w:t>Constitution</w:t>
            </w:r>
            <w:r w:rsidR="003E4648" w:rsidRPr="0053503A">
              <w:t xml:space="preserve"> Article</w:t>
            </w:r>
            <w:r w:rsidR="00841A67" w:rsidRPr="0053503A">
              <w:t>.</w:t>
            </w:r>
            <w:r w:rsidR="002831DE" w:rsidRPr="0053503A">
              <w:t xml:space="preserve"> The Board is composed of three doctors: one appointed by the Electoral Commission and the other two by each of the political parties. </w:t>
            </w:r>
            <w:r w:rsidR="00EB6689" w:rsidRPr="0053503A">
              <w:t xml:space="preserve"> </w:t>
            </w:r>
          </w:p>
          <w:p w14:paraId="67EA46D1" w14:textId="77777777" w:rsidR="004B7AD6" w:rsidRPr="0053503A" w:rsidRDefault="004B7AD6" w:rsidP="00CB20AB">
            <w:pPr>
              <w:pStyle w:val="FRABodyText"/>
            </w:pPr>
          </w:p>
          <w:p w14:paraId="7F472BA4" w14:textId="71118B5B" w:rsidR="004B7AD6" w:rsidRPr="0053503A" w:rsidRDefault="004B7AD6" w:rsidP="00CB20AB">
            <w:pPr>
              <w:pStyle w:val="FRABodyText"/>
            </w:pPr>
            <w:r w:rsidRPr="0053503A">
              <w:t>The ODIHR, in its</w:t>
            </w:r>
            <w:r w:rsidR="006275D0" w:rsidRPr="0053503A">
              <w:t xml:space="preserve"> expert </w:t>
            </w:r>
            <w:r w:rsidRPr="0053503A">
              <w:t>report on Malta’s</w:t>
            </w:r>
            <w:r w:rsidR="006275D0" w:rsidRPr="0053503A">
              <w:t xml:space="preserve"> 2022’s early elections</w:t>
            </w:r>
            <w:r w:rsidR="00787EFE" w:rsidRPr="0053503A">
              <w:t>,</w:t>
            </w:r>
            <w:r w:rsidR="006275D0" w:rsidRPr="0053503A">
              <w:t xml:space="preserve"> flagged this limitation, commenting that Maltese law is not in conformity </w:t>
            </w:r>
            <w:r w:rsidR="00BB3610" w:rsidRPr="0053503A">
              <w:t>with Articles</w:t>
            </w:r>
            <w:r w:rsidR="006275D0" w:rsidRPr="0053503A">
              <w:t xml:space="preserve"> 12 and 29 of the C</w:t>
            </w:r>
            <w:r w:rsidR="00440824" w:rsidRPr="0053503A">
              <w:t>o</w:t>
            </w:r>
            <w:r w:rsidR="006275D0" w:rsidRPr="0053503A">
              <w:t>nvention</w:t>
            </w:r>
            <w:r w:rsidR="00440824" w:rsidRPr="0053503A">
              <w:t xml:space="preserve">. The ODIHR recommended that Malta brings its legislation in line with the Convention by </w:t>
            </w:r>
            <w:r w:rsidR="00440824" w:rsidRPr="0053503A">
              <w:rPr>
                <w:i/>
                <w:iCs/>
              </w:rPr>
              <w:t>“removing all restrictions on voting rights on the basis of any kind of disability”</w:t>
            </w:r>
            <w:r w:rsidR="00EB3858" w:rsidRPr="0053503A">
              <w:rPr>
                <w:rStyle w:val="FootnoteReference"/>
              </w:rPr>
              <w:footnoteReference w:id="5"/>
            </w:r>
            <w:r w:rsidR="00440824" w:rsidRPr="0053503A">
              <w:rPr>
                <w:i/>
                <w:iCs/>
              </w:rPr>
              <w:t>.</w:t>
            </w:r>
          </w:p>
        </w:tc>
      </w:tr>
      <w:tr w:rsidR="00CC2CCC" w:rsidRPr="0053503A" w14:paraId="2B8356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53503A" w:rsidRDefault="00566A68" w:rsidP="00CB20AB">
            <w:pPr>
              <w:pStyle w:val="FRABodyText"/>
            </w:pPr>
            <w:r w:rsidRPr="0053503A">
              <w:lastRenderedPageBreak/>
              <w:t>Is there a requirement under law to register to vote?</w:t>
            </w:r>
          </w:p>
          <w:p w14:paraId="6C40E126" w14:textId="77777777" w:rsidR="00566A68" w:rsidRPr="0053503A" w:rsidRDefault="00566A68" w:rsidP="00CB20AB">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9D528" w14:textId="77777777" w:rsidR="00566A68" w:rsidRPr="0053503A" w:rsidRDefault="00566A68" w:rsidP="00CB20AB">
            <w:pPr>
              <w:pStyle w:val="FRABodyText"/>
            </w:pPr>
            <w:r w:rsidRPr="0053503A">
              <w:t xml:space="preserve">No, automatic registration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2F44D99" w14:textId="49095EC4" w:rsidR="00D7624B" w:rsidRPr="0053503A" w:rsidRDefault="00C82C1A" w:rsidP="00CB20AB">
            <w:pPr>
              <w:pStyle w:val="FRABodyText"/>
            </w:pPr>
            <w:r w:rsidRPr="0053503A">
              <w:t>In Malta, voter registration is passive and based on the voter’s habitual residence.</w:t>
            </w:r>
            <w:r w:rsidR="00BA5439" w:rsidRPr="0053503A">
              <w:t xml:space="preserve"> </w:t>
            </w:r>
            <w:r w:rsidR="00C16816" w:rsidRPr="0053503A">
              <w:t>For this purpose, the General Electio</w:t>
            </w:r>
            <w:r w:rsidR="00E85EDA" w:rsidRPr="0053503A">
              <w:t>ns</w:t>
            </w:r>
            <w:r w:rsidR="00C16816" w:rsidRPr="0053503A">
              <w:t xml:space="preserve"> Act requires all public officers </w:t>
            </w:r>
            <w:r w:rsidR="00E92CBB" w:rsidRPr="0053503A">
              <w:t xml:space="preserve">to share all and any relevant information with the Electoral Commission regarding individual voters. </w:t>
            </w:r>
            <w:r w:rsidR="00733E59" w:rsidRPr="0053503A">
              <w:t>Specifically, the Act requires Malta’s public registries</w:t>
            </w:r>
            <w:r w:rsidR="001A275D" w:rsidRPr="0053503A">
              <w:t xml:space="preserve">, </w:t>
            </w:r>
            <w:r w:rsidR="00733E59" w:rsidRPr="0053503A">
              <w:t>the registries of the Courts</w:t>
            </w:r>
            <w:r w:rsidR="001A275D" w:rsidRPr="0053503A">
              <w:t xml:space="preserve"> and the registries of the prisons to </w:t>
            </w:r>
            <w:r w:rsidR="001A275D" w:rsidRPr="0053503A">
              <w:lastRenderedPageBreak/>
              <w:t>regularly share with the Electoral Commission</w:t>
            </w:r>
            <w:r w:rsidR="003969E5" w:rsidRPr="0053503A">
              <w:t xml:space="preserve"> all new information relating to voters, such as personal particulars, Court decisions regarding </w:t>
            </w:r>
            <w:r w:rsidR="00BB3610" w:rsidRPr="0053503A">
              <w:t>incapacitation</w:t>
            </w:r>
            <w:r w:rsidR="003969E5" w:rsidRPr="0053503A">
              <w:t xml:space="preserve"> or interdiction</w:t>
            </w:r>
            <w:r w:rsidR="00970C46" w:rsidRPr="0053503A">
              <w:t xml:space="preserve"> and details of persons </w:t>
            </w:r>
            <w:r w:rsidR="00BB3610" w:rsidRPr="0053503A">
              <w:t>released</w:t>
            </w:r>
            <w:r w:rsidR="00970C46" w:rsidRPr="0053503A">
              <w:t xml:space="preserve"> from prison</w:t>
            </w:r>
            <w:r w:rsidR="006B6A94" w:rsidRPr="0053503A">
              <w:rPr>
                <w:rStyle w:val="FootnoteReference"/>
              </w:rPr>
              <w:footnoteReference w:id="6"/>
            </w:r>
            <w:r w:rsidR="00970C46" w:rsidRPr="0053503A">
              <w:t>.</w:t>
            </w:r>
          </w:p>
          <w:p w14:paraId="16899558" w14:textId="77777777" w:rsidR="00D7624B" w:rsidRPr="0053503A" w:rsidRDefault="00D7624B" w:rsidP="00CB20AB">
            <w:pPr>
              <w:pStyle w:val="FRABodyText"/>
            </w:pPr>
          </w:p>
          <w:p w14:paraId="4BD0105F" w14:textId="77777777" w:rsidR="00566A68" w:rsidRPr="0053503A" w:rsidRDefault="000B31A3" w:rsidP="00CB20AB">
            <w:pPr>
              <w:pStyle w:val="FRABodyText"/>
            </w:pPr>
            <w:r w:rsidRPr="0053503A">
              <w:t>The General Elections Act, in Article 21</w:t>
            </w:r>
            <w:r w:rsidR="00D73708" w:rsidRPr="0053503A">
              <w:t xml:space="preserve">, </w:t>
            </w:r>
            <w:r w:rsidR="00BA5439" w:rsidRPr="0053503A">
              <w:t xml:space="preserve">permits eligible persons to be registered as voters. </w:t>
            </w:r>
          </w:p>
          <w:p w14:paraId="6D0BFB01" w14:textId="77777777" w:rsidR="00A62633" w:rsidRPr="0053503A" w:rsidRDefault="00A62633" w:rsidP="00CB20AB">
            <w:pPr>
              <w:pStyle w:val="FRABodyText"/>
            </w:pPr>
          </w:p>
          <w:p w14:paraId="29332E48" w14:textId="24708597" w:rsidR="00787EFE" w:rsidRPr="0053503A" w:rsidRDefault="00A62633" w:rsidP="00CB20AB">
            <w:pPr>
              <w:pStyle w:val="FRABodyText"/>
            </w:pPr>
            <w:r w:rsidRPr="0053503A">
              <w:t>The Elect</w:t>
            </w:r>
            <w:r w:rsidR="00CD58B7" w:rsidRPr="0053503A">
              <w:t>or</w:t>
            </w:r>
            <w:r w:rsidRPr="0053503A">
              <w:t xml:space="preserve">al Register, being the document containing </w:t>
            </w:r>
            <w:r w:rsidR="00BB2219" w:rsidRPr="0053503A">
              <w:t>the list of voters</w:t>
            </w:r>
            <w:r w:rsidR="00CD58B7" w:rsidRPr="0053503A">
              <w:t xml:space="preserve"> together with</w:t>
            </w:r>
            <w:r w:rsidR="00BB2219" w:rsidRPr="0053503A">
              <w:t xml:space="preserve"> personal </w:t>
            </w:r>
            <w:r w:rsidR="00BB3610" w:rsidRPr="0053503A">
              <w:t>information</w:t>
            </w:r>
            <w:r w:rsidR="00CD58B7" w:rsidRPr="0053503A">
              <w:t>, is a public document</w:t>
            </w:r>
            <w:r w:rsidR="00BB2219" w:rsidRPr="0053503A">
              <w:t>.</w:t>
            </w:r>
            <w:r w:rsidR="005F3E27" w:rsidRPr="0053503A">
              <w:t xml:space="preserve"> </w:t>
            </w:r>
            <w:r w:rsidR="00787EFE" w:rsidRPr="0053503A">
              <w:t>The ODIHR, in its expert report on Malta’s 2022’s early elections</w:t>
            </w:r>
            <w:r w:rsidRPr="0053503A">
              <w:t xml:space="preserve"> noted that this</w:t>
            </w:r>
            <w:r w:rsidR="005F3E27" w:rsidRPr="0053503A">
              <w:t xml:space="preserve"> practice is not in conformity with voter data privacy</w:t>
            </w:r>
            <w:r w:rsidR="00410DB2" w:rsidRPr="0053503A">
              <w:rPr>
                <w:rStyle w:val="FootnoteReference"/>
              </w:rPr>
              <w:footnoteReference w:id="7"/>
            </w:r>
            <w:r w:rsidR="000A2F55" w:rsidRPr="0053503A">
              <w:t>.</w:t>
            </w:r>
          </w:p>
        </w:tc>
      </w:tr>
      <w:tr w:rsidR="00CC2CCC" w:rsidRPr="0053503A" w14:paraId="7048774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53503A" w:rsidRDefault="00566A68" w:rsidP="00CB20AB">
            <w:pPr>
              <w:pStyle w:val="FRABodyText"/>
            </w:pPr>
            <w:r w:rsidRPr="0053503A">
              <w:lastRenderedPageBreak/>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ACF9B89" w14:textId="109A98FC" w:rsidR="00566A68" w:rsidRPr="0053503A" w:rsidRDefault="00566A68" w:rsidP="00CB20AB">
            <w:pPr>
              <w:pStyle w:val="FRABodyText"/>
            </w:pPr>
            <w:r w:rsidRPr="0053503A">
              <w:t>Yes, disability-specific alternatives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95EC743" w14:textId="43379FF0" w:rsidR="00566A68" w:rsidRPr="0053503A" w:rsidRDefault="00601052" w:rsidP="00CB20AB">
            <w:pPr>
              <w:pStyle w:val="FRABodyText"/>
            </w:pPr>
            <w:r w:rsidRPr="0053503A">
              <w:t xml:space="preserve">In Article 64(3), the General Elections Act states that the Electoral Commission </w:t>
            </w:r>
            <w:r w:rsidR="001E5BE9" w:rsidRPr="0053503A">
              <w:t xml:space="preserve">shall provide </w:t>
            </w:r>
            <w:r w:rsidR="00BB3610" w:rsidRPr="0053503A">
              <w:t>facilities</w:t>
            </w:r>
            <w:r w:rsidR="001E5BE9" w:rsidRPr="0053503A">
              <w:t xml:space="preserve"> so that persons </w:t>
            </w:r>
            <w:r w:rsidR="00BB3610" w:rsidRPr="0053503A">
              <w:t>with</w:t>
            </w:r>
            <w:r w:rsidR="001E5BE9" w:rsidRPr="0053503A">
              <w:t xml:space="preserve"> disabilities may vote in comfort.</w:t>
            </w:r>
            <w:r w:rsidR="00C314F0" w:rsidRPr="0053503A">
              <w:t xml:space="preserve"> Article 49(1) </w:t>
            </w:r>
            <w:r w:rsidR="005F24E1" w:rsidRPr="0053503A">
              <w:t>requires the Electoral Commission to produce a Braille template as a ballot guide as well as a playback listening device</w:t>
            </w:r>
            <w:r w:rsidR="00661BAC" w:rsidRPr="0053503A">
              <w:t xml:space="preserve"> for recognition of parties and candidates.</w:t>
            </w:r>
            <w:r w:rsidR="001E5BE9" w:rsidRPr="0053503A">
              <w:t xml:space="preserve"> </w:t>
            </w:r>
            <w:r w:rsidR="00661BAC" w:rsidRPr="0053503A">
              <w:t>T</w:t>
            </w:r>
            <w:r w:rsidR="001E5BE9" w:rsidRPr="0053503A">
              <w:t>he Ac</w:t>
            </w:r>
            <w:r w:rsidR="009D524A" w:rsidRPr="0053503A">
              <w:t>t</w:t>
            </w:r>
            <w:r w:rsidR="00661BAC" w:rsidRPr="0053503A">
              <w:t xml:space="preserve"> also contains </w:t>
            </w:r>
            <w:r w:rsidR="009D524A" w:rsidRPr="0053503A">
              <w:t>provisions relating to voting in retirement homes and hospitals</w:t>
            </w:r>
            <w:r w:rsidR="00AE34E0" w:rsidRPr="0053503A">
              <w:rPr>
                <w:rStyle w:val="FootnoteReference"/>
              </w:rPr>
              <w:footnoteReference w:id="8"/>
            </w:r>
            <w:r w:rsidR="009D524A" w:rsidRPr="0053503A">
              <w:t>.</w:t>
            </w:r>
          </w:p>
          <w:p w14:paraId="47B56B21" w14:textId="77777777" w:rsidR="00810F8D" w:rsidRPr="0053503A" w:rsidRDefault="00810F8D" w:rsidP="00CB20AB">
            <w:pPr>
              <w:pStyle w:val="FRABodyText"/>
            </w:pPr>
          </w:p>
          <w:p w14:paraId="2618C57E" w14:textId="33B078C6" w:rsidR="00810F8D" w:rsidRPr="0053503A" w:rsidRDefault="003F02F5" w:rsidP="00CB20AB">
            <w:pPr>
              <w:pStyle w:val="FRABodyText"/>
            </w:pPr>
            <w:r w:rsidRPr="0053503A">
              <w:t xml:space="preserve">Article 72(1) allows any voter to </w:t>
            </w:r>
            <w:r w:rsidR="00BB3610" w:rsidRPr="0053503A">
              <w:t>declare</w:t>
            </w:r>
            <w:r w:rsidR="00AD0743" w:rsidRPr="0053503A">
              <w:t xml:space="preserve"> to the Assistant Commissioners present at the polling station,</w:t>
            </w:r>
            <w:r w:rsidRPr="0053503A">
              <w:t xml:space="preserve"> that they are unable </w:t>
            </w:r>
            <w:r w:rsidRPr="0053503A">
              <w:lastRenderedPageBreak/>
              <w:t xml:space="preserve">to mark their ballot paper due to </w:t>
            </w:r>
            <w:r w:rsidR="00AD0743" w:rsidRPr="0053503A">
              <w:rPr>
                <w:i/>
                <w:iCs/>
              </w:rPr>
              <w:t>“blindness, other physical cause or illiteracy”</w:t>
            </w:r>
            <w:r w:rsidR="00AD0743" w:rsidRPr="0053503A">
              <w:t xml:space="preserve">. </w:t>
            </w:r>
            <w:r w:rsidR="00F21200" w:rsidRPr="0053503A">
              <w:t>If the Assistant Commissioners are satisfied tha</w:t>
            </w:r>
            <w:r w:rsidR="000B4406" w:rsidRPr="0053503A">
              <w:t>t</w:t>
            </w:r>
            <w:r w:rsidR="00F21200" w:rsidRPr="0053503A">
              <w:t xml:space="preserve"> the declaration is a valid one, </w:t>
            </w:r>
            <w:r w:rsidR="000B4406" w:rsidRPr="0053503A">
              <w:t>the room will be vacated and not less than two Assistant Commissioners will record the voter’s preference</w:t>
            </w:r>
            <w:r w:rsidR="00993FD4" w:rsidRPr="0053503A">
              <w:t>, in secrecy.</w:t>
            </w:r>
            <w:r w:rsidR="000B4406" w:rsidRPr="0053503A">
              <w:t xml:space="preserve"> </w:t>
            </w:r>
          </w:p>
          <w:p w14:paraId="093ADF3A" w14:textId="77777777" w:rsidR="00A06042" w:rsidRPr="0053503A" w:rsidRDefault="00A06042" w:rsidP="00CB20AB">
            <w:pPr>
              <w:pStyle w:val="FRABodyText"/>
            </w:pPr>
          </w:p>
          <w:p w14:paraId="6790B7BE" w14:textId="58006F73" w:rsidR="00117337" w:rsidRPr="0053503A" w:rsidRDefault="009B0A36" w:rsidP="00CB20AB">
            <w:pPr>
              <w:pStyle w:val="FRABodyText"/>
            </w:pPr>
            <w:r w:rsidRPr="0053503A">
              <w:t>Part X of the Act regulates Assistant Commissioners and states that these are nominated by every political party.</w:t>
            </w:r>
          </w:p>
          <w:p w14:paraId="6AD70AFE" w14:textId="77777777" w:rsidR="009B0A36" w:rsidRPr="0053503A" w:rsidRDefault="009B0A36" w:rsidP="00CB20AB">
            <w:pPr>
              <w:pStyle w:val="FRABodyText"/>
            </w:pPr>
          </w:p>
          <w:p w14:paraId="798EA478" w14:textId="0B496DA1" w:rsidR="00A06042" w:rsidRPr="0053503A" w:rsidRDefault="00A06042" w:rsidP="00CB20AB">
            <w:pPr>
              <w:pStyle w:val="FRABodyText"/>
            </w:pPr>
            <w:r w:rsidRPr="0053503A">
              <w:t xml:space="preserve">The ODIHR, in its expert report on Malta’s 2022’s early elections noted that Braille templates and audio equipment were </w:t>
            </w:r>
            <w:r w:rsidR="00140063" w:rsidRPr="0053503A">
              <w:t>available,</w:t>
            </w:r>
            <w:r w:rsidR="000566D9" w:rsidRPr="0053503A">
              <w:t xml:space="preserve"> and that the </w:t>
            </w:r>
            <w:r w:rsidR="00BB3610" w:rsidRPr="0053503A">
              <w:t>majority</w:t>
            </w:r>
            <w:r w:rsidR="000566D9" w:rsidRPr="0053503A">
              <w:t xml:space="preserve"> of polling stations were accessible.</w:t>
            </w:r>
            <w:r w:rsidR="00E03EF0" w:rsidRPr="0053503A">
              <w:t xml:space="preserve"> It also flagged the </w:t>
            </w:r>
            <w:r w:rsidR="00BB3610" w:rsidRPr="0053503A">
              <w:t>impossibility</w:t>
            </w:r>
            <w:r w:rsidR="00E03EF0" w:rsidRPr="0053503A">
              <w:t xml:space="preserve"> of voters to select the person of their own choice to assist them with their voting, as the Act requires that such assistance is provided by the Assistant Commissioners</w:t>
            </w:r>
            <w:r w:rsidR="00D24EEA" w:rsidRPr="0053503A">
              <w:t>. The ODIHR recommended to amend the Act so as to ensure voting secrecy and to explore alternative voting methods</w:t>
            </w:r>
            <w:r w:rsidR="006B6F42" w:rsidRPr="0053503A">
              <w:rPr>
                <w:rStyle w:val="FootnoteReference"/>
              </w:rPr>
              <w:footnoteReference w:id="9"/>
            </w:r>
            <w:r w:rsidR="00E03EF0" w:rsidRPr="0053503A">
              <w:t xml:space="preserve">. </w:t>
            </w:r>
          </w:p>
        </w:tc>
      </w:tr>
      <w:tr w:rsidR="00CC2CCC" w:rsidRPr="0053503A" w14:paraId="3D270E81"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53503A" w:rsidRDefault="00566A68" w:rsidP="00CB20AB">
            <w:pPr>
              <w:pStyle w:val="FRABodyText"/>
            </w:pPr>
            <w:r w:rsidRPr="0053503A">
              <w:lastRenderedPageBreak/>
              <w:t>Is there legislation regulating how people living in long-term institutions may vote?</w:t>
            </w:r>
          </w:p>
          <w:p w14:paraId="7A39CDDF" w14:textId="77777777" w:rsidR="00566A68" w:rsidRPr="0053503A" w:rsidRDefault="00566A68" w:rsidP="00CB20AB">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9BD827" w14:textId="1233ECE2" w:rsidR="00D132DD" w:rsidRPr="0053503A" w:rsidRDefault="00566A68" w:rsidP="00CB20AB">
            <w:pPr>
              <w:pStyle w:val="FRABodyText"/>
            </w:pPr>
            <w:r w:rsidRPr="0053503A">
              <w:t>Yes, specific legislative provisions</w:t>
            </w:r>
          </w:p>
          <w:p w14:paraId="08670BF7" w14:textId="3AE7B65F" w:rsidR="00566A68" w:rsidRPr="0053503A" w:rsidRDefault="00566A68" w:rsidP="00CB20AB">
            <w:pPr>
              <w:pStyle w:val="FRABodyText"/>
            </w:pPr>
            <w:r w:rsidRPr="0053503A">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5D34678" w14:textId="2A8DCA5E" w:rsidR="00762DB4" w:rsidRPr="0053503A" w:rsidRDefault="00D132DD" w:rsidP="00CB20AB">
            <w:pPr>
              <w:pStyle w:val="FRABodyText"/>
            </w:pPr>
            <w:r w:rsidRPr="0053503A">
              <w:t xml:space="preserve">Yes, the General Elections Act’s Part XII regulating </w:t>
            </w:r>
            <w:r w:rsidR="00881411" w:rsidRPr="0053503A">
              <w:t>voting in retirement homes and hospitals</w:t>
            </w:r>
            <w:r w:rsidR="00686D24" w:rsidRPr="0053503A">
              <w:t xml:space="preserve">, including by providing a rather restrictive definition of these terms. </w:t>
            </w:r>
            <w:r w:rsidR="0030222C" w:rsidRPr="0053503A">
              <w:t>“</w:t>
            </w:r>
            <w:r w:rsidR="00686D24" w:rsidRPr="0053503A">
              <w:rPr>
                <w:i/>
                <w:iCs/>
              </w:rPr>
              <w:t>Retirement homes</w:t>
            </w:r>
            <w:r w:rsidR="0030222C" w:rsidRPr="0053503A">
              <w:t>”</w:t>
            </w:r>
            <w:r w:rsidR="00686D24" w:rsidRPr="0053503A">
              <w:t xml:space="preserve"> are specifically and </w:t>
            </w:r>
            <w:r w:rsidR="00BB3610" w:rsidRPr="0053503A">
              <w:t>exclusively</w:t>
            </w:r>
            <w:r w:rsidR="00686D24" w:rsidRPr="0053503A">
              <w:t xml:space="preserve"> </w:t>
            </w:r>
            <w:r w:rsidR="0030222C" w:rsidRPr="0053503A">
              <w:t>places providing care of elderly persons with at least fifty residents, whilst</w:t>
            </w:r>
            <w:r w:rsidR="006D42C5" w:rsidRPr="0053503A">
              <w:t xml:space="preserve"> an exhaustive list of hospitals is provided for.</w:t>
            </w:r>
          </w:p>
          <w:p w14:paraId="7E93411B" w14:textId="77777777" w:rsidR="00762DB4" w:rsidRPr="0053503A" w:rsidRDefault="00762DB4" w:rsidP="00CB20AB">
            <w:pPr>
              <w:pStyle w:val="FRABodyText"/>
            </w:pPr>
          </w:p>
          <w:p w14:paraId="03C5609A" w14:textId="77777777" w:rsidR="00566A68" w:rsidRPr="0053503A" w:rsidRDefault="009E3BE4" w:rsidP="00CB20AB">
            <w:pPr>
              <w:pStyle w:val="FRABodyText"/>
            </w:pPr>
            <w:r w:rsidRPr="0053503A">
              <w:t xml:space="preserve">As stated in the Act, the main aim of these provisions is to ensure that </w:t>
            </w:r>
            <w:r w:rsidR="005C1B5A" w:rsidRPr="0053503A">
              <w:t xml:space="preserve">voters residing in these places are not put under </w:t>
            </w:r>
            <w:r w:rsidRPr="0053503A">
              <w:t xml:space="preserve">undue </w:t>
            </w:r>
            <w:r w:rsidRPr="0053503A">
              <w:lastRenderedPageBreak/>
              <w:t>pressure</w:t>
            </w:r>
            <w:r w:rsidR="00852799" w:rsidRPr="0053503A">
              <w:t>,</w:t>
            </w:r>
            <w:r w:rsidR="005C1B5A" w:rsidRPr="0053503A">
              <w:t xml:space="preserve"> that they are provided with the</w:t>
            </w:r>
            <w:r w:rsidR="00852799" w:rsidRPr="0053503A">
              <w:t xml:space="preserve"> necessary facilitates to vote and that political parties are granted equal access to this voting group.</w:t>
            </w:r>
          </w:p>
          <w:p w14:paraId="158CDFC1" w14:textId="77777777" w:rsidR="00852799" w:rsidRPr="0053503A" w:rsidRDefault="00852799" w:rsidP="00CB20AB">
            <w:pPr>
              <w:pStyle w:val="FRABodyText"/>
            </w:pPr>
          </w:p>
          <w:p w14:paraId="07CB77FB" w14:textId="77777777" w:rsidR="0026583D" w:rsidRPr="0053503A" w:rsidRDefault="00E66692" w:rsidP="00CB20AB">
            <w:pPr>
              <w:pStyle w:val="FRABodyText"/>
            </w:pPr>
            <w:r w:rsidRPr="0053503A">
              <w:t xml:space="preserve">The Act requires the establishment of a Sub-committee for Retirement Homes and hospitals within one day from the formal announcement of general elections. </w:t>
            </w:r>
            <w:r w:rsidR="006C4EA0" w:rsidRPr="0053503A">
              <w:t xml:space="preserve">The Sub-committee is composed of an Electoral Commissioner and a representative of each political party, with the </w:t>
            </w:r>
            <w:r w:rsidR="00C83155" w:rsidRPr="0053503A">
              <w:t xml:space="preserve">duty of running the electoral process in homes and hospitals. </w:t>
            </w:r>
          </w:p>
          <w:p w14:paraId="15A60484" w14:textId="77777777" w:rsidR="0026583D" w:rsidRPr="0053503A" w:rsidRDefault="0026583D" w:rsidP="00CB20AB">
            <w:pPr>
              <w:pStyle w:val="FRABodyText"/>
            </w:pPr>
          </w:p>
          <w:p w14:paraId="7442AE56" w14:textId="23C69DF2" w:rsidR="00852799" w:rsidRPr="0053503A" w:rsidRDefault="00630FA9" w:rsidP="00CB20AB">
            <w:pPr>
              <w:pStyle w:val="FRABodyText"/>
            </w:pPr>
            <w:r w:rsidRPr="0053503A">
              <w:t xml:space="preserve">The Act explains the procedures to be followed by the Sub-committee in relation to individual places, including gathering voter </w:t>
            </w:r>
            <w:r w:rsidR="00F45EE4" w:rsidRPr="0053503A">
              <w:t xml:space="preserve">and staff details and sharing these details with the political parties. </w:t>
            </w:r>
            <w:r w:rsidR="00E56CC2" w:rsidRPr="0053503A">
              <w:t xml:space="preserve">Furthermore, </w:t>
            </w:r>
            <w:r w:rsidR="00CC599D" w:rsidRPr="0053503A">
              <w:t xml:space="preserve">and unlike in the situations of persons requiring assistance to vote at the polling station, </w:t>
            </w:r>
            <w:r w:rsidR="00E56CC2" w:rsidRPr="0053503A">
              <w:t>the Act regulates the distribution of voting documents at these places</w:t>
            </w:r>
            <w:r w:rsidR="00CC599D" w:rsidRPr="0053503A">
              <w:t xml:space="preserve"> and offers voters the possibility to request to be assisted by any person, by staff members of by members of their families</w:t>
            </w:r>
          </w:p>
        </w:tc>
      </w:tr>
      <w:tr w:rsidR="00CC2CCC" w:rsidRPr="0053503A" w14:paraId="72B066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53503A" w:rsidRDefault="00566A68" w:rsidP="00CB20AB">
            <w:pPr>
              <w:pStyle w:val="FRABodyText"/>
            </w:pPr>
            <w:r w:rsidRPr="0053503A">
              <w:lastRenderedPageBreak/>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8EAB9" w14:textId="3493ECB6" w:rsidR="00566A68" w:rsidRPr="0053503A" w:rsidRDefault="00566A68" w:rsidP="00CB20AB">
            <w:pPr>
              <w:pStyle w:val="FRABodyText"/>
            </w:pPr>
            <w:r w:rsidRPr="0053503A">
              <w:t>No</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E08C148" w14:textId="77777777" w:rsidR="00F83AEF" w:rsidRPr="0053503A" w:rsidRDefault="00AE606D" w:rsidP="00CB20AB">
            <w:pPr>
              <w:pStyle w:val="FRABodyText"/>
            </w:pPr>
            <w:r w:rsidRPr="0053503A">
              <w:t>The General Elections Act contains assistance provisions for persons who declare to be unable to fill the ballot</w:t>
            </w:r>
            <w:r w:rsidR="00480512" w:rsidRPr="0053503A">
              <w:t xml:space="preserve"> alone, for persons residing in homes for the elderly, for persons in hospital</w:t>
            </w:r>
            <w:r w:rsidR="00F83AEF" w:rsidRPr="0053503A">
              <w:t xml:space="preserve"> and for persons with visual impairment issues. </w:t>
            </w:r>
          </w:p>
          <w:p w14:paraId="2E9CF0B7" w14:textId="77777777" w:rsidR="00F83AEF" w:rsidRPr="0053503A" w:rsidRDefault="00F83AEF" w:rsidP="00CB20AB">
            <w:pPr>
              <w:pStyle w:val="FRABodyText"/>
            </w:pPr>
          </w:p>
          <w:p w14:paraId="1ED0C753" w14:textId="10DCDF13" w:rsidR="00566A68" w:rsidRPr="0053503A" w:rsidRDefault="00F83AEF" w:rsidP="00CB20AB">
            <w:pPr>
              <w:pStyle w:val="FRABodyText"/>
            </w:pPr>
            <w:r w:rsidRPr="0053503A">
              <w:t xml:space="preserve">Whereas the latter three groups are </w:t>
            </w:r>
            <w:r w:rsidR="007E6AF3" w:rsidRPr="0053503A">
              <w:t xml:space="preserve">described in the Act by way of a legal obligation, </w:t>
            </w:r>
            <w:r w:rsidR="004205B5" w:rsidRPr="0053503A">
              <w:t xml:space="preserve">assistance to </w:t>
            </w:r>
            <w:r w:rsidR="007E6AF3" w:rsidRPr="0053503A">
              <w:t>the first group</w:t>
            </w:r>
            <w:r w:rsidR="004205B5" w:rsidRPr="0053503A">
              <w:t xml:space="preserve"> of persons is formulated as a discretionary </w:t>
            </w:r>
            <w:r w:rsidR="00C76EB4" w:rsidRPr="0053503A">
              <w:t xml:space="preserve">authority given to the </w:t>
            </w:r>
            <w:r w:rsidR="006168E4" w:rsidRPr="0053503A">
              <w:t>Assistant</w:t>
            </w:r>
            <w:r w:rsidR="00C76EB4" w:rsidRPr="0053503A">
              <w:t xml:space="preserve"> Commissioners receiving and assessing the assistance request. </w:t>
            </w:r>
          </w:p>
          <w:p w14:paraId="00B99557" w14:textId="77777777" w:rsidR="00C76EB4" w:rsidRPr="0053503A" w:rsidRDefault="00C76EB4" w:rsidP="00CB20AB">
            <w:pPr>
              <w:pStyle w:val="FRABodyText"/>
            </w:pPr>
          </w:p>
          <w:p w14:paraId="1021907B" w14:textId="3D6ABB19" w:rsidR="00C76EB4" w:rsidRPr="0053503A" w:rsidRDefault="00585A5F" w:rsidP="00CB20AB">
            <w:pPr>
              <w:pStyle w:val="FRABodyText"/>
            </w:pPr>
            <w:r w:rsidRPr="0053503A">
              <w:lastRenderedPageBreak/>
              <w:t>There is no general legal provision requiring the provision of assistance of persons with disabilities, so if they do not fall in any of the above-mentioned categories, no assistance is provided.</w:t>
            </w:r>
          </w:p>
        </w:tc>
      </w:tr>
      <w:tr w:rsidR="00CC2CCC" w:rsidRPr="0053503A" w14:paraId="21C50DE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53503A" w:rsidRDefault="00566A68" w:rsidP="00CB20AB">
            <w:pPr>
              <w:pStyle w:val="FRABodyText"/>
            </w:pPr>
            <w:r w:rsidRPr="0053503A">
              <w:lastRenderedPageBreak/>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FB6878" w14:textId="6A6FDC3E" w:rsidR="0032791D" w:rsidRPr="0053503A" w:rsidRDefault="00566A68" w:rsidP="00CB20AB">
            <w:pPr>
              <w:pStyle w:val="FRABodyText"/>
            </w:pPr>
            <w:r w:rsidRPr="0053503A">
              <w:t>Yes, all persons with disabilities</w:t>
            </w:r>
          </w:p>
          <w:p w14:paraId="01E38011" w14:textId="1ABAB54D" w:rsidR="00566A68" w:rsidRPr="0053503A" w:rsidRDefault="00566A68" w:rsidP="00CB20AB">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B4AFB3" w14:textId="6CBFB79B" w:rsidR="00566A68" w:rsidRPr="0053503A" w:rsidRDefault="0032791D" w:rsidP="00CB20AB">
            <w:pPr>
              <w:pStyle w:val="FRABodyText"/>
            </w:pPr>
            <w:r w:rsidRPr="0053503A">
              <w:t xml:space="preserve">The </w:t>
            </w:r>
            <w:r w:rsidR="00696DC1" w:rsidRPr="0053503A">
              <w:t>Feedback</w:t>
            </w:r>
            <w:r w:rsidRPr="0053503A">
              <w:t xml:space="preserve"> page on the Electoral Commission’s website</w:t>
            </w:r>
            <w:r w:rsidR="00001DF7" w:rsidRPr="0053503A">
              <w:t xml:space="preserve">, also indicated for complaints, does not refer to any </w:t>
            </w:r>
            <w:r w:rsidR="006168E4" w:rsidRPr="0053503A">
              <w:t>eligibility</w:t>
            </w:r>
            <w:r w:rsidR="00001DF7" w:rsidRPr="0053503A">
              <w:t xml:space="preserve"> requirements for filing complaints</w:t>
            </w:r>
            <w:r w:rsidR="00194AE7" w:rsidRPr="0053503A">
              <w:rPr>
                <w:rStyle w:val="FootnoteReference"/>
              </w:rPr>
              <w:footnoteReference w:id="10"/>
            </w:r>
            <w:r w:rsidR="00001DF7" w:rsidRPr="0053503A">
              <w:t>.</w:t>
            </w:r>
            <w:r w:rsidRPr="0053503A">
              <w:t xml:space="preserve"> </w:t>
            </w:r>
          </w:p>
        </w:tc>
      </w:tr>
      <w:tr w:rsidR="00CC2CCC" w:rsidRPr="0053503A" w14:paraId="533AB95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53503A" w:rsidRDefault="00566A68" w:rsidP="00CB20AB">
            <w:pPr>
              <w:pStyle w:val="FRABodyText"/>
            </w:pPr>
            <w:r w:rsidRPr="0053503A">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3A81E719" w:rsidR="00566A68" w:rsidRPr="0053503A" w:rsidRDefault="00566A68" w:rsidP="00CB20AB">
            <w:pPr>
              <w:pStyle w:val="FRABodyText"/>
            </w:pPr>
            <w:r w:rsidRPr="0053503A">
              <w:t>No</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C35322" w14:textId="77777777" w:rsidR="00F76ED2" w:rsidRPr="0053503A" w:rsidRDefault="00F84B33" w:rsidP="00CB20AB">
            <w:pPr>
              <w:pStyle w:val="FRABodyText"/>
            </w:pPr>
            <w:r w:rsidRPr="0053503A">
              <w:t xml:space="preserve">Complaints are to be submitted either through the above-mentioned </w:t>
            </w:r>
            <w:r w:rsidR="00696DC1" w:rsidRPr="0053503A">
              <w:t>Feedback</w:t>
            </w:r>
            <w:r w:rsidRPr="0053503A">
              <w:t xml:space="preserve"> page or via direct e-mail to the Electoral Commission. The webpage is not available in alternative formats and no information is available on </w:t>
            </w:r>
            <w:r w:rsidR="00F76ED2" w:rsidRPr="0053503A">
              <w:t xml:space="preserve">the complaints mechanism itself, either generally or specifically directed towards persons with disabilities. Whilst filing complaints by e-mail is </w:t>
            </w:r>
            <w:r w:rsidR="00865F1B" w:rsidRPr="0053503A">
              <w:t xml:space="preserve">indeed </w:t>
            </w:r>
            <w:r w:rsidR="00F76ED2" w:rsidRPr="0053503A">
              <w:t>a possibility</w:t>
            </w:r>
            <w:r w:rsidR="00696DC1" w:rsidRPr="0053503A">
              <w:t>, the only place where this is mentioned is the same Feedback page</w:t>
            </w:r>
            <w:r w:rsidR="00D04A95" w:rsidRPr="0053503A">
              <w:rPr>
                <w:rStyle w:val="FootnoteReference"/>
              </w:rPr>
              <w:footnoteReference w:id="11"/>
            </w:r>
            <w:r w:rsidR="00696DC1" w:rsidRPr="0053503A">
              <w:t>.</w:t>
            </w:r>
          </w:p>
          <w:p w14:paraId="0195D095" w14:textId="77777777" w:rsidR="00381629" w:rsidRPr="0053503A" w:rsidRDefault="00381629" w:rsidP="00CB20AB">
            <w:pPr>
              <w:pStyle w:val="FRABodyText"/>
            </w:pPr>
          </w:p>
          <w:p w14:paraId="0184804D" w14:textId="5958EADC" w:rsidR="00381629" w:rsidRPr="0053503A" w:rsidRDefault="00381629" w:rsidP="00CB20AB">
            <w:pPr>
              <w:pStyle w:val="FRABodyText"/>
            </w:pPr>
            <w:r w:rsidRPr="0053503A">
              <w:t>A full search of the website of the Electoral Commission did not reveal any other information relating to complaints mechanisms, generally or specifically in relation to persons with disabilities.</w:t>
            </w:r>
          </w:p>
        </w:tc>
      </w:tr>
      <w:tr w:rsidR="00CC2CCC" w:rsidRPr="0053503A" w14:paraId="0ACA1222"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53503A" w:rsidRDefault="00566A68" w:rsidP="00CB20AB">
            <w:pPr>
              <w:pStyle w:val="FRABodyText"/>
            </w:pPr>
            <w:r w:rsidRPr="0053503A">
              <w:lastRenderedPageBreak/>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8CCB52" w14:textId="77777777" w:rsidR="00566A68" w:rsidRPr="0053503A" w:rsidRDefault="00566A68" w:rsidP="00CB20AB">
            <w:pPr>
              <w:pStyle w:val="FRABodyText"/>
            </w:pPr>
            <w:r w:rsidRPr="0053503A">
              <w:t xml:space="preserve">No, no cases identified </w:t>
            </w:r>
          </w:p>
          <w:p w14:paraId="0860E57B" w14:textId="77777777" w:rsidR="00566A68" w:rsidRPr="0053503A" w:rsidRDefault="00566A68" w:rsidP="00CB20AB">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504740" w14:textId="4DC95149" w:rsidR="00566A68" w:rsidRPr="0053503A" w:rsidRDefault="00227E1B" w:rsidP="00CB20AB">
            <w:pPr>
              <w:pStyle w:val="FRABodyText"/>
            </w:pPr>
            <w:r w:rsidRPr="0053503A">
              <w:t xml:space="preserve">No cases have been identified </w:t>
            </w:r>
            <w:r w:rsidR="006168E4" w:rsidRPr="0053503A">
              <w:t>through</w:t>
            </w:r>
            <w:r w:rsidRPr="0053503A">
              <w:t xml:space="preserve"> a comprehensive search of the jurisprudence database of the Court Services Agency</w:t>
            </w:r>
            <w:r w:rsidR="00576EC0" w:rsidRPr="0053503A">
              <w:rPr>
                <w:rStyle w:val="FootnoteReference"/>
              </w:rPr>
              <w:footnoteReference w:id="12"/>
            </w:r>
            <w:r w:rsidRPr="0053503A">
              <w:t>.</w:t>
            </w:r>
          </w:p>
        </w:tc>
      </w:tr>
      <w:tr w:rsidR="00CC2CCC" w:rsidRPr="0053503A" w14:paraId="2DA61EC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53503A" w:rsidRDefault="00566A68" w:rsidP="00CB20AB">
            <w:pPr>
              <w:pStyle w:val="FRABodyText"/>
            </w:pPr>
            <w:r w:rsidRPr="0053503A">
              <w:t>Have non-judicial complaints mechanisms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1C132A" w14:textId="3144659C" w:rsidR="00F21618" w:rsidRPr="0053503A" w:rsidRDefault="00566A68" w:rsidP="00CB20AB">
            <w:pPr>
              <w:pStyle w:val="FRABodyText"/>
            </w:pPr>
            <w:r w:rsidRPr="0053503A">
              <w:t>Yes, cases considered</w:t>
            </w:r>
          </w:p>
          <w:p w14:paraId="6F17EE7F" w14:textId="68183AB0" w:rsidR="00566A68" w:rsidRPr="0053503A" w:rsidRDefault="00566A68" w:rsidP="00CB20AB">
            <w:pPr>
              <w:pStyle w:val="FRABodyText"/>
            </w:pPr>
            <w:r w:rsidRPr="0053503A">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FD5E71" w14:textId="209253D3" w:rsidR="00566A68" w:rsidRPr="0053503A" w:rsidRDefault="004D743A" w:rsidP="00CB20AB">
            <w:pPr>
              <w:pStyle w:val="FRABodyText"/>
            </w:pPr>
            <w:r w:rsidRPr="0053503A">
              <w:t>Yes, the Commission for the Rights of Persons with Disability</w:t>
            </w:r>
            <w:r w:rsidR="00784191" w:rsidRPr="0053503A">
              <w:t xml:space="preserve"> confirms that is has</w:t>
            </w:r>
            <w:r w:rsidRPr="0053503A">
              <w:t xml:space="preserve"> </w:t>
            </w:r>
            <w:r w:rsidR="006168E4" w:rsidRPr="0053503A">
              <w:t>received</w:t>
            </w:r>
            <w:r w:rsidRPr="0053503A">
              <w:t xml:space="preserve"> the following complaints:</w:t>
            </w:r>
          </w:p>
          <w:p w14:paraId="1883A604" w14:textId="18813622" w:rsidR="004D743A" w:rsidRPr="0053503A" w:rsidRDefault="000E5075" w:rsidP="00CB20AB">
            <w:pPr>
              <w:pStyle w:val="FRABodyText"/>
              <w:numPr>
                <w:ilvl w:val="0"/>
                <w:numId w:val="15"/>
              </w:numPr>
            </w:pPr>
            <w:r w:rsidRPr="0053503A">
              <w:t xml:space="preserve">2 reports about voting for persons with a visual </w:t>
            </w:r>
            <w:r w:rsidR="006168E4" w:rsidRPr="0053503A">
              <w:t>impairment</w:t>
            </w:r>
            <w:r w:rsidRPr="0053503A">
              <w:t xml:space="preserve"> in 2017 and 2019;</w:t>
            </w:r>
          </w:p>
          <w:p w14:paraId="643AC72A" w14:textId="77777777" w:rsidR="000E5075" w:rsidRPr="0053503A" w:rsidRDefault="000E5075" w:rsidP="00CB20AB">
            <w:pPr>
              <w:pStyle w:val="FRABodyText"/>
              <w:numPr>
                <w:ilvl w:val="0"/>
                <w:numId w:val="15"/>
              </w:numPr>
            </w:pPr>
            <w:r w:rsidRPr="0053503A">
              <w:t>1 case regarding a voting location not being physically accessible in 2019;</w:t>
            </w:r>
          </w:p>
          <w:p w14:paraId="04257FD7" w14:textId="1F7DA7BC" w:rsidR="000E5075" w:rsidRPr="0053503A" w:rsidRDefault="000E5075" w:rsidP="00CB20AB">
            <w:pPr>
              <w:pStyle w:val="FRABodyText"/>
              <w:numPr>
                <w:ilvl w:val="0"/>
                <w:numId w:val="15"/>
              </w:numPr>
            </w:pPr>
            <w:r w:rsidRPr="0053503A">
              <w:t>1 case about political debates on television not being signed for the hearing impaired in 2017</w:t>
            </w:r>
            <w:r w:rsidR="00060C17" w:rsidRPr="0053503A">
              <w:rPr>
                <w:rStyle w:val="FootnoteReference"/>
              </w:rPr>
              <w:footnoteReference w:id="13"/>
            </w:r>
            <w:r w:rsidRPr="0053503A">
              <w:t>.</w:t>
            </w:r>
          </w:p>
        </w:tc>
      </w:tr>
      <w:tr w:rsidR="00CC2CCC" w:rsidRPr="0053503A" w14:paraId="35CEA62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53503A" w:rsidRDefault="00566A68" w:rsidP="00CB20AB">
            <w:pPr>
              <w:pStyle w:val="FRABodyText"/>
            </w:pPr>
            <w:r w:rsidRPr="0053503A">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7777777" w:rsidR="00566A68" w:rsidRPr="0053503A" w:rsidRDefault="00566A68" w:rsidP="00CB20AB">
            <w:pPr>
              <w:pStyle w:val="FRABodyText"/>
            </w:pPr>
            <w:r w:rsidRPr="0053503A">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75B54BC" w14:textId="015A192A" w:rsidR="00566A68" w:rsidRPr="0053503A" w:rsidRDefault="001F3FAA" w:rsidP="00CB20AB">
            <w:pPr>
              <w:pStyle w:val="FRABodyText"/>
            </w:pPr>
            <w:r w:rsidRPr="0053503A">
              <w:t xml:space="preserve">In Malta there is no official data identifying MPs as being or not being persons with </w:t>
            </w:r>
            <w:r w:rsidR="006168E4" w:rsidRPr="0053503A">
              <w:t>disabilities</w:t>
            </w:r>
            <w:r w:rsidRPr="0053503A">
              <w:t xml:space="preserve">. An </w:t>
            </w:r>
            <w:r w:rsidR="0055602D" w:rsidRPr="0053503A">
              <w:t>informal search did not reveal that any current MPs are persons with disabilities</w:t>
            </w:r>
            <w:r w:rsidR="006A3C52" w:rsidRPr="0053503A">
              <w:t>, although</w:t>
            </w:r>
            <w:r w:rsidR="00494EF3" w:rsidRPr="0053503A">
              <w:t xml:space="preserve"> there have been in past parliaments</w:t>
            </w:r>
            <w:r w:rsidR="0095790E" w:rsidRPr="0053503A">
              <w:rPr>
                <w:rStyle w:val="FootnoteReference"/>
              </w:rPr>
              <w:footnoteReference w:id="14"/>
            </w:r>
            <w:r w:rsidR="0055602D" w:rsidRPr="0053503A">
              <w:t>.</w:t>
            </w:r>
          </w:p>
        </w:tc>
      </w:tr>
      <w:tr w:rsidR="00CC2CCC" w:rsidRPr="0053503A" w14:paraId="33D1B0E8"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53503A" w:rsidRDefault="00566A68" w:rsidP="00CB20AB">
            <w:pPr>
              <w:pStyle w:val="FRABodyText"/>
            </w:pPr>
            <w:r w:rsidRPr="0053503A">
              <w:lastRenderedPageBreak/>
              <w:t>Is data available on the number of members of municipal</w:t>
            </w:r>
            <w:r w:rsidR="00172528" w:rsidRPr="0053503A">
              <w:t>/regional</w:t>
            </w:r>
            <w:r w:rsidRPr="0053503A">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09918448" w:rsidR="00566A68" w:rsidRPr="0053503A" w:rsidRDefault="00566A68" w:rsidP="00CB20AB">
            <w:pPr>
              <w:pStyle w:val="FRABodyText"/>
            </w:pPr>
            <w:r w:rsidRPr="0053503A">
              <w:t>Some unofficial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996F8" w14:textId="1224373B" w:rsidR="00566A68" w:rsidRPr="0053503A" w:rsidRDefault="00B05790" w:rsidP="00CB20AB">
            <w:pPr>
              <w:pStyle w:val="FRABodyText"/>
            </w:pPr>
            <w:r w:rsidRPr="0053503A">
              <w:t xml:space="preserve">Various news </w:t>
            </w:r>
            <w:r w:rsidR="00724C8A" w:rsidRPr="0053503A">
              <w:t>pages</w:t>
            </w:r>
            <w:r w:rsidRPr="0053503A">
              <w:t xml:space="preserve"> report items or carry interviews with Local Council members who are persons with </w:t>
            </w:r>
            <w:r w:rsidR="0091406C" w:rsidRPr="0053503A">
              <w:t>disabilities</w:t>
            </w:r>
            <w:r w:rsidR="00EF498D" w:rsidRPr="0053503A">
              <w:rPr>
                <w:rStyle w:val="FootnoteReference"/>
              </w:rPr>
              <w:footnoteReference w:id="15"/>
            </w:r>
            <w:r w:rsidR="0091406C" w:rsidRPr="0053503A">
              <w:t>.</w:t>
            </w:r>
          </w:p>
        </w:tc>
      </w:tr>
      <w:tr w:rsidR="00CC2CCC" w:rsidRPr="0053503A" w14:paraId="0D73E3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53503A" w:rsidRDefault="00566A68" w:rsidP="00CB20AB">
            <w:pPr>
              <w:pStyle w:val="FRABodyText"/>
            </w:pPr>
            <w:r w:rsidRPr="0053503A">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1A97A45F" w:rsidR="00566A68" w:rsidRPr="0053503A" w:rsidRDefault="00566A68" w:rsidP="00CB20AB">
            <w:pPr>
              <w:pStyle w:val="FRABodyText"/>
            </w:pPr>
            <w:r w:rsidRPr="0053503A">
              <w:t xml:space="preserve">No training required by law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258BDF" w14:textId="42DD5901" w:rsidR="00566A68" w:rsidRPr="0053503A" w:rsidRDefault="00D06881" w:rsidP="00CB20AB">
            <w:pPr>
              <w:pStyle w:val="FRABodyText"/>
            </w:pPr>
            <w:r w:rsidRPr="0053503A">
              <w:t xml:space="preserve">Neither the Constitution nor the </w:t>
            </w:r>
            <w:r w:rsidR="00723F47" w:rsidRPr="0053503A">
              <w:t xml:space="preserve">General Elections Act </w:t>
            </w:r>
            <w:r w:rsidR="00F30687" w:rsidRPr="0053503A">
              <w:t>require any form of training for Electoral Commissioners.</w:t>
            </w:r>
            <w:r w:rsidR="00C2384C" w:rsidRPr="0053503A">
              <w:t xml:space="preserve"> The General Elections Act also does not require such training for the public service officials </w:t>
            </w:r>
            <w:r w:rsidR="005D0ED3" w:rsidRPr="0053503A">
              <w:t>running the Electoral Office.</w:t>
            </w:r>
            <w:r w:rsidR="00401380" w:rsidRPr="0053503A">
              <w:t xml:space="preserve"> Finally, the General Elections Act does not require such training for members of the Medical Board</w:t>
            </w:r>
            <w:r w:rsidR="00CC33E6" w:rsidRPr="0053503A">
              <w:t>.</w:t>
            </w:r>
          </w:p>
        </w:tc>
      </w:tr>
      <w:tr w:rsidR="00CC2CCC" w:rsidRPr="0053503A" w14:paraId="3FA1FA6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53503A" w:rsidRDefault="003F149D" w:rsidP="00CB20AB">
            <w:pPr>
              <w:pStyle w:val="FRABodyText"/>
            </w:pPr>
            <w:r w:rsidRPr="0053503A">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BEEF9E7" w14:textId="22B980A4" w:rsidR="002042DD" w:rsidRPr="0053503A" w:rsidRDefault="00566A68" w:rsidP="00CB20AB">
            <w:pPr>
              <w:pStyle w:val="FRABodyText"/>
            </w:pPr>
            <w:r w:rsidRPr="0053503A">
              <w:t>No mechanisms established by law, but systematic procedures in place</w:t>
            </w:r>
          </w:p>
          <w:p w14:paraId="39F5CC63" w14:textId="7B10A3A7" w:rsidR="00566A68" w:rsidRPr="0053503A" w:rsidRDefault="00566A68" w:rsidP="00CB20AB">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77CE45" w14:textId="76805257" w:rsidR="002658B4" w:rsidRPr="0053503A" w:rsidRDefault="002042DD" w:rsidP="00CB20AB">
            <w:pPr>
              <w:pStyle w:val="FRABodyText"/>
            </w:pPr>
            <w:r w:rsidRPr="0053503A">
              <w:t xml:space="preserve">The Standing Orders of the House of Representatives do not require any form of consultation during </w:t>
            </w:r>
            <w:r w:rsidR="002A09A4" w:rsidRPr="0053503A">
              <w:t>the</w:t>
            </w:r>
            <w:r w:rsidRPr="0053503A">
              <w:t xml:space="preserve"> process of developing laws</w:t>
            </w:r>
            <w:r w:rsidR="00087941" w:rsidRPr="0053503A">
              <w:t>, yet any member of the public may request the Parliamentary Committee discussing the bill to appear before it to make submissions</w:t>
            </w:r>
            <w:r w:rsidR="00C774EE" w:rsidRPr="0053503A">
              <w:rPr>
                <w:rStyle w:val="FootnoteReference"/>
              </w:rPr>
              <w:footnoteReference w:id="16"/>
            </w:r>
            <w:r w:rsidR="00087941" w:rsidRPr="0053503A">
              <w:t>.</w:t>
            </w:r>
          </w:p>
          <w:p w14:paraId="5022B276" w14:textId="77777777" w:rsidR="00ED14DF" w:rsidRPr="0053503A" w:rsidRDefault="00ED14DF" w:rsidP="00CB20AB">
            <w:pPr>
              <w:pStyle w:val="FRABodyText"/>
            </w:pPr>
          </w:p>
          <w:p w14:paraId="25AED805" w14:textId="2F5B4756" w:rsidR="00566A68" w:rsidRPr="0053503A" w:rsidRDefault="002A4CF8" w:rsidP="00CB20AB">
            <w:pPr>
              <w:pStyle w:val="FRABodyText"/>
            </w:pPr>
            <w:r w:rsidRPr="0053503A">
              <w:lastRenderedPageBreak/>
              <w:t xml:space="preserve">For major policies and laws, a public consultation portal is used to gather feedback from the public. </w:t>
            </w:r>
            <w:r w:rsidR="005F1903" w:rsidRPr="0053503A">
              <w:t>The portal would share draft documents and invite feedback</w:t>
            </w:r>
            <w:r w:rsidR="005F1903" w:rsidRPr="0053503A">
              <w:rPr>
                <w:rStyle w:val="FootnoteReference"/>
              </w:rPr>
              <w:footnoteReference w:id="17"/>
            </w:r>
            <w:r w:rsidR="005F1903" w:rsidRPr="0053503A">
              <w:t xml:space="preserve">. </w:t>
            </w:r>
          </w:p>
        </w:tc>
      </w:tr>
      <w:tr w:rsidR="00CC2CCC" w:rsidRPr="0053503A" w14:paraId="122691C6"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53503A" w:rsidRDefault="00566A68" w:rsidP="00CB20AB">
            <w:pPr>
              <w:pStyle w:val="FRABodyText"/>
            </w:pPr>
            <w:r w:rsidRPr="0053503A">
              <w:lastRenderedPageBreak/>
              <w:t xml:space="preserve">Do </w:t>
            </w:r>
            <w:r w:rsidR="003F149D" w:rsidRPr="0053503A">
              <w:t>national authorities</w:t>
            </w:r>
            <w:r w:rsidRPr="0053503A">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FA8478" w14:textId="343FB52B" w:rsidR="00566A68" w:rsidRPr="0053503A" w:rsidRDefault="00566A68" w:rsidP="00CB20AB">
            <w:pPr>
              <w:pStyle w:val="FRABodyText"/>
            </w:pPr>
            <w:r w:rsidRPr="0053503A">
              <w:t>No detailed guidance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F656A2" w14:textId="77777777" w:rsidR="00C952FF" w:rsidRPr="0053503A" w:rsidRDefault="00F94FFD" w:rsidP="00CB20AB">
            <w:pPr>
              <w:pStyle w:val="FRABodyText"/>
            </w:pPr>
            <w:r w:rsidRPr="0053503A">
              <w:t xml:space="preserve">The Malta Electoral Commission does not issue such guidelines. </w:t>
            </w:r>
          </w:p>
          <w:p w14:paraId="06D2EEEB" w14:textId="77777777" w:rsidR="00C952FF" w:rsidRPr="0053503A" w:rsidRDefault="00C952FF" w:rsidP="00CB20AB">
            <w:pPr>
              <w:pStyle w:val="FRABodyText"/>
            </w:pPr>
          </w:p>
          <w:p w14:paraId="08425E64" w14:textId="77777777" w:rsidR="00A925B8" w:rsidRPr="0053503A" w:rsidRDefault="00F94FFD" w:rsidP="00CB20AB">
            <w:pPr>
              <w:pStyle w:val="FRABodyText"/>
            </w:pPr>
            <w:r w:rsidRPr="0053503A">
              <w:t xml:space="preserve">However, </w:t>
            </w:r>
            <w:r w:rsidR="006E7BB5" w:rsidRPr="0053503A">
              <w:t xml:space="preserve">in 2022, </w:t>
            </w:r>
            <w:r w:rsidRPr="0053503A">
              <w:t>the ODIHR noted that</w:t>
            </w:r>
            <w:r w:rsidR="006E7BB5" w:rsidRPr="0053503A">
              <w:t xml:space="preserve"> accessibility was not problematic</w:t>
            </w:r>
            <w:r w:rsidR="00DA3B60" w:rsidRPr="0053503A">
              <w:t xml:space="preserve"> for two main reasons. Firstly, ODIHR noted that </w:t>
            </w:r>
            <w:r w:rsidRPr="0053503A">
              <w:t>polling stations are located</w:t>
            </w:r>
            <w:r w:rsidR="007B4B28" w:rsidRPr="0053503A">
              <w:t xml:space="preserve"> in public schools</w:t>
            </w:r>
            <w:r w:rsidR="00D4482D" w:rsidRPr="0053503A">
              <w:t xml:space="preserve">, these </w:t>
            </w:r>
            <w:r w:rsidR="007B4B28" w:rsidRPr="0053503A">
              <w:t>being establishments enjoying high</w:t>
            </w:r>
            <w:r w:rsidR="00D4482D" w:rsidRPr="0053503A">
              <w:t xml:space="preserve"> accessibility standards. Secondly, polling stations are generally installed on the ground floor</w:t>
            </w:r>
            <w:r w:rsidR="008F323D" w:rsidRPr="0053503A">
              <w:rPr>
                <w:rStyle w:val="FootnoteReference"/>
              </w:rPr>
              <w:footnoteReference w:id="18"/>
            </w:r>
            <w:r w:rsidR="00D4482D" w:rsidRPr="0053503A">
              <w:t>.</w:t>
            </w:r>
          </w:p>
          <w:p w14:paraId="2D4316AF" w14:textId="77777777" w:rsidR="00540BAF" w:rsidRPr="0053503A" w:rsidRDefault="00540BAF" w:rsidP="00CB20AB">
            <w:pPr>
              <w:pStyle w:val="FRABodyText"/>
            </w:pPr>
          </w:p>
          <w:p w14:paraId="6154D166" w14:textId="77777777" w:rsidR="00540BAF" w:rsidRPr="0053503A" w:rsidRDefault="00540BAF" w:rsidP="00CB20AB">
            <w:pPr>
              <w:pStyle w:val="FRABodyText"/>
            </w:pPr>
            <w:r w:rsidRPr="0053503A">
              <w:t xml:space="preserve">According to the Malta Electoral Commission, </w:t>
            </w:r>
            <w:r w:rsidR="00643A8A" w:rsidRPr="0053503A">
              <w:t xml:space="preserve">during </w:t>
            </w:r>
            <w:r w:rsidRPr="0053503A">
              <w:t>the</w:t>
            </w:r>
            <w:r w:rsidR="005750F7" w:rsidRPr="0053503A">
              <w:t xml:space="preserve"> four days of voting for the</w:t>
            </w:r>
            <w:r w:rsidRPr="0053503A">
              <w:t xml:space="preserve"> 2019 European Parliament elections,</w:t>
            </w:r>
            <w:r w:rsidR="00A105B2" w:rsidRPr="0053503A">
              <w:t xml:space="preserve"> of the 135 polling stations </w:t>
            </w:r>
            <w:r w:rsidR="00341D13" w:rsidRPr="0053503A">
              <w:t>3</w:t>
            </w:r>
            <w:r w:rsidR="003C48C2" w:rsidRPr="0053503A">
              <w:t>0</w:t>
            </w:r>
            <w:r w:rsidR="00341D13" w:rsidRPr="0053503A">
              <w:t xml:space="preserve"> were established </w:t>
            </w:r>
            <w:r w:rsidR="00FB7A4F" w:rsidRPr="0053503A">
              <w:t>in residential homes</w:t>
            </w:r>
            <w:r w:rsidR="00CB1D31" w:rsidRPr="0053503A">
              <w:t>, and others in all hospitals in Malta and Gozo</w:t>
            </w:r>
            <w:r w:rsidR="001D2C6F" w:rsidRPr="0053503A">
              <w:t xml:space="preserve"> (including Malta’s hospital for persons with mental health issues)</w:t>
            </w:r>
            <w:r w:rsidR="00C60548" w:rsidRPr="0053503A">
              <w:rPr>
                <w:rStyle w:val="FootnoteReference"/>
              </w:rPr>
              <w:footnoteReference w:id="19"/>
            </w:r>
            <w:r w:rsidR="00C60548" w:rsidRPr="0053503A">
              <w:t>.</w:t>
            </w:r>
          </w:p>
          <w:p w14:paraId="1E802604" w14:textId="77777777" w:rsidR="003A5290" w:rsidRPr="0053503A" w:rsidRDefault="003A5290" w:rsidP="00CB20AB">
            <w:pPr>
              <w:pStyle w:val="FRABodyText"/>
            </w:pPr>
          </w:p>
          <w:p w14:paraId="47B8A88A" w14:textId="78DF829C" w:rsidR="003A5290" w:rsidRPr="0053503A" w:rsidRDefault="003A5290" w:rsidP="00CB20AB">
            <w:pPr>
              <w:pStyle w:val="FRABodyText"/>
            </w:pPr>
            <w:r w:rsidRPr="0053503A">
              <w:t xml:space="preserve">Furthermore, the Malta Electoral Commission reports that, in relation to the </w:t>
            </w:r>
            <w:r w:rsidR="00167946" w:rsidRPr="0053503A">
              <w:t>20</w:t>
            </w:r>
            <w:r w:rsidR="00062DD3" w:rsidRPr="0053503A">
              <w:t>22</w:t>
            </w:r>
            <w:r w:rsidR="00167946" w:rsidRPr="0053503A">
              <w:t xml:space="preserve"> national elections, it provided instructions </w:t>
            </w:r>
            <w:r w:rsidR="00FF4873" w:rsidRPr="0053503A">
              <w:t xml:space="preserve">that persons holding identity cards issued by the Commission for </w:t>
            </w:r>
            <w:r w:rsidR="00FF4873" w:rsidRPr="0053503A">
              <w:lastRenderedPageBreak/>
              <w:t xml:space="preserve">the Rights of Persons with Disability </w:t>
            </w:r>
            <w:r w:rsidR="00997C5A" w:rsidRPr="0053503A">
              <w:t>are entitled to skip queues as they wait to enter the polling station</w:t>
            </w:r>
            <w:r w:rsidR="002C5320" w:rsidRPr="0053503A">
              <w:rPr>
                <w:rStyle w:val="FootnoteReference"/>
              </w:rPr>
              <w:footnoteReference w:id="20"/>
            </w:r>
            <w:r w:rsidR="00997C5A" w:rsidRPr="0053503A">
              <w:t>.</w:t>
            </w:r>
          </w:p>
        </w:tc>
      </w:tr>
      <w:tr w:rsidR="00CC2CCC" w:rsidRPr="0053503A" w14:paraId="27723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53503A" w:rsidRDefault="00566A68" w:rsidP="00CB20AB">
            <w:pPr>
              <w:pStyle w:val="FRABodyText"/>
            </w:pPr>
            <w:r w:rsidRPr="0053503A">
              <w:lastRenderedPageBreak/>
              <w:t>Does the website which provides instructions for 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19F648C6" w:rsidR="00566A68" w:rsidRPr="0053503A" w:rsidRDefault="00566A68" w:rsidP="00CB20AB">
            <w:pPr>
              <w:pStyle w:val="FRABodyText"/>
            </w:pPr>
            <w:r w:rsidRPr="0053503A">
              <w:t>No</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F95A0FF" w14:textId="77777777" w:rsidR="00797290" w:rsidRPr="0053503A" w:rsidRDefault="00CC760D" w:rsidP="00CB20AB">
            <w:pPr>
              <w:pStyle w:val="FRABodyText"/>
            </w:pPr>
            <w:r w:rsidRPr="0053503A">
              <w:t>The website of the Malta Electoral Commission does not meet accessibility standards as neither of the publications available on the same site</w:t>
            </w:r>
            <w:r w:rsidRPr="0053503A">
              <w:rPr>
                <w:rStyle w:val="FootnoteReference"/>
              </w:rPr>
              <w:footnoteReference w:id="21"/>
            </w:r>
            <w:r w:rsidRPr="0053503A">
              <w:t>.</w:t>
            </w:r>
            <w:r w:rsidR="00A573E6" w:rsidRPr="0053503A">
              <w:t xml:space="preserve"> </w:t>
            </w:r>
          </w:p>
          <w:p w14:paraId="74F4267F" w14:textId="77777777" w:rsidR="00797290" w:rsidRPr="0053503A" w:rsidRDefault="00797290" w:rsidP="00CB20AB">
            <w:pPr>
              <w:pStyle w:val="FRABodyText"/>
            </w:pPr>
          </w:p>
          <w:p w14:paraId="2B20E15B" w14:textId="551804FC" w:rsidR="00566A68" w:rsidRPr="0053503A" w:rsidRDefault="00A573E6" w:rsidP="00CB20AB">
            <w:pPr>
              <w:pStyle w:val="FRABodyText"/>
            </w:pPr>
            <w:r w:rsidRPr="0053503A">
              <w:t xml:space="preserve">The site allows users to </w:t>
            </w:r>
            <w:r w:rsidR="00140063" w:rsidRPr="0053503A">
              <w:t>change</w:t>
            </w:r>
            <w:r w:rsidRPr="0053503A">
              <w:t xml:space="preserve"> the website language, with Maltese and English being the only available options.</w:t>
            </w:r>
          </w:p>
        </w:tc>
      </w:tr>
      <w:tr w:rsidR="00CC2CCC" w:rsidRPr="0053503A" w14:paraId="2C6147D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53503A" w:rsidRDefault="00566A68" w:rsidP="00CB20AB">
            <w:pPr>
              <w:pStyle w:val="FRABodyText"/>
            </w:pPr>
            <w:r w:rsidRPr="0053503A">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4893BEE0" w:rsidR="00566A68" w:rsidRPr="0053503A" w:rsidRDefault="00566A68" w:rsidP="00CB20AB">
            <w:pPr>
              <w:pStyle w:val="FRABodyText"/>
            </w:pPr>
            <w:r w:rsidRPr="0053503A">
              <w:t>Yes, some key programmes are subtitled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003D71D" w14:textId="3544E569" w:rsidR="00566A68" w:rsidRPr="0053503A" w:rsidRDefault="007B73C0" w:rsidP="00CB20AB">
            <w:pPr>
              <w:pStyle w:val="FRABodyText"/>
            </w:pPr>
            <w:r w:rsidRPr="0053503A">
              <w:t xml:space="preserve">Publicly available </w:t>
            </w:r>
            <w:r w:rsidR="006168E4" w:rsidRPr="0053503A">
              <w:t>videos</w:t>
            </w:r>
            <w:r w:rsidR="00084C91" w:rsidRPr="0053503A">
              <w:t xml:space="preserve"> may by the Malta Electoral Commission</w:t>
            </w:r>
            <w:r w:rsidR="00C44148" w:rsidRPr="0053503A">
              <w:t xml:space="preserve"> for the 2015 elections</w:t>
            </w:r>
            <w:r w:rsidR="00084C91" w:rsidRPr="0053503A">
              <w:t xml:space="preserve"> </w:t>
            </w:r>
            <w:r w:rsidR="00C44148" w:rsidRPr="0053503A">
              <w:t>we</w:t>
            </w:r>
            <w:r w:rsidR="00A4518E" w:rsidRPr="0053503A">
              <w:t>re not subtitled</w:t>
            </w:r>
            <w:r w:rsidR="00D210E8" w:rsidRPr="0053503A">
              <w:t xml:space="preserve">. </w:t>
            </w:r>
            <w:r w:rsidR="00412E8C" w:rsidRPr="0053503A">
              <w:t>P</w:t>
            </w:r>
            <w:r w:rsidR="009A094D" w:rsidRPr="0053503A">
              <w:t xml:space="preserve">romotional videos made by political parties for previous elections </w:t>
            </w:r>
            <w:r w:rsidR="005E57BE" w:rsidRPr="0053503A">
              <w:t>we</w:t>
            </w:r>
            <w:r w:rsidR="009A094D" w:rsidRPr="0053503A">
              <w:t xml:space="preserve">re </w:t>
            </w:r>
            <w:r w:rsidR="005E57BE" w:rsidRPr="0053503A">
              <w:t xml:space="preserve">mostly not </w:t>
            </w:r>
            <w:r w:rsidR="009A094D" w:rsidRPr="0053503A">
              <w:t>subtitle</w:t>
            </w:r>
            <w:r w:rsidR="008225F5" w:rsidRPr="0053503A">
              <w:t>d</w:t>
            </w:r>
            <w:bookmarkStart w:id="1" w:name="_Ref153284285"/>
            <w:r w:rsidR="000B484F" w:rsidRPr="0053503A">
              <w:rPr>
                <w:rStyle w:val="FootnoteReference"/>
              </w:rPr>
              <w:footnoteReference w:id="22"/>
            </w:r>
            <w:bookmarkEnd w:id="1"/>
            <w:r w:rsidR="00631737" w:rsidRPr="0053503A">
              <w:t>.</w:t>
            </w:r>
          </w:p>
          <w:p w14:paraId="6AED8270" w14:textId="77777777" w:rsidR="009B7B35" w:rsidRPr="0053503A" w:rsidRDefault="009B7B35" w:rsidP="00CB20AB">
            <w:pPr>
              <w:pStyle w:val="FRABodyText"/>
            </w:pPr>
          </w:p>
          <w:p w14:paraId="189522B5" w14:textId="728F85A9" w:rsidR="009B7B35" w:rsidRPr="0053503A" w:rsidRDefault="009B7B35" w:rsidP="00CB20AB">
            <w:pPr>
              <w:pStyle w:val="FRABodyText"/>
            </w:pPr>
            <w:r w:rsidRPr="0053503A">
              <w:t>All broadcasts made by the Malta Broadcasting Authorit</w:t>
            </w:r>
            <w:r w:rsidR="00643FF9" w:rsidRPr="0053503A">
              <w:t>y</w:t>
            </w:r>
            <w:r w:rsidRPr="0053503A">
              <w:t xml:space="preserve"> relating to national and European elections were not subtitled but included </w:t>
            </w:r>
            <w:r w:rsidRPr="0053503A">
              <w:lastRenderedPageBreak/>
              <w:t>use of sign language</w:t>
            </w:r>
            <w:r w:rsidR="00C066E3" w:rsidRPr="0053503A">
              <w:t xml:space="preserve">, </w:t>
            </w:r>
            <w:r w:rsidR="006168E4" w:rsidRPr="0053503A">
              <w:t>particularly</w:t>
            </w:r>
            <w:r w:rsidR="00C066E3" w:rsidRPr="0053503A">
              <w:t xml:space="preserve"> in political discussion programmes</w:t>
            </w:r>
            <w:r w:rsidR="006B48D0" w:rsidRPr="0053503A">
              <w:t xml:space="preserve"> and candidate presentations</w:t>
            </w:r>
            <w:r w:rsidR="008F1088" w:rsidRPr="0053503A">
              <w:rPr>
                <w:rStyle w:val="FootnoteReference"/>
              </w:rPr>
              <w:footnoteReference w:id="23"/>
            </w:r>
            <w:r w:rsidRPr="0053503A">
              <w:t>.</w:t>
            </w:r>
          </w:p>
        </w:tc>
      </w:tr>
      <w:tr w:rsidR="00CC2CCC" w:rsidRPr="0053503A" w14:paraId="277DD9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53503A" w:rsidRDefault="00566A68" w:rsidP="00CB20AB">
            <w:pPr>
              <w:pStyle w:val="FRABodyText"/>
            </w:pPr>
            <w:r w:rsidRPr="0053503A">
              <w:lastRenderedPageBreak/>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7A0DB" w14:textId="10485A34" w:rsidR="00566A68" w:rsidRPr="0053503A" w:rsidRDefault="00566A68" w:rsidP="00CB20AB">
            <w:pPr>
              <w:pStyle w:val="FRABodyText"/>
            </w:pPr>
            <w:r w:rsidRPr="0053503A">
              <w:t>Yes, some key programmes have sign language interpretation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F64D64" w14:textId="33A3FD2A" w:rsidR="00103E8E" w:rsidRPr="0053503A" w:rsidRDefault="009F75B5" w:rsidP="00CB20AB">
            <w:pPr>
              <w:pStyle w:val="FRABodyText"/>
            </w:pPr>
            <w:r w:rsidRPr="0053503A">
              <w:t>All political programmes produced by the Malta Broadcasting Authority have sign language interpretation.</w:t>
            </w:r>
            <w:r w:rsidR="00103E8E" w:rsidRPr="0053503A">
              <w:t xml:space="preserve"> These programmes focus on candidates and parties, rather than on voting procedures and instructions</w:t>
            </w:r>
            <w:r w:rsidR="003F44A5" w:rsidRPr="0053503A">
              <w:rPr>
                <w:rStyle w:val="FootnoteReference"/>
              </w:rPr>
              <w:footnoteReference w:id="24"/>
            </w:r>
            <w:r w:rsidR="00103E8E" w:rsidRPr="0053503A">
              <w:t>.</w:t>
            </w:r>
            <w:r w:rsidRPr="0053503A">
              <w:t xml:space="preserve"> </w:t>
            </w:r>
          </w:p>
          <w:p w14:paraId="51A57C80" w14:textId="77777777" w:rsidR="00103E8E" w:rsidRPr="0053503A" w:rsidRDefault="00103E8E" w:rsidP="00CB20AB">
            <w:pPr>
              <w:pStyle w:val="FRABodyText"/>
            </w:pPr>
          </w:p>
          <w:p w14:paraId="6F72F069" w14:textId="67DDB66E" w:rsidR="00566A68" w:rsidRPr="0053503A" w:rsidRDefault="009C7DEC" w:rsidP="00CB20AB">
            <w:pPr>
              <w:pStyle w:val="FRABodyText"/>
            </w:pPr>
            <w:r w:rsidRPr="0053503A">
              <w:t>Programmes made by the Malta Electoral Commission</w:t>
            </w:r>
            <w:r w:rsidR="00354D62" w:rsidRPr="0053503A">
              <w:t>, being programmes focusing on voting procedures and instructions,</w:t>
            </w:r>
            <w:r w:rsidRPr="0053503A">
              <w:t xml:space="preserve"> do not have sign language interpretation.</w:t>
            </w:r>
          </w:p>
        </w:tc>
      </w:tr>
      <w:tr w:rsidR="00CC2CCC" w:rsidRPr="0053503A" w14:paraId="3E04ECF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53503A" w:rsidRDefault="00566A68" w:rsidP="00CB20AB">
            <w:pPr>
              <w:pStyle w:val="FRABodyText"/>
            </w:pPr>
            <w:r w:rsidRPr="0053503A">
              <w:t>Are some television programmes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415D8447" w:rsidR="00566A68" w:rsidRPr="0053503A" w:rsidRDefault="00566A68" w:rsidP="00CB20AB">
            <w:pPr>
              <w:pStyle w:val="FRABodyText"/>
            </w:pPr>
            <w:r w:rsidRPr="0053503A">
              <w:t xml:space="preserve">No, key programmes do not have audio </w:t>
            </w:r>
            <w:r w:rsidR="005876A9" w:rsidRPr="0053503A">
              <w:t>description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657AF192" w:rsidR="00566A68" w:rsidRPr="0053503A" w:rsidRDefault="00557439" w:rsidP="00CB20AB">
            <w:pPr>
              <w:pStyle w:val="FRABodyText"/>
            </w:pPr>
            <w:r w:rsidRPr="0053503A">
              <w:t>None of the programmes of the Malta Electoral Commission</w:t>
            </w:r>
            <w:r w:rsidR="00AD2664" w:rsidRPr="0053503A">
              <w:rPr>
                <w:rStyle w:val="FootnoteReference"/>
              </w:rPr>
              <w:footnoteReference w:id="25"/>
            </w:r>
            <w:r w:rsidRPr="0053503A">
              <w:t xml:space="preserve"> or of the Malta Broadcasting </w:t>
            </w:r>
            <w:r w:rsidR="003C07C8" w:rsidRPr="0053503A">
              <w:t>A</w:t>
            </w:r>
            <w:r w:rsidRPr="0053503A">
              <w:t>uthority</w:t>
            </w:r>
            <w:r w:rsidR="003C07C8" w:rsidRPr="0053503A">
              <w:rPr>
                <w:rStyle w:val="FootnoteReference"/>
              </w:rPr>
              <w:footnoteReference w:id="26"/>
            </w:r>
            <w:r w:rsidRPr="0053503A">
              <w:t xml:space="preserve"> have audio description.</w:t>
            </w:r>
          </w:p>
        </w:tc>
      </w:tr>
      <w:tr w:rsidR="00CC2CCC" w:rsidRPr="0053503A" w14:paraId="6D99824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53503A" w:rsidRDefault="00566A68" w:rsidP="00CB20AB">
            <w:pPr>
              <w:pStyle w:val="FRABodyText"/>
            </w:pPr>
            <w:r w:rsidRPr="0053503A">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AE6919" w14:textId="330794E2" w:rsidR="00566A68" w:rsidRPr="0053503A" w:rsidRDefault="00566A68" w:rsidP="00CB20AB">
            <w:pPr>
              <w:pStyle w:val="FRABodyText"/>
            </w:pPr>
            <w:r w:rsidRPr="0053503A">
              <w:t>No political parties provided accessible manifesto</w:t>
            </w:r>
            <w:r w:rsidR="00331DA0" w:rsidRPr="0053503A">
              <w:t>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2560F3" w14:textId="76642621" w:rsidR="00566A68" w:rsidRPr="0053503A" w:rsidRDefault="00BB2A8E" w:rsidP="00CB20AB">
            <w:pPr>
              <w:pStyle w:val="FRABodyText"/>
            </w:pPr>
            <w:r w:rsidRPr="0053503A">
              <w:t>Neit</w:t>
            </w:r>
            <w:r w:rsidR="000931F8" w:rsidRPr="0053503A">
              <w:t>her</w:t>
            </w:r>
            <w:r w:rsidRPr="0053503A">
              <w:t xml:space="preserve"> the </w:t>
            </w:r>
            <w:r w:rsidR="004C2063" w:rsidRPr="0053503A">
              <w:t xml:space="preserve">manifesto of the </w:t>
            </w:r>
            <w:r w:rsidR="00015772" w:rsidRPr="0053503A">
              <w:t>Partit Nazzjonalista</w:t>
            </w:r>
            <w:r w:rsidR="004C2063" w:rsidRPr="0053503A">
              <w:t xml:space="preserve"> </w:t>
            </w:r>
            <w:r w:rsidRPr="0053503A">
              <w:t xml:space="preserve">nor of the </w:t>
            </w:r>
            <w:r w:rsidR="00724396" w:rsidRPr="0053503A">
              <w:t>P</w:t>
            </w:r>
            <w:r w:rsidRPr="0053503A">
              <w:t xml:space="preserve">artit Laburista </w:t>
            </w:r>
            <w:r w:rsidR="004C2063" w:rsidRPr="0053503A">
              <w:t xml:space="preserve">for the 2022 national elections </w:t>
            </w:r>
            <w:r w:rsidRPr="0053503A">
              <w:t xml:space="preserve">are </w:t>
            </w:r>
            <w:r w:rsidR="004C2063" w:rsidRPr="0053503A">
              <w:t xml:space="preserve">available in </w:t>
            </w:r>
            <w:r w:rsidR="004C2063" w:rsidRPr="0053503A">
              <w:lastRenderedPageBreak/>
              <w:t>accessible formats</w:t>
            </w:r>
            <w:r w:rsidR="004C2063" w:rsidRPr="0053503A">
              <w:rPr>
                <w:rStyle w:val="FootnoteReference"/>
              </w:rPr>
              <w:footnoteReference w:id="27"/>
            </w:r>
            <w:r w:rsidR="004C2063" w:rsidRPr="0053503A">
              <w:t xml:space="preserve">. </w:t>
            </w:r>
            <w:r w:rsidR="00724396" w:rsidRPr="0053503A">
              <w:t xml:space="preserve">The manifesto of </w:t>
            </w:r>
            <w:r w:rsidR="00D30590" w:rsidRPr="0053503A">
              <w:t>ADPA is also not available in accessible formats</w:t>
            </w:r>
            <w:r w:rsidR="00D30590" w:rsidRPr="0053503A">
              <w:rPr>
                <w:rStyle w:val="FootnoteReference"/>
              </w:rPr>
              <w:footnoteReference w:id="28"/>
            </w:r>
            <w:r w:rsidR="00D30590" w:rsidRPr="0053503A">
              <w:t>.</w:t>
            </w:r>
          </w:p>
          <w:p w14:paraId="5102A5A5" w14:textId="02B13E10" w:rsidR="00724396" w:rsidRPr="0053503A" w:rsidRDefault="00724396" w:rsidP="00CB20AB">
            <w:pPr>
              <w:pStyle w:val="FRABodyText"/>
            </w:pPr>
          </w:p>
        </w:tc>
      </w:tr>
      <w:tr w:rsidR="00CC2CCC" w:rsidRPr="0053503A" w14:paraId="2D55F7EF"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53503A" w:rsidRDefault="00566A68" w:rsidP="00CB20AB">
            <w:pPr>
              <w:pStyle w:val="FRABodyText"/>
            </w:pPr>
            <w:r w:rsidRPr="0053503A">
              <w:lastRenderedPageBreak/>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2A2935" w14:textId="6A177482" w:rsidR="00566A68" w:rsidRPr="0053503A" w:rsidRDefault="00566A68" w:rsidP="00CB20AB">
            <w:pPr>
              <w:pStyle w:val="FRABodyText"/>
            </w:pPr>
            <w:r w:rsidRPr="0053503A">
              <w:t>Yes, covering public onl</w:t>
            </w:r>
            <w:r w:rsidR="00485D63" w:rsidRPr="0053503A">
              <w:t>y</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8F03" w14:textId="5D6D86BE" w:rsidR="00771AAA" w:rsidRPr="0053503A" w:rsidRDefault="00EA5846" w:rsidP="00CB20AB">
            <w:pPr>
              <w:pStyle w:val="FRABodyText"/>
            </w:pPr>
            <w:r w:rsidRPr="0053503A">
              <w:t xml:space="preserve">Yes, Malta transposed into Maltese law </w:t>
            </w:r>
            <w:r w:rsidR="00D518C0" w:rsidRPr="0053503A">
              <w:t xml:space="preserve">the </w:t>
            </w:r>
            <w:r w:rsidRPr="0053503A">
              <w:t xml:space="preserve">EU </w:t>
            </w:r>
            <w:r w:rsidR="00D518C0" w:rsidRPr="0053503A">
              <w:t xml:space="preserve">Web Accessibility </w:t>
            </w:r>
            <w:r w:rsidRPr="0053503A">
              <w:t xml:space="preserve">Directive </w:t>
            </w:r>
            <w:r w:rsidR="0050627D" w:rsidRPr="0053503A">
              <w:t xml:space="preserve">through the </w:t>
            </w:r>
            <w:r w:rsidR="00526744" w:rsidRPr="0053503A">
              <w:t>‘</w:t>
            </w:r>
            <w:r w:rsidR="0073297A" w:rsidRPr="0053503A">
              <w:t>Accessibility of the Websites and Mobile Applications of Public Sector Bodies Regulations</w:t>
            </w:r>
            <w:r w:rsidR="00526744" w:rsidRPr="0053503A">
              <w:t>’</w:t>
            </w:r>
            <w:r w:rsidR="006E17B5" w:rsidRPr="0053503A">
              <w:rPr>
                <w:rStyle w:val="FootnoteReference"/>
              </w:rPr>
              <w:footnoteReference w:id="29"/>
            </w:r>
            <w:r w:rsidR="0073297A" w:rsidRPr="0053503A">
              <w:t>.</w:t>
            </w:r>
            <w:r w:rsidR="00D92317" w:rsidRPr="0053503A">
              <w:t xml:space="preserve"> The Malta Communications Authority is the body responsible for undertaking the annual tests to ensure compliance with these Regulations, in consultation with the Commission on the Rights of Persons with Disability</w:t>
            </w:r>
            <w:r w:rsidR="00F40C00" w:rsidRPr="0053503A">
              <w:rPr>
                <w:rStyle w:val="FootnoteReference"/>
              </w:rPr>
              <w:footnoteReference w:id="30"/>
            </w:r>
            <w:r w:rsidR="00D92317" w:rsidRPr="0053503A">
              <w:t>.</w:t>
            </w:r>
            <w:r w:rsidR="0073297A" w:rsidRPr="0053503A">
              <w:t xml:space="preserve"> </w:t>
            </w:r>
          </w:p>
          <w:p w14:paraId="54F690E8" w14:textId="77777777" w:rsidR="00771AAA" w:rsidRPr="0053503A" w:rsidRDefault="00771AAA" w:rsidP="00CB20AB">
            <w:pPr>
              <w:pStyle w:val="FRABodyText"/>
            </w:pPr>
          </w:p>
          <w:p w14:paraId="1D7BB185" w14:textId="27ED482C" w:rsidR="00566A68" w:rsidRPr="0053503A" w:rsidRDefault="00E33953" w:rsidP="00CB20AB">
            <w:pPr>
              <w:pStyle w:val="FRABodyText"/>
            </w:pPr>
            <w:r w:rsidRPr="0053503A">
              <w:t>The Regulations are only applica</w:t>
            </w:r>
            <w:r w:rsidR="00E66F39" w:rsidRPr="0053503A">
              <w:t>bl</w:t>
            </w:r>
            <w:r w:rsidRPr="0053503A">
              <w:t xml:space="preserve">e to </w:t>
            </w:r>
            <w:r w:rsidR="00610503" w:rsidRPr="0053503A">
              <w:t xml:space="preserve">public </w:t>
            </w:r>
            <w:r w:rsidR="007A2968" w:rsidRPr="0053503A">
              <w:t>sector bodies.</w:t>
            </w:r>
          </w:p>
        </w:tc>
      </w:tr>
      <w:tr w:rsidR="00CC2CCC" w:rsidRPr="0053503A" w14:paraId="6696DCE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53503A" w:rsidRDefault="00566A68" w:rsidP="00CB20AB">
            <w:pPr>
              <w:pStyle w:val="FRABodyText"/>
            </w:pPr>
            <w:r w:rsidRPr="0053503A">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77777777" w:rsidR="00566A68" w:rsidRPr="0053503A" w:rsidRDefault="00566A68" w:rsidP="00CB20AB">
            <w:pPr>
              <w:pStyle w:val="FRABodyText"/>
            </w:pPr>
            <w:r w:rsidRPr="0053503A">
              <w:t>No</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8AA26B2" w14:textId="77777777" w:rsidR="00566A68" w:rsidRPr="0053503A" w:rsidRDefault="00C768F5" w:rsidP="00CB20AB">
            <w:pPr>
              <w:pStyle w:val="FRABodyText"/>
            </w:pPr>
            <w:r w:rsidRPr="0053503A">
              <w:t xml:space="preserve">Under the authority of the Broadcasting Act, the Broadcasting Authority published the </w:t>
            </w:r>
            <w:r w:rsidR="0016205B" w:rsidRPr="0053503A">
              <w:t xml:space="preserve">‘Requirements </w:t>
            </w:r>
            <w:r w:rsidR="00EB7978" w:rsidRPr="0053503A">
              <w:t xml:space="preserve">As To </w:t>
            </w:r>
            <w:r w:rsidR="0016205B" w:rsidRPr="0053503A">
              <w:t xml:space="preserve">Standards </w:t>
            </w:r>
            <w:r w:rsidR="00EB7978" w:rsidRPr="0053503A">
              <w:t xml:space="preserve">And </w:t>
            </w:r>
            <w:r w:rsidR="0016205B" w:rsidRPr="0053503A">
              <w:t xml:space="preserve">Practice </w:t>
            </w:r>
            <w:r w:rsidR="00EB7978" w:rsidRPr="0053503A">
              <w:t xml:space="preserve">Applicable To </w:t>
            </w:r>
            <w:r w:rsidR="0016205B" w:rsidRPr="0053503A">
              <w:t xml:space="preserve">Disability </w:t>
            </w:r>
            <w:r w:rsidR="00EB7978" w:rsidRPr="0053503A">
              <w:t xml:space="preserve">And Its </w:t>
            </w:r>
            <w:r w:rsidR="0016205B" w:rsidRPr="0053503A">
              <w:t xml:space="preserve">Portrayal </w:t>
            </w:r>
            <w:r w:rsidR="00EB7978" w:rsidRPr="0053503A">
              <w:t xml:space="preserve">In The </w:t>
            </w:r>
            <w:r w:rsidR="0016205B" w:rsidRPr="0053503A">
              <w:lastRenderedPageBreak/>
              <w:t>Broadcasting Media</w:t>
            </w:r>
            <w:r w:rsidR="00226EB8" w:rsidRPr="0053503A">
              <w:t>’</w:t>
            </w:r>
            <w:r w:rsidR="00EB7978" w:rsidRPr="0053503A">
              <w:rPr>
                <w:rStyle w:val="FootnoteReference"/>
              </w:rPr>
              <w:footnoteReference w:id="31"/>
            </w:r>
            <w:r w:rsidR="00226EB8" w:rsidRPr="0053503A">
              <w:t xml:space="preserve">, yet no reference is made to accessibility issues as the document is more concerned with the portrayal of persons with disability rather than with accessibility. </w:t>
            </w:r>
          </w:p>
          <w:p w14:paraId="133B1796" w14:textId="77777777" w:rsidR="00DB7078" w:rsidRPr="0053503A" w:rsidRDefault="00DB7078" w:rsidP="00CB20AB">
            <w:pPr>
              <w:pStyle w:val="FRABodyText"/>
            </w:pPr>
          </w:p>
          <w:p w14:paraId="4AFCFD86" w14:textId="68E77F8E" w:rsidR="00DB7078" w:rsidRPr="0053503A" w:rsidRDefault="00DB7078" w:rsidP="00CB20AB">
            <w:pPr>
              <w:pStyle w:val="FRABodyText"/>
            </w:pPr>
            <w:r w:rsidRPr="0053503A">
              <w:t xml:space="preserve">In relation to </w:t>
            </w:r>
            <w:r w:rsidR="009C297F" w:rsidRPr="0053503A">
              <w:t>products placed on the market from 2025 onwards, these will be regulated by the ‘Accessibility Measures (European Accessibility Act) Regulations’</w:t>
            </w:r>
            <w:r w:rsidR="00642BEE" w:rsidRPr="0053503A">
              <w:rPr>
                <w:rStyle w:val="FootnoteReference"/>
              </w:rPr>
              <w:footnoteReference w:id="32"/>
            </w:r>
            <w:r w:rsidR="00326841" w:rsidRPr="0053503A">
              <w:t xml:space="preserve">, transposing into Maltese law the provisions of </w:t>
            </w:r>
            <w:r w:rsidR="00C52052" w:rsidRPr="0053503A">
              <w:t>EU Directive 2019/882.</w:t>
            </w:r>
          </w:p>
        </w:tc>
      </w:tr>
      <w:tr w:rsidR="00CC2CCC" w:rsidRPr="0053503A" w14:paraId="519C0F3A"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53503A" w:rsidRDefault="00566A68" w:rsidP="00CB20AB">
            <w:pPr>
              <w:pStyle w:val="FRABodyText"/>
            </w:pPr>
            <w:r w:rsidRPr="0053503A">
              <w:lastRenderedPageBreak/>
              <w:t>Are there mandatory accessibility standards for national and local authority buildings</w:t>
            </w:r>
            <w:r w:rsidR="007B71AE" w:rsidRPr="0053503A">
              <w:t xml:space="preserve"> in the election context</w:t>
            </w:r>
            <w:r w:rsidRPr="0053503A">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D57DA" w14:textId="4364CCEB" w:rsidR="00566A68" w:rsidRPr="0053503A" w:rsidRDefault="00566A68" w:rsidP="00CB20AB">
            <w:pPr>
              <w:pStyle w:val="FRABodyText"/>
            </w:pPr>
            <w:r w:rsidRPr="0053503A">
              <w:t>Partially</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C8E40" w14:textId="77777777" w:rsidR="00566A68" w:rsidRPr="0053503A" w:rsidRDefault="00E945A4" w:rsidP="00CB20AB">
            <w:pPr>
              <w:pStyle w:val="FRABodyText"/>
            </w:pPr>
            <w:r w:rsidRPr="0053503A">
              <w:t xml:space="preserve">The existing accessibility standards for public buildings do not specifically cover buildings in the election context, but more generally regulate public </w:t>
            </w:r>
            <w:r w:rsidR="007375D5" w:rsidRPr="0053503A">
              <w:t>buildings.</w:t>
            </w:r>
            <w:r w:rsidR="00437B42" w:rsidRPr="0053503A">
              <w:t xml:space="preserve"> This is achieved through a joint reading of various documents.</w:t>
            </w:r>
          </w:p>
          <w:p w14:paraId="4AA6A5B8" w14:textId="77777777" w:rsidR="00437B42" w:rsidRPr="0053503A" w:rsidRDefault="00437B42" w:rsidP="00CB20AB">
            <w:pPr>
              <w:pStyle w:val="FRABodyText"/>
            </w:pPr>
          </w:p>
          <w:p w14:paraId="751BB2F5" w14:textId="35D40154" w:rsidR="00437B42" w:rsidRPr="0053503A" w:rsidRDefault="0024505E" w:rsidP="00CB20AB">
            <w:pPr>
              <w:pStyle w:val="FRABodyText"/>
            </w:pPr>
            <w:r w:rsidRPr="0053503A">
              <w:t xml:space="preserve">A </w:t>
            </w:r>
            <w:r w:rsidR="006A09F0" w:rsidRPr="0053503A">
              <w:t>C</w:t>
            </w:r>
            <w:r w:rsidRPr="0053503A">
              <w:t>ircular issued by the Malta Planning Authority</w:t>
            </w:r>
            <w:r w:rsidR="0033690E" w:rsidRPr="0053503A">
              <w:rPr>
                <w:rStyle w:val="FootnoteReference"/>
              </w:rPr>
              <w:footnoteReference w:id="33"/>
            </w:r>
            <w:r w:rsidRPr="0053503A">
              <w:t xml:space="preserve"> lists </w:t>
            </w:r>
            <w:r w:rsidR="00947726" w:rsidRPr="0053503A">
              <w:t>those types of buildings that require a consultation with the National Commission for the Rights of Persons with Disability</w:t>
            </w:r>
            <w:r w:rsidR="00537157" w:rsidRPr="0053503A">
              <w:t xml:space="preserve"> prior to being granted a compliance certificate.</w:t>
            </w:r>
            <w:r w:rsidR="00866DB1" w:rsidRPr="0053503A">
              <w:t xml:space="preserve"> The consultation should be centered around the building’s </w:t>
            </w:r>
            <w:r w:rsidR="006168E4" w:rsidRPr="0053503A">
              <w:t>compliance</w:t>
            </w:r>
            <w:r w:rsidR="006941AA" w:rsidRPr="0053503A">
              <w:t xml:space="preserve"> with the Commission’s </w:t>
            </w:r>
            <w:r w:rsidR="006941AA" w:rsidRPr="0053503A">
              <w:lastRenderedPageBreak/>
              <w:t>‘Access for All Design Guidelines’</w:t>
            </w:r>
            <w:r w:rsidR="00FE5F83" w:rsidRPr="0053503A">
              <w:rPr>
                <w:rStyle w:val="FootnoteReference"/>
              </w:rPr>
              <w:footnoteReference w:id="34"/>
            </w:r>
            <w:r w:rsidR="000A6B8E" w:rsidRPr="0053503A">
              <w:t xml:space="preserve"> and is required to lead to the issuing of an Accessibility Audit in relation to the project.</w:t>
            </w:r>
            <w:r w:rsidR="006A09F0" w:rsidRPr="0053503A">
              <w:t xml:space="preserve"> </w:t>
            </w:r>
            <w:r w:rsidR="000516E3" w:rsidRPr="0053503A">
              <w:t>T</w:t>
            </w:r>
            <w:r w:rsidR="006A09F0" w:rsidRPr="0053503A">
              <w:t>he list of such buildings, found in the Circular’s Appendix A</w:t>
            </w:r>
            <w:r w:rsidR="000516E3" w:rsidRPr="0053503A">
              <w:t xml:space="preserve">, includes all residential institutions (including hospitals and </w:t>
            </w:r>
            <w:r w:rsidR="00D86AAB" w:rsidRPr="0053503A">
              <w:t xml:space="preserve">nursing </w:t>
            </w:r>
            <w:r w:rsidR="000516E3" w:rsidRPr="0053503A">
              <w:t>homes),</w:t>
            </w:r>
            <w:r w:rsidR="008C0BD3" w:rsidRPr="0053503A">
              <w:t xml:space="preserve"> all public offices, non-</w:t>
            </w:r>
            <w:r w:rsidR="006168E4" w:rsidRPr="0053503A">
              <w:t>residential</w:t>
            </w:r>
            <w:r w:rsidR="008C0BD3" w:rsidRPr="0053503A">
              <w:t xml:space="preserve"> institutions (e.g. </w:t>
            </w:r>
            <w:r w:rsidR="006168E4" w:rsidRPr="0053503A">
              <w:t>museums</w:t>
            </w:r>
            <w:r w:rsidR="008C0BD3" w:rsidRPr="0053503A">
              <w:t xml:space="preserve"> and libraries)</w:t>
            </w:r>
            <w:r w:rsidR="005A2434" w:rsidRPr="0053503A">
              <w:t>.</w:t>
            </w:r>
            <w:r w:rsidR="000516E3" w:rsidRPr="0053503A">
              <w:t xml:space="preserve"> </w:t>
            </w:r>
            <w:r w:rsidR="00DC506C" w:rsidRPr="0053503A">
              <w:t xml:space="preserve">The </w:t>
            </w:r>
            <w:r w:rsidR="0047588C" w:rsidRPr="0053503A">
              <w:t>C</w:t>
            </w:r>
            <w:r w:rsidR="00DC506C" w:rsidRPr="0053503A">
              <w:t xml:space="preserve">ircular further states that </w:t>
            </w:r>
            <w:r w:rsidR="0019021D" w:rsidRPr="0053503A">
              <w:t>all Local Council and Central Government projects are required to be vetted for accessibility</w:t>
            </w:r>
            <w:r w:rsidR="0018166D" w:rsidRPr="0053503A">
              <w:t xml:space="preserve"> and to obtain Commission certification</w:t>
            </w:r>
            <w:r w:rsidR="006A09F0" w:rsidRPr="0053503A">
              <w:t xml:space="preserve">. </w:t>
            </w:r>
          </w:p>
          <w:p w14:paraId="0D328590" w14:textId="77777777" w:rsidR="00E46315" w:rsidRPr="0053503A" w:rsidRDefault="00E46315" w:rsidP="00CB20AB">
            <w:pPr>
              <w:pStyle w:val="FRABodyText"/>
            </w:pPr>
          </w:p>
          <w:p w14:paraId="2AB35D32" w14:textId="77777777" w:rsidR="00C23BE8" w:rsidRPr="0053503A" w:rsidRDefault="000961AE" w:rsidP="00CB20AB">
            <w:pPr>
              <w:pStyle w:val="FRABodyText"/>
            </w:pPr>
            <w:r w:rsidRPr="0053503A">
              <w:t xml:space="preserve">These observations are relevant in understanding whether buildings used in an election context are accessible or otherwise. Although the above standards do not specifically refer to elections, </w:t>
            </w:r>
            <w:r w:rsidR="00A81957" w:rsidRPr="0053503A">
              <w:t xml:space="preserve">since polling stations are always established in public buildings, </w:t>
            </w:r>
            <w:r w:rsidR="00A52F5A" w:rsidRPr="0053503A">
              <w:t>it should be assumed that Accessibility Audits have been carried out on such buildings.</w:t>
            </w:r>
            <w:r w:rsidR="008D03B6" w:rsidRPr="0053503A">
              <w:t xml:space="preserve"> </w:t>
            </w:r>
          </w:p>
          <w:p w14:paraId="4BA4D90B" w14:textId="77777777" w:rsidR="00C23BE8" w:rsidRPr="0053503A" w:rsidRDefault="00C23BE8" w:rsidP="00CB20AB">
            <w:pPr>
              <w:pStyle w:val="FRABodyText"/>
            </w:pPr>
          </w:p>
          <w:p w14:paraId="3B6FF879" w14:textId="42941D6F" w:rsidR="00E46315" w:rsidRPr="0053503A" w:rsidRDefault="00F83E3D" w:rsidP="00CB20AB">
            <w:pPr>
              <w:pStyle w:val="FRABodyText"/>
            </w:pPr>
            <w:r w:rsidRPr="0053503A">
              <w:t xml:space="preserve">It is </w:t>
            </w:r>
            <w:r w:rsidR="00C23BE8" w:rsidRPr="0053503A">
              <w:t>however</w:t>
            </w:r>
            <w:r w:rsidRPr="0053503A">
              <w:t xml:space="preserve"> noted that buildings predating these policies</w:t>
            </w:r>
            <w:r w:rsidR="00C10EBB" w:rsidRPr="0053503A">
              <w:t xml:space="preserve"> might not necessarily be constructed in accordance with the </w:t>
            </w:r>
            <w:r w:rsidR="006168E4" w:rsidRPr="0053503A">
              <w:t>policies</w:t>
            </w:r>
            <w:r w:rsidR="00C10EBB" w:rsidRPr="0053503A">
              <w:t>.</w:t>
            </w:r>
            <w:r w:rsidR="00A81957" w:rsidRPr="0053503A">
              <w:t xml:space="preserve"> </w:t>
            </w:r>
          </w:p>
        </w:tc>
      </w:tr>
      <w:tr w:rsidR="00CC2CCC" w:rsidRPr="0053503A" w14:paraId="41AD407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53503A" w:rsidRDefault="00566A68" w:rsidP="00CB20AB">
            <w:pPr>
              <w:pStyle w:val="FRABodyText"/>
            </w:pPr>
            <w:r w:rsidRPr="0053503A">
              <w:lastRenderedPageBreak/>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AE27BA" w14:textId="77777777" w:rsidR="00566A68" w:rsidRPr="0053503A" w:rsidRDefault="00566A68" w:rsidP="00CB20AB">
            <w:pPr>
              <w:pStyle w:val="FRABodyText"/>
            </w:pPr>
            <w:r w:rsidRPr="0053503A">
              <w:t>Not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36AD8F" w14:textId="29DDF75F" w:rsidR="00566A68" w:rsidRPr="0053503A" w:rsidRDefault="00FB4A3A" w:rsidP="00CB20AB">
            <w:pPr>
              <w:pStyle w:val="FRABodyText"/>
            </w:pPr>
            <w:r w:rsidRPr="0053503A">
              <w:t xml:space="preserve">No legal standards are in place for accessibility to polling stations. </w:t>
            </w:r>
          </w:p>
        </w:tc>
      </w:tr>
      <w:tr w:rsidR="00CC2CCC" w:rsidRPr="0053503A" w14:paraId="77507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53503A" w:rsidRDefault="00566A68" w:rsidP="00CB20AB">
            <w:pPr>
              <w:pStyle w:val="FRABodyText"/>
            </w:pPr>
            <w:r w:rsidRPr="0053503A">
              <w:t xml:space="preserve">Is data available on the proportion of polling stations </w:t>
            </w:r>
            <w:r w:rsidRPr="0053503A">
              <w:lastRenderedPageBreak/>
              <w:t>that are accessible to persons with disabilities?</w:t>
            </w:r>
          </w:p>
          <w:p w14:paraId="4370427D" w14:textId="77777777" w:rsidR="00566A68" w:rsidRPr="0053503A" w:rsidRDefault="00566A68" w:rsidP="00CB20AB">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77777777" w:rsidR="00566A68" w:rsidRPr="0053503A" w:rsidRDefault="00566A68" w:rsidP="00CB20AB">
            <w:pPr>
              <w:pStyle w:val="FRABodyText"/>
            </w:pPr>
            <w:r w:rsidRPr="0053503A">
              <w:lastRenderedPageBreak/>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0EF51E4" w14:textId="77777777" w:rsidR="007E302D" w:rsidRPr="0053503A" w:rsidRDefault="00E30BC7" w:rsidP="00E30BC7">
            <w:pPr>
              <w:pStyle w:val="FRABodyText"/>
            </w:pPr>
            <w:r w:rsidRPr="0053503A">
              <w:t xml:space="preserve">No official data is available on the accessibility of polling stations. </w:t>
            </w:r>
          </w:p>
          <w:p w14:paraId="40EAEED5" w14:textId="77777777" w:rsidR="007E302D" w:rsidRPr="0053503A" w:rsidRDefault="007E302D" w:rsidP="00E30BC7">
            <w:pPr>
              <w:pStyle w:val="FRABodyText"/>
            </w:pPr>
          </w:p>
          <w:p w14:paraId="79057A57" w14:textId="28257AF6" w:rsidR="00E30BC7" w:rsidRPr="0053503A" w:rsidRDefault="00E30BC7" w:rsidP="00E30BC7">
            <w:pPr>
              <w:pStyle w:val="FRABodyText"/>
            </w:pPr>
            <w:r w:rsidRPr="0053503A">
              <w:lastRenderedPageBreak/>
              <w:t>However, as noted above, in 2022 the ODIHR noted that accessibility was not problematic for two main reasons. Firstly, ODIHR noted that polling stations are located in public schools, these being establishments enjoying high accessibility standards. Secondly, polling stations are generally installed on the ground floor</w:t>
            </w:r>
            <w:r w:rsidRPr="0053503A">
              <w:rPr>
                <w:rStyle w:val="FootnoteReference"/>
              </w:rPr>
              <w:footnoteReference w:id="35"/>
            </w:r>
            <w:r w:rsidRPr="0053503A">
              <w:t>.</w:t>
            </w:r>
          </w:p>
          <w:p w14:paraId="2F089532" w14:textId="623362C6" w:rsidR="00566A68" w:rsidRPr="0053503A" w:rsidRDefault="00566A68" w:rsidP="00CB20AB">
            <w:pPr>
              <w:pStyle w:val="FRABodyText"/>
            </w:pPr>
          </w:p>
        </w:tc>
      </w:tr>
      <w:tr w:rsidR="00CC2CCC" w:rsidRPr="0053503A" w14:paraId="6724958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53503A" w:rsidRDefault="00566A68" w:rsidP="00CB20AB">
            <w:pPr>
              <w:pStyle w:val="FRABodyText"/>
            </w:pPr>
            <w:r w:rsidRPr="0053503A">
              <w:lastRenderedPageBreak/>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566A68" w:rsidRPr="0053503A" w:rsidRDefault="00566A68" w:rsidP="00CB20AB">
            <w:pPr>
              <w:pStyle w:val="FRABodyText"/>
              <w:rPr>
                <w:bCs/>
              </w:rPr>
            </w:pPr>
            <w:r w:rsidRPr="0053503A">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C1A2B" w14:textId="58A75795" w:rsidR="00566A68" w:rsidRPr="009A6FD9" w:rsidRDefault="00E04377" w:rsidP="00CB20AB">
            <w:pPr>
              <w:pStyle w:val="FRABodyText"/>
              <w:rPr>
                <w:lang w:val="mt-MT"/>
              </w:rPr>
            </w:pPr>
            <w:r>
              <w:rPr>
                <w:lang w:val="mt-MT"/>
              </w:rPr>
              <w:t>The Accessibility Reports produced by the Commission for the Rights of Persons with Disability do not focus on public buildings</w:t>
            </w:r>
            <w:r w:rsidR="00841C24">
              <w:rPr>
                <w:lang w:val="mt-MT"/>
              </w:rPr>
              <w:t xml:space="preserve">, and no other </w:t>
            </w:r>
            <w:r w:rsidR="009A6FD9">
              <w:rPr>
                <w:lang w:val="mt-MT"/>
              </w:rPr>
              <w:t>publicly available data was identifi</w:t>
            </w:r>
            <w:r w:rsidR="002F72F3">
              <w:rPr>
                <w:lang w:val="mt-MT"/>
              </w:rPr>
              <w:t xml:space="preserve">ed in </w:t>
            </w:r>
            <w:r w:rsidR="00841C24">
              <w:rPr>
                <w:lang w:val="mt-MT"/>
              </w:rPr>
              <w:t>this regard.</w:t>
            </w:r>
          </w:p>
        </w:tc>
      </w:tr>
    </w:tbl>
    <w:p w14:paraId="372A1A60" w14:textId="49233046" w:rsidR="00F64505" w:rsidRPr="0053503A" w:rsidRDefault="00F64505" w:rsidP="00F64505">
      <w:pPr>
        <w:tabs>
          <w:tab w:val="left" w:pos="4584"/>
        </w:tabs>
        <w:rPr>
          <w:b/>
          <w:color w:val="006FB4"/>
          <w:kern w:val="24"/>
          <w:sz w:val="52"/>
        </w:rPr>
      </w:pPr>
    </w:p>
    <w:p w14:paraId="17C860E5" w14:textId="0D36F70A" w:rsidR="00F64505" w:rsidRPr="0053503A" w:rsidRDefault="00F64505" w:rsidP="00F64505">
      <w:pPr>
        <w:tabs>
          <w:tab w:val="left" w:pos="4584"/>
        </w:tabs>
        <w:sectPr w:rsidR="00F64505" w:rsidRPr="0053503A" w:rsidSect="00054135">
          <w:pgSz w:w="16838" w:h="11906" w:orient="landscape" w:code="9"/>
          <w:pgMar w:top="1701" w:right="1701" w:bottom="1701" w:left="1134" w:header="851" w:footer="567" w:gutter="0"/>
          <w:cols w:space="708"/>
          <w:docGrid w:linePitch="360"/>
        </w:sectPr>
      </w:pPr>
      <w:r w:rsidRPr="0053503A">
        <w:tab/>
      </w:r>
    </w:p>
    <w:p w14:paraId="2C3CD295" w14:textId="70413A82" w:rsidR="00713152" w:rsidRPr="0053503A" w:rsidRDefault="00713152" w:rsidP="00713152">
      <w:pPr>
        <w:pStyle w:val="HeadingNumbered1"/>
      </w:pPr>
      <w:bookmarkStart w:id="2" w:name="_Toc1607741523"/>
      <w:r w:rsidRPr="0053503A">
        <w:lastRenderedPageBreak/>
        <w:t xml:space="preserve">Political participation of persons with disabilities </w:t>
      </w:r>
      <w:r w:rsidR="00A652A4" w:rsidRPr="0053503A">
        <w:t>in practice</w:t>
      </w:r>
      <w:bookmarkEnd w:id="2"/>
    </w:p>
    <w:p w14:paraId="629878B7" w14:textId="248A0E7B" w:rsidR="007361B4" w:rsidRPr="0053503A" w:rsidRDefault="007361B4" w:rsidP="0074155B">
      <w:pPr>
        <w:pStyle w:val="HeadingNumbered2"/>
      </w:pPr>
      <w:bookmarkStart w:id="3" w:name="_Toc1363565999"/>
      <w:r w:rsidRPr="0053503A">
        <w:t>Positive and negative key development as regards political participation of persons with disabilities</w:t>
      </w:r>
      <w:bookmarkEnd w:id="3"/>
    </w:p>
    <w:p w14:paraId="1C46E045" w14:textId="77777777" w:rsidR="00196F31" w:rsidRPr="0053503A" w:rsidRDefault="00E704A5" w:rsidP="007B0FA5">
      <w:r w:rsidRPr="0053503A">
        <w:t>The 2021 launch of Malta’s 2021-2030 National Strategy on the Rights of Disabled Persons is a positive key development</w:t>
      </w:r>
      <w:r w:rsidR="009F1E21" w:rsidRPr="0053503A">
        <w:t xml:space="preserve"> in this regard, insofar as it specifically contains an objective related to participation in political and public life. </w:t>
      </w:r>
    </w:p>
    <w:p w14:paraId="078DFF95" w14:textId="1EE83413" w:rsidR="007B0FA5" w:rsidRPr="0053503A" w:rsidRDefault="009F1E21" w:rsidP="007B0FA5">
      <w:r w:rsidRPr="0053503A">
        <w:t xml:space="preserve">In terms of Objective 11, </w:t>
      </w:r>
      <w:r w:rsidR="007B0FA5" w:rsidRPr="0053503A">
        <w:t>four Actions are envisaged</w:t>
      </w:r>
      <w:r w:rsidR="005066F0" w:rsidRPr="0053503A">
        <w:t xml:space="preserve"> namely the exploration of inclusive voting mechanisms, supporting persons with disabilities to contest local, national and EU elections, </w:t>
      </w:r>
      <w:r w:rsidR="00944E8D" w:rsidRPr="0053503A">
        <w:t xml:space="preserve">awareness-raising activities targeting political parties and </w:t>
      </w:r>
      <w:r w:rsidR="00CA33E3" w:rsidRPr="0053503A">
        <w:t>strengthening accessibility in Parliament</w:t>
      </w:r>
      <w:r w:rsidR="00EF18EE" w:rsidRPr="0053503A">
        <w:rPr>
          <w:rStyle w:val="FootnoteReference"/>
        </w:rPr>
        <w:footnoteReference w:id="36"/>
      </w:r>
      <w:r w:rsidR="00CA33E3" w:rsidRPr="0053503A">
        <w:t>.</w:t>
      </w:r>
    </w:p>
    <w:p w14:paraId="7E2FD931" w14:textId="50120D6D" w:rsidR="002562AA" w:rsidRPr="0053503A" w:rsidRDefault="002562AA" w:rsidP="007B0FA5">
      <w:r w:rsidRPr="0053503A">
        <w:t>The most recent national elections, held in 2022, did not show significant positive or negative developments</w:t>
      </w:r>
      <w:r w:rsidR="007C139E" w:rsidRPr="0053503A">
        <w:t>. Nonetheless, it is pertinent to note that the OSCE’s report on its monitoring activities flagged</w:t>
      </w:r>
      <w:r w:rsidR="00BF018D" w:rsidRPr="0053503A">
        <w:t xml:space="preserve"> the same concerns it had flagged in previous years, mainly relating to the ineligibility of vote of persons declared to be of “unsound mind”, </w:t>
      </w:r>
      <w:r w:rsidR="007C1B94" w:rsidRPr="0053503A">
        <w:t>the lack of alternative voting methods for persons with disabilities</w:t>
      </w:r>
      <w:r w:rsidR="00AF6D24" w:rsidRPr="0053503A">
        <w:t>, and</w:t>
      </w:r>
      <w:r w:rsidR="00074333" w:rsidRPr="0053503A">
        <w:t xml:space="preserve"> the lack of voting secrecy</w:t>
      </w:r>
      <w:r w:rsidR="002D71D4" w:rsidRPr="0053503A">
        <w:t xml:space="preserve"> during the actual voting process</w:t>
      </w:r>
      <w:r w:rsidR="00376E98" w:rsidRPr="0053503A">
        <w:rPr>
          <w:rStyle w:val="FootnoteReference"/>
        </w:rPr>
        <w:footnoteReference w:id="37"/>
      </w:r>
      <w:r w:rsidR="002D71D4" w:rsidRPr="0053503A">
        <w:t>.</w:t>
      </w:r>
      <w:r w:rsidR="00074333" w:rsidRPr="0053503A">
        <w:t xml:space="preserve"> </w:t>
      </w:r>
    </w:p>
    <w:p w14:paraId="56D71E60" w14:textId="222E343B" w:rsidR="0015354A" w:rsidRPr="0053503A" w:rsidRDefault="0015354A" w:rsidP="007B0FA5">
      <w:r w:rsidRPr="0053503A">
        <w:t xml:space="preserve">The </w:t>
      </w:r>
      <w:r w:rsidR="0095079F" w:rsidRPr="0053503A">
        <w:t>Commission</w:t>
      </w:r>
      <w:r w:rsidR="005E700B" w:rsidRPr="0053503A">
        <w:t xml:space="preserve"> for the Rights of Persons with Disabilit</w:t>
      </w:r>
      <w:r w:rsidR="003255E7" w:rsidRPr="0053503A">
        <w:t>y</w:t>
      </w:r>
      <w:r w:rsidR="002E42CF" w:rsidRPr="0053503A">
        <w:t xml:space="preserve"> did not note any positive or </w:t>
      </w:r>
      <w:r w:rsidR="0095079F" w:rsidRPr="0053503A">
        <w:t>negative</w:t>
      </w:r>
      <w:r w:rsidR="002E42CF" w:rsidRPr="0053503A">
        <w:t xml:space="preserve"> </w:t>
      </w:r>
      <w:r w:rsidR="0095079F" w:rsidRPr="0053503A">
        <w:t>developments</w:t>
      </w:r>
      <w:r w:rsidR="002E42CF" w:rsidRPr="0053503A">
        <w:t xml:space="preserve"> in th</w:t>
      </w:r>
      <w:r w:rsidR="004462DC" w:rsidRPr="0053503A">
        <w:t>is</w:t>
      </w:r>
      <w:r w:rsidR="002E42CF" w:rsidRPr="0053503A">
        <w:t xml:space="preserve"> regard</w:t>
      </w:r>
      <w:r w:rsidR="00D7145A" w:rsidRPr="0053503A">
        <w:rPr>
          <w:rStyle w:val="FootnoteReference"/>
        </w:rPr>
        <w:footnoteReference w:id="38"/>
      </w:r>
      <w:r w:rsidR="002E42CF" w:rsidRPr="0053503A">
        <w:t>.</w:t>
      </w:r>
    </w:p>
    <w:p w14:paraId="31D8A07E" w14:textId="251A5266" w:rsidR="6BE79646" w:rsidRPr="0053503A" w:rsidRDefault="00186B44" w:rsidP="2D031D61">
      <w:pPr>
        <w:pStyle w:val="HeadingNumbered2"/>
      </w:pPr>
      <w:bookmarkStart w:id="4" w:name="_Toc299275285"/>
      <w:r w:rsidRPr="0053503A">
        <w:lastRenderedPageBreak/>
        <w:t>Political participation: Promising practices</w:t>
      </w:r>
      <w:bookmarkEnd w:id="4"/>
    </w:p>
    <w:p w14:paraId="5C587064" w14:textId="5B6B5559" w:rsidR="00635EFA" w:rsidRPr="0053503A" w:rsidRDefault="000E0D79" w:rsidP="000E0D79">
      <w:r w:rsidRPr="0053503A">
        <w:t xml:space="preserve">The </w:t>
      </w:r>
      <w:r w:rsidR="0095079F" w:rsidRPr="0053503A">
        <w:t>Commission</w:t>
      </w:r>
      <w:r w:rsidRPr="0053503A">
        <w:t xml:space="preserve"> for the Rights of Persons with Disability did not note any promising practice in this regard</w:t>
      </w:r>
      <w:r w:rsidRPr="0053503A">
        <w:rPr>
          <w:rStyle w:val="FootnoteReference"/>
        </w:rPr>
        <w:footnoteReference w:id="39"/>
      </w:r>
      <w:r w:rsidRPr="0053503A">
        <w:t>.</w:t>
      </w:r>
    </w:p>
    <w:p w14:paraId="70141B7C" w14:textId="77777777" w:rsidR="00635EFA" w:rsidRPr="0053503A" w:rsidRDefault="00635EFA" w:rsidP="00CB20AB">
      <w:pPr>
        <w:pStyle w:val="FRABodyText"/>
      </w:pPr>
    </w:p>
    <w:p w14:paraId="18F94558" w14:textId="77777777" w:rsidR="00635EFA" w:rsidRPr="0053503A" w:rsidRDefault="00635EFA" w:rsidP="00CB20AB">
      <w:pPr>
        <w:pStyle w:val="FRABodyText"/>
      </w:pPr>
    </w:p>
    <w:p w14:paraId="0C79EA72" w14:textId="7F5B484D" w:rsidR="00C468EA" w:rsidRPr="0053503A" w:rsidRDefault="00C468EA" w:rsidP="00C468EA"/>
    <w:p w14:paraId="1CD3753B" w14:textId="77777777" w:rsidR="00470E5F" w:rsidRPr="0053503A" w:rsidRDefault="00470E5F" w:rsidP="00C468EA"/>
    <w:p w14:paraId="2F3CF770" w14:textId="77777777" w:rsidR="00470E5F" w:rsidRPr="0053503A" w:rsidRDefault="00470E5F" w:rsidP="00C468EA"/>
    <w:p w14:paraId="3BD0E53C" w14:textId="77777777" w:rsidR="00470E5F" w:rsidRPr="0053503A" w:rsidRDefault="00470E5F" w:rsidP="00C468EA"/>
    <w:p w14:paraId="3A60EEE8" w14:textId="77777777" w:rsidR="00470E5F" w:rsidRPr="0053503A" w:rsidRDefault="00470E5F" w:rsidP="00C468EA"/>
    <w:p w14:paraId="029D5237" w14:textId="77777777" w:rsidR="00470E5F" w:rsidRPr="0053503A" w:rsidRDefault="00470E5F" w:rsidP="00C468EA"/>
    <w:p w14:paraId="706C73B5" w14:textId="77777777" w:rsidR="00470E5F" w:rsidRPr="0053503A" w:rsidRDefault="00470E5F" w:rsidP="00C468EA"/>
    <w:p w14:paraId="70D9B540" w14:textId="77777777" w:rsidR="00470E5F" w:rsidRPr="0053503A" w:rsidRDefault="00470E5F" w:rsidP="00C468EA"/>
    <w:p w14:paraId="670F66D3" w14:textId="77777777" w:rsidR="00586AB9" w:rsidRPr="0053503A" w:rsidRDefault="00586AB9" w:rsidP="004512DA"/>
    <w:sectPr w:rsidR="00586AB9" w:rsidRPr="0053503A" w:rsidSect="00F64505">
      <w:footerReference w:type="first" r:id="rId18"/>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9CA33" w14:textId="77777777" w:rsidR="003D36E4" w:rsidRDefault="003D36E4">
      <w:pPr>
        <w:spacing w:after="0" w:line="240" w:lineRule="auto"/>
      </w:pPr>
      <w:r>
        <w:separator/>
      </w:r>
    </w:p>
  </w:endnote>
  <w:endnote w:type="continuationSeparator" w:id="0">
    <w:p w14:paraId="69942EEE" w14:textId="77777777" w:rsidR="003D36E4" w:rsidRDefault="003D36E4">
      <w:pPr>
        <w:spacing w:after="0" w:line="240" w:lineRule="auto"/>
      </w:pPr>
      <w:r>
        <w:continuationSeparator/>
      </w:r>
    </w:p>
  </w:endnote>
  <w:endnote w:type="continuationNotice" w:id="1">
    <w:p w14:paraId="51C5D248" w14:textId="77777777" w:rsidR="003D36E4" w:rsidRDefault="003D3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08F9BB1"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73DA0755"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562B1" w14:textId="77777777" w:rsidR="003D36E4" w:rsidRDefault="003D36E4">
      <w:pPr>
        <w:spacing w:after="0" w:line="240" w:lineRule="auto"/>
      </w:pPr>
      <w:r>
        <w:separator/>
      </w:r>
    </w:p>
  </w:footnote>
  <w:footnote w:type="continuationSeparator" w:id="0">
    <w:p w14:paraId="6E5E193F" w14:textId="77777777" w:rsidR="003D36E4" w:rsidRDefault="003D36E4">
      <w:pPr>
        <w:spacing w:after="0" w:line="240" w:lineRule="auto"/>
      </w:pPr>
      <w:r>
        <w:continuationSeparator/>
      </w:r>
    </w:p>
  </w:footnote>
  <w:footnote w:type="continuationNotice" w:id="1">
    <w:p w14:paraId="0A23C26B" w14:textId="77777777" w:rsidR="003D36E4" w:rsidRDefault="003D36E4">
      <w:pPr>
        <w:spacing w:after="0" w:line="240" w:lineRule="auto"/>
      </w:pPr>
    </w:p>
  </w:footnote>
  <w:footnote w:id="2">
    <w:p w14:paraId="1AFAACB0" w14:textId="66656FA1" w:rsidR="0009082E" w:rsidRPr="00C4296F" w:rsidRDefault="0009082E" w:rsidP="005F66D7">
      <w:pPr>
        <w:pStyle w:val="FootnoteText"/>
      </w:pPr>
      <w:r w:rsidRPr="00C4296F">
        <w:rPr>
          <w:rStyle w:val="FootnoteReference"/>
        </w:rPr>
        <w:footnoteRef/>
      </w:r>
      <w:r w:rsidRPr="00C4296F">
        <w:t xml:space="preserve"> </w:t>
      </w:r>
      <w:r w:rsidR="00D35D3C" w:rsidRPr="00C4296F">
        <w:t xml:space="preserve">Malta Ministry for Inclusion and Social Wellbeing, </w:t>
      </w:r>
      <w:r w:rsidR="00B462CE" w:rsidRPr="00C4296F">
        <w:t xml:space="preserve">Freedom to Live: </w:t>
      </w:r>
      <w:r w:rsidR="00D35D3C" w:rsidRPr="00C4296F">
        <w:t>Malta’s 2021 – 2030 National Strategy on the Rights of Disabled Persons,</w:t>
      </w:r>
      <w:r w:rsidR="006564D6" w:rsidRPr="00C4296F">
        <w:t xml:space="preserve"> 2023,</w:t>
      </w:r>
      <w:r w:rsidR="00875B9A" w:rsidRPr="00C4296F">
        <w:t xml:space="preserve"> </w:t>
      </w:r>
      <w:hyperlink r:id="rId1" w:history="1">
        <w:r w:rsidR="00875B9A" w:rsidRPr="00C4296F">
          <w:rPr>
            <w:rStyle w:val="Hyperlink"/>
          </w:rPr>
          <w:t>https://inclusion.gov.mt/wp-content/uploads/2023/04/Disability-Doc-ENG-SEP-21.pdf</w:t>
        </w:r>
      </w:hyperlink>
      <w:r w:rsidR="001155D7" w:rsidRPr="00C4296F">
        <w:t>.</w:t>
      </w:r>
      <w:r w:rsidR="006564D6" w:rsidRPr="00C4296F">
        <w:t xml:space="preserve"> </w:t>
      </w:r>
      <w:r w:rsidR="00D35D3C" w:rsidRPr="00C4296F">
        <w:t xml:space="preserve"> </w:t>
      </w:r>
    </w:p>
  </w:footnote>
  <w:footnote w:id="3">
    <w:p w14:paraId="3D599824" w14:textId="39744264" w:rsidR="006361C0" w:rsidRPr="00C4296F" w:rsidRDefault="006361C0">
      <w:pPr>
        <w:pStyle w:val="FootnoteText"/>
      </w:pPr>
      <w:r w:rsidRPr="00C4296F">
        <w:rPr>
          <w:rStyle w:val="FootnoteReference"/>
        </w:rPr>
        <w:footnoteRef/>
      </w:r>
      <w:r w:rsidRPr="00C4296F">
        <w:t xml:space="preserve"> The Constitution of Malta, 1964, </w:t>
      </w:r>
      <w:hyperlink r:id="rId2" w:history="1">
        <w:r w:rsidRPr="00C4296F">
          <w:rPr>
            <w:rStyle w:val="Hyperlink"/>
          </w:rPr>
          <w:t>https://legislation.mt/eli/const/eng</w:t>
        </w:r>
      </w:hyperlink>
      <w:r w:rsidR="00D64AAE" w:rsidRPr="00C4296F">
        <w:rPr>
          <w:rStyle w:val="Hyperlink"/>
        </w:rPr>
        <w:t>.</w:t>
      </w:r>
      <w:r w:rsidRPr="00C4296F">
        <w:t xml:space="preserve"> </w:t>
      </w:r>
    </w:p>
  </w:footnote>
  <w:footnote w:id="4">
    <w:p w14:paraId="117A5034" w14:textId="3C23CB72" w:rsidR="00F02BB9" w:rsidRPr="00C4296F" w:rsidRDefault="00F02BB9">
      <w:pPr>
        <w:pStyle w:val="FootnoteText"/>
      </w:pPr>
      <w:r w:rsidRPr="00C4296F">
        <w:rPr>
          <w:rStyle w:val="FootnoteReference"/>
        </w:rPr>
        <w:footnoteRef/>
      </w:r>
      <w:r w:rsidRPr="00C4296F">
        <w:t xml:space="preserve"> The General Elections Act, CAP. 354 of the Laws of Malta, </w:t>
      </w:r>
      <w:r w:rsidR="008B466E" w:rsidRPr="00C4296F">
        <w:t xml:space="preserve">1991, </w:t>
      </w:r>
      <w:hyperlink r:id="rId3" w:history="1">
        <w:r w:rsidR="008B466E" w:rsidRPr="00C4296F">
          <w:rPr>
            <w:rStyle w:val="Hyperlink"/>
          </w:rPr>
          <w:t>https://legislation.mt/eli/cap/354/eng</w:t>
        </w:r>
      </w:hyperlink>
      <w:r w:rsidR="008B466E" w:rsidRPr="00C4296F">
        <w:t xml:space="preserve">. </w:t>
      </w:r>
    </w:p>
  </w:footnote>
  <w:footnote w:id="5">
    <w:p w14:paraId="13E8DF86" w14:textId="1432F44A" w:rsidR="00EB3858" w:rsidRPr="00C4296F" w:rsidRDefault="00EB3858">
      <w:pPr>
        <w:pStyle w:val="FootnoteText"/>
      </w:pPr>
      <w:r w:rsidRPr="00C4296F">
        <w:rPr>
          <w:rStyle w:val="FootnoteReference"/>
        </w:rPr>
        <w:footnoteRef/>
      </w:r>
      <w:r w:rsidRPr="00C4296F">
        <w:t xml:space="preserve"> OSCE, Office for Democratic Institutions and Human Rights (ODIHR), Republic of Malta: Early Parliamentary Elections</w:t>
      </w:r>
      <w:r w:rsidR="007B5465" w:rsidRPr="00C4296F">
        <w:t xml:space="preserve"> 26 March 2022, ODIHR Election Expert Team Final Report, 2022, </w:t>
      </w:r>
      <w:r w:rsidR="001D551B" w:rsidRPr="00C4296F">
        <w:t xml:space="preserve">page 7, </w:t>
      </w:r>
      <w:hyperlink r:id="rId4" w:history="1">
        <w:r w:rsidR="00E74B11" w:rsidRPr="00C4296F">
          <w:rPr>
            <w:rStyle w:val="Hyperlink"/>
          </w:rPr>
          <w:t>https://www.osce.org/files/f/documents/8/7/522712.pdf</w:t>
        </w:r>
      </w:hyperlink>
      <w:r w:rsidR="00E74B11" w:rsidRPr="00C4296F">
        <w:t xml:space="preserve">. </w:t>
      </w:r>
    </w:p>
  </w:footnote>
  <w:footnote w:id="6">
    <w:p w14:paraId="02EA54CF" w14:textId="736A9206" w:rsidR="006B6A94" w:rsidRPr="00C4296F" w:rsidRDefault="006B6A94">
      <w:pPr>
        <w:pStyle w:val="FootnoteText"/>
      </w:pPr>
      <w:r w:rsidRPr="00C4296F">
        <w:rPr>
          <w:rStyle w:val="FootnoteReference"/>
        </w:rPr>
        <w:footnoteRef/>
      </w:r>
      <w:r w:rsidRPr="00C4296F">
        <w:t xml:space="preserve"> Article 20, General Elections Act.</w:t>
      </w:r>
    </w:p>
  </w:footnote>
  <w:footnote w:id="7">
    <w:p w14:paraId="557BCEB3" w14:textId="1E78EE62" w:rsidR="00410DB2" w:rsidRPr="00C4296F" w:rsidRDefault="00410DB2">
      <w:pPr>
        <w:pStyle w:val="FootnoteText"/>
      </w:pPr>
      <w:r w:rsidRPr="00C4296F">
        <w:rPr>
          <w:rStyle w:val="FootnoteReference"/>
        </w:rPr>
        <w:footnoteRef/>
      </w:r>
      <w:r w:rsidRPr="00C4296F">
        <w:t xml:space="preserve"> ODIHR, ibid, page 8.</w:t>
      </w:r>
    </w:p>
  </w:footnote>
  <w:footnote w:id="8">
    <w:p w14:paraId="2846C67A" w14:textId="4EBE41B5" w:rsidR="00AE34E0" w:rsidRPr="00C4296F" w:rsidRDefault="00AE34E0">
      <w:pPr>
        <w:pStyle w:val="FootnoteText"/>
      </w:pPr>
      <w:r w:rsidRPr="00C4296F">
        <w:rPr>
          <w:rStyle w:val="FootnoteReference"/>
        </w:rPr>
        <w:footnoteRef/>
      </w:r>
      <w:r w:rsidRPr="00C4296F">
        <w:t xml:space="preserve"> Part XII, General Elections Act.</w:t>
      </w:r>
    </w:p>
  </w:footnote>
  <w:footnote w:id="9">
    <w:p w14:paraId="35B831EF" w14:textId="77777777" w:rsidR="006B6F42" w:rsidRPr="00C4296F" w:rsidRDefault="006B6F42" w:rsidP="006B6F42">
      <w:pPr>
        <w:pStyle w:val="FootnoteText"/>
      </w:pPr>
      <w:r w:rsidRPr="00C4296F">
        <w:rPr>
          <w:rStyle w:val="FootnoteReference"/>
        </w:rPr>
        <w:footnoteRef/>
      </w:r>
      <w:r w:rsidRPr="00C4296F">
        <w:t xml:space="preserve"> ODIHR, ibid, page 18.</w:t>
      </w:r>
    </w:p>
  </w:footnote>
  <w:footnote w:id="10">
    <w:p w14:paraId="6B7276DC" w14:textId="4273A855" w:rsidR="00194AE7" w:rsidRPr="00C4296F" w:rsidRDefault="00194AE7">
      <w:pPr>
        <w:pStyle w:val="FootnoteText"/>
      </w:pPr>
      <w:r w:rsidRPr="00C4296F">
        <w:rPr>
          <w:rStyle w:val="FootnoteReference"/>
        </w:rPr>
        <w:footnoteRef/>
      </w:r>
      <w:r w:rsidRPr="00C4296F">
        <w:t xml:space="preserve"> Electoral Commission Malta, Feedback page, </w:t>
      </w:r>
      <w:hyperlink r:id="rId5" w:history="1">
        <w:r w:rsidRPr="00C4296F">
          <w:rPr>
            <w:rStyle w:val="Hyperlink"/>
          </w:rPr>
          <w:t>https://electoral.gov.mt/Feedback</w:t>
        </w:r>
      </w:hyperlink>
      <w:r w:rsidRPr="00C4296F">
        <w:t xml:space="preserve">. </w:t>
      </w:r>
    </w:p>
  </w:footnote>
  <w:footnote w:id="11">
    <w:p w14:paraId="37E823D4" w14:textId="01DE1ECA" w:rsidR="00D04A95" w:rsidRPr="00C4296F" w:rsidRDefault="00D04A95">
      <w:pPr>
        <w:pStyle w:val="FootnoteText"/>
      </w:pPr>
      <w:r w:rsidRPr="00C4296F">
        <w:rPr>
          <w:rStyle w:val="FootnoteReference"/>
        </w:rPr>
        <w:footnoteRef/>
      </w:r>
      <w:r w:rsidRPr="00C4296F">
        <w:t xml:space="preserve"> Ibid.</w:t>
      </w:r>
    </w:p>
  </w:footnote>
  <w:footnote w:id="12">
    <w:p w14:paraId="7083B03F" w14:textId="55E1682B" w:rsidR="00576EC0" w:rsidRPr="00C4296F" w:rsidRDefault="00576EC0">
      <w:pPr>
        <w:pStyle w:val="FootnoteText"/>
      </w:pPr>
      <w:r w:rsidRPr="00C4296F">
        <w:rPr>
          <w:rStyle w:val="FootnoteReference"/>
        </w:rPr>
        <w:footnoteRef/>
      </w:r>
      <w:r w:rsidRPr="00C4296F">
        <w:t xml:space="preserve"> Court Services Agency, </w:t>
      </w:r>
      <w:hyperlink r:id="rId6" w:history="1">
        <w:r w:rsidRPr="00C4296F">
          <w:rPr>
            <w:rStyle w:val="Hyperlink"/>
          </w:rPr>
          <w:t>https://ecourts.gov.mt/onlineservices</w:t>
        </w:r>
      </w:hyperlink>
      <w:r w:rsidRPr="00C4296F">
        <w:t xml:space="preserve">. </w:t>
      </w:r>
    </w:p>
  </w:footnote>
  <w:footnote w:id="13">
    <w:p w14:paraId="3298AA9E" w14:textId="4794DCC5" w:rsidR="00060C17" w:rsidRPr="00C4296F" w:rsidRDefault="00060C17">
      <w:pPr>
        <w:pStyle w:val="FootnoteText"/>
      </w:pPr>
      <w:r w:rsidRPr="00C4296F">
        <w:rPr>
          <w:rStyle w:val="FootnoteReference"/>
        </w:rPr>
        <w:footnoteRef/>
      </w:r>
      <w:r w:rsidRPr="00C4296F">
        <w:t xml:space="preserve"> Information provided by e-mail on 15 November 2023.</w:t>
      </w:r>
    </w:p>
  </w:footnote>
  <w:footnote w:id="14">
    <w:p w14:paraId="52881F31" w14:textId="0E2D85AB" w:rsidR="0095790E" w:rsidRPr="00C4296F" w:rsidRDefault="0095790E" w:rsidP="00086A0D">
      <w:pPr>
        <w:pStyle w:val="FootnoteText"/>
      </w:pPr>
      <w:r w:rsidRPr="00C4296F">
        <w:rPr>
          <w:rStyle w:val="FootnoteReference"/>
        </w:rPr>
        <w:footnoteRef/>
      </w:r>
      <w:r w:rsidRPr="00C4296F">
        <w:t xml:space="preserve"> Times of Malta, Watch: Our disability is partly to blame for not getting elected, say former MPs, 8 May 2022</w:t>
      </w:r>
      <w:r w:rsidR="00086A0D" w:rsidRPr="00C4296F">
        <w:t xml:space="preserve">, </w:t>
      </w:r>
      <w:hyperlink r:id="rId7" w:history="1">
        <w:r w:rsidR="00875B9A" w:rsidRPr="00C4296F">
          <w:rPr>
            <w:rStyle w:val="Hyperlink"/>
          </w:rPr>
          <w:t>https://timesofmalta.com/articles/view/watch-our-disability-is-partly-to-blame-for-not-getting-elected-say.953089</w:t>
        </w:r>
      </w:hyperlink>
      <w:r w:rsidR="0041166A" w:rsidRPr="00C4296F">
        <w:t>.</w:t>
      </w:r>
      <w:r w:rsidRPr="00C4296F">
        <w:t xml:space="preserve"> </w:t>
      </w:r>
    </w:p>
  </w:footnote>
  <w:footnote w:id="15">
    <w:p w14:paraId="3A8307CB" w14:textId="3458937C" w:rsidR="00A06E9D" w:rsidRPr="00C4296F" w:rsidRDefault="00EF498D" w:rsidP="00AE54D3">
      <w:pPr>
        <w:pStyle w:val="FootnoteText"/>
      </w:pPr>
      <w:r w:rsidRPr="00C4296F">
        <w:rPr>
          <w:rStyle w:val="FootnoteReference"/>
        </w:rPr>
        <w:footnoteRef/>
      </w:r>
      <w:r w:rsidRPr="00C4296F">
        <w:t xml:space="preserve"> Gozo News, </w:t>
      </w:r>
      <w:r w:rsidR="00A06E9D" w:rsidRPr="00C4296F">
        <w:t xml:space="preserve">More </w:t>
      </w:r>
      <w:r w:rsidR="006168E4" w:rsidRPr="00C4296F">
        <w:t>politicians</w:t>
      </w:r>
      <w:r w:rsidR="00A06E9D" w:rsidRPr="00C4296F">
        <w:t xml:space="preserve"> with a disability are needed – CRPD Commissioner, 17 April 2019</w:t>
      </w:r>
      <w:r w:rsidR="00BA425A" w:rsidRPr="00C4296F">
        <w:t>,</w:t>
      </w:r>
      <w:r w:rsidR="00A06E9D" w:rsidRPr="00C4296F">
        <w:t xml:space="preserve"> </w:t>
      </w:r>
      <w:hyperlink r:id="rId8" w:history="1">
        <w:r w:rsidR="00AE54D3" w:rsidRPr="00C4296F">
          <w:rPr>
            <w:rStyle w:val="Hyperlink"/>
          </w:rPr>
          <w:t>https://gozo.news/75464/more-politicians-with-a-disability-are-needed-crpd-commissioner/</w:t>
        </w:r>
      </w:hyperlink>
      <w:r w:rsidR="00AE54D3" w:rsidRPr="00C4296F">
        <w:t>;</w:t>
      </w:r>
      <w:r w:rsidR="00A06E9D" w:rsidRPr="00C4296F">
        <w:t xml:space="preserve"> </w:t>
      </w:r>
      <w:r w:rsidR="00AE54D3" w:rsidRPr="00C4296F">
        <w:t xml:space="preserve">The Malta Independent, 21 people with disability provided employment in local councils, 13 May 2019, </w:t>
      </w:r>
      <w:hyperlink r:id="rId9" w:history="1">
        <w:r w:rsidR="00AE54D3" w:rsidRPr="00C4296F">
          <w:rPr>
            <w:rStyle w:val="Hyperlink"/>
          </w:rPr>
          <w:t>https://www.independent.com.mt/articles/2019-05-13/local-news/120-people-with-disability-provided-full-time-employment-in-local-councils-6736208092</w:t>
        </w:r>
      </w:hyperlink>
      <w:r w:rsidR="00AE54D3" w:rsidRPr="00C4296F">
        <w:t xml:space="preserve">; </w:t>
      </w:r>
      <w:r w:rsidR="000B178B" w:rsidRPr="00C4296F">
        <w:t xml:space="preserve">TVM News, 10 people with a disability to contest local council and MEP elections, 23 April 2019, </w:t>
      </w:r>
      <w:hyperlink r:id="rId10" w:history="1">
        <w:r w:rsidR="000B178B" w:rsidRPr="00C4296F">
          <w:rPr>
            <w:rStyle w:val="Hyperlink"/>
          </w:rPr>
          <w:t>https://tvmnews.mt/en/news/10-people-with-a-disability-to-contest-local-council-and-mep-elections/</w:t>
        </w:r>
      </w:hyperlink>
      <w:r w:rsidR="003C462F" w:rsidRPr="00C4296F">
        <w:t>.</w:t>
      </w:r>
    </w:p>
  </w:footnote>
  <w:footnote w:id="16">
    <w:p w14:paraId="33E3BAA2" w14:textId="77777777" w:rsidR="00C774EE" w:rsidRPr="00C4296F" w:rsidRDefault="00C774EE" w:rsidP="00C774EE">
      <w:pPr>
        <w:pStyle w:val="FootnoteText"/>
      </w:pPr>
      <w:r w:rsidRPr="00C4296F">
        <w:rPr>
          <w:rStyle w:val="FootnoteReference"/>
        </w:rPr>
        <w:footnoteRef/>
      </w:r>
      <w:r w:rsidRPr="00C4296F">
        <w:t xml:space="preserve"> Subsidiary Legislation Const.02, Standing Orders of the House of Representatives Order, 1962, </w:t>
      </w:r>
      <w:hyperlink r:id="rId11" w:history="1">
        <w:r w:rsidRPr="00C4296F">
          <w:rPr>
            <w:rStyle w:val="Hyperlink"/>
          </w:rPr>
          <w:t>https://legislation.mt/eli/sl/const.2/eng/pdf</w:t>
        </w:r>
      </w:hyperlink>
      <w:r w:rsidRPr="00C4296F">
        <w:t xml:space="preserve">. </w:t>
      </w:r>
    </w:p>
  </w:footnote>
  <w:footnote w:id="17">
    <w:p w14:paraId="0F734DFF" w14:textId="5549F3FA" w:rsidR="005F1903" w:rsidRPr="00C4296F" w:rsidRDefault="005F1903">
      <w:pPr>
        <w:pStyle w:val="FootnoteText"/>
      </w:pPr>
      <w:r w:rsidRPr="00C4296F">
        <w:rPr>
          <w:rStyle w:val="FootnoteReference"/>
        </w:rPr>
        <w:footnoteRef/>
      </w:r>
      <w:r w:rsidRPr="00C4296F">
        <w:t xml:space="preserve"> </w:t>
      </w:r>
      <w:r w:rsidR="001931B1" w:rsidRPr="00C4296F">
        <w:t xml:space="preserve">Public Consultations, </w:t>
      </w:r>
      <w:hyperlink r:id="rId12" w:history="1">
        <w:r w:rsidR="001931B1" w:rsidRPr="00C4296F">
          <w:rPr>
            <w:rStyle w:val="Hyperlink"/>
          </w:rPr>
          <w:t>https://www.gov.mt/en/publicconsultation/Pages/default.aspx</w:t>
        </w:r>
      </w:hyperlink>
      <w:r w:rsidR="001931B1" w:rsidRPr="00C4296F">
        <w:t xml:space="preserve">. </w:t>
      </w:r>
    </w:p>
  </w:footnote>
  <w:footnote w:id="18">
    <w:p w14:paraId="2DBDBCE4" w14:textId="4A41A6F2" w:rsidR="008F323D" w:rsidRPr="00C4296F" w:rsidRDefault="008F323D">
      <w:pPr>
        <w:pStyle w:val="FootnoteText"/>
      </w:pPr>
      <w:r w:rsidRPr="00C4296F">
        <w:rPr>
          <w:rStyle w:val="FootnoteReference"/>
        </w:rPr>
        <w:footnoteRef/>
      </w:r>
      <w:r w:rsidRPr="00C4296F">
        <w:t xml:space="preserve"> </w:t>
      </w:r>
      <w:r w:rsidR="00F240F1" w:rsidRPr="00C4296F">
        <w:t xml:space="preserve">OSCE, Office for Democratic Institutions and Human Rights (ODIHR), Malta: Early Parliamentary Elections 26 March 2022, ODIHR </w:t>
      </w:r>
      <w:r w:rsidR="009A4AEA" w:rsidRPr="00C4296F">
        <w:t xml:space="preserve">Needs Assessment Mission </w:t>
      </w:r>
      <w:r w:rsidR="00F240F1" w:rsidRPr="00C4296F">
        <w:t>Report</w:t>
      </w:r>
      <w:r w:rsidR="00B979B6" w:rsidRPr="00C4296F">
        <w:t xml:space="preserve"> 28 February – 4 March 2022</w:t>
      </w:r>
      <w:r w:rsidR="00F240F1" w:rsidRPr="00C4296F">
        <w:t>, 2022</w:t>
      </w:r>
      <w:r w:rsidRPr="00C4296F">
        <w:t xml:space="preserve">, </w:t>
      </w:r>
      <w:hyperlink r:id="rId13" w:history="1">
        <w:r w:rsidRPr="00C4296F">
          <w:rPr>
            <w:rStyle w:val="Hyperlink"/>
          </w:rPr>
          <w:t>https://www.osce.org/odihr/elections/malta/513907</w:t>
        </w:r>
      </w:hyperlink>
      <w:r w:rsidRPr="00C4296F">
        <w:t xml:space="preserve">. </w:t>
      </w:r>
    </w:p>
  </w:footnote>
  <w:footnote w:id="19">
    <w:p w14:paraId="018F3EFF" w14:textId="796D2525" w:rsidR="00C60548" w:rsidRPr="00C4296F" w:rsidRDefault="00C60548">
      <w:pPr>
        <w:pStyle w:val="FootnoteText"/>
      </w:pPr>
      <w:r w:rsidRPr="00C4296F">
        <w:rPr>
          <w:rStyle w:val="FootnoteReference"/>
        </w:rPr>
        <w:footnoteRef/>
      </w:r>
      <w:r w:rsidRPr="00C4296F">
        <w:t xml:space="preserve"> Electoral Commission Malta, Report on the European </w:t>
      </w:r>
      <w:r w:rsidR="00041B7C" w:rsidRPr="00C4296F">
        <w:t xml:space="preserve">Parliament </w:t>
      </w:r>
      <w:r w:rsidRPr="00C4296F">
        <w:t>Elections</w:t>
      </w:r>
      <w:r w:rsidR="00F71730" w:rsidRPr="00C4296F">
        <w:t xml:space="preserve"> May 2019</w:t>
      </w:r>
      <w:r w:rsidR="00907F4F" w:rsidRPr="00C4296F">
        <w:t xml:space="preserve">, 2019, </w:t>
      </w:r>
      <w:hyperlink r:id="rId14" w:history="1">
        <w:r w:rsidR="00907F4F" w:rsidRPr="00C4296F">
          <w:rPr>
            <w:rStyle w:val="Hyperlink"/>
          </w:rPr>
          <w:t>https://electoral.gov.mt/Media/Default/Documents/EPElectionReport/EPE_Election_Report.pdf</w:t>
        </w:r>
      </w:hyperlink>
      <w:r w:rsidR="00907F4F" w:rsidRPr="00C4296F">
        <w:t>.</w:t>
      </w:r>
      <w:r w:rsidRPr="00C4296F">
        <w:t xml:space="preserve"> </w:t>
      </w:r>
    </w:p>
  </w:footnote>
  <w:footnote w:id="20">
    <w:p w14:paraId="31A2811A" w14:textId="137515C0" w:rsidR="002C5320" w:rsidRPr="00C4296F" w:rsidRDefault="002C5320">
      <w:pPr>
        <w:pStyle w:val="FootnoteText"/>
      </w:pPr>
      <w:r w:rsidRPr="00C4296F">
        <w:rPr>
          <w:rStyle w:val="FootnoteReference"/>
        </w:rPr>
        <w:footnoteRef/>
      </w:r>
      <w:r w:rsidRPr="00C4296F">
        <w:t xml:space="preserve"> Electoral Commission Malta, Report on the General Elections March 2022,</w:t>
      </w:r>
      <w:r w:rsidR="00C52D7C" w:rsidRPr="00C4296F">
        <w:t xml:space="preserve"> </w:t>
      </w:r>
      <w:hyperlink r:id="rId15" w:history="1">
        <w:r w:rsidR="00C52D7C" w:rsidRPr="00C4296F">
          <w:rPr>
            <w:rStyle w:val="Hyperlink"/>
          </w:rPr>
          <w:t>https://electoral.gov.mt/Media/Default/Documents/GEElectionReport/GE_Election_Report.pdf</w:t>
        </w:r>
      </w:hyperlink>
      <w:r w:rsidR="00C52D7C" w:rsidRPr="00C4296F">
        <w:t xml:space="preserve">. </w:t>
      </w:r>
      <w:r w:rsidRPr="00C4296F">
        <w:t xml:space="preserve"> </w:t>
      </w:r>
    </w:p>
  </w:footnote>
  <w:footnote w:id="21">
    <w:p w14:paraId="2EF1C362" w14:textId="69F2A640" w:rsidR="00CC760D" w:rsidRPr="005408EC" w:rsidRDefault="00CC760D">
      <w:pPr>
        <w:pStyle w:val="FootnoteText"/>
        <w:rPr>
          <w:lang w:val="it-IT"/>
        </w:rPr>
      </w:pPr>
      <w:r w:rsidRPr="00C4296F">
        <w:rPr>
          <w:rStyle w:val="FootnoteReference"/>
        </w:rPr>
        <w:footnoteRef/>
      </w:r>
      <w:r w:rsidRPr="005408EC">
        <w:rPr>
          <w:lang w:val="it-IT"/>
        </w:rPr>
        <w:t xml:space="preserve"> Electoral Commission Malta, </w:t>
      </w:r>
      <w:hyperlink r:id="rId16" w:history="1">
        <w:r w:rsidR="00482675" w:rsidRPr="005408EC">
          <w:rPr>
            <w:rStyle w:val="Hyperlink"/>
            <w:lang w:val="it-IT"/>
          </w:rPr>
          <w:t>https://electoral.gov.mt</w:t>
        </w:r>
      </w:hyperlink>
      <w:r w:rsidR="00482675" w:rsidRPr="005408EC">
        <w:rPr>
          <w:lang w:val="it-IT"/>
        </w:rPr>
        <w:t>.</w:t>
      </w:r>
    </w:p>
  </w:footnote>
  <w:footnote w:id="22">
    <w:p w14:paraId="26653D80" w14:textId="4C553216" w:rsidR="000B484F" w:rsidRPr="00C4296F" w:rsidRDefault="000B484F">
      <w:pPr>
        <w:pStyle w:val="FootnoteText"/>
      </w:pPr>
      <w:r w:rsidRPr="00C4296F">
        <w:rPr>
          <w:rStyle w:val="FootnoteReference"/>
        </w:rPr>
        <w:footnoteRef/>
      </w:r>
      <w:r w:rsidRPr="005408EC">
        <w:rPr>
          <w:lang w:val="it-IT"/>
        </w:rPr>
        <w:t xml:space="preserve"> </w:t>
      </w:r>
      <w:r w:rsidR="00C76E09" w:rsidRPr="005408EC">
        <w:rPr>
          <w:lang w:val="it-IT"/>
        </w:rPr>
        <w:t xml:space="preserve">Malta Electoral Commission videos, </w:t>
      </w:r>
      <w:hyperlink r:id="rId17" w:history="1">
        <w:r w:rsidR="00C76E09" w:rsidRPr="005408EC">
          <w:rPr>
            <w:rStyle w:val="Hyperlink"/>
            <w:lang w:val="it-IT"/>
          </w:rPr>
          <w:t>https://www.youtube.com/@electoralcommissionmalta522/videos</w:t>
        </w:r>
      </w:hyperlink>
      <w:r w:rsidR="00C76E09" w:rsidRPr="005408EC">
        <w:rPr>
          <w:lang w:val="it-IT"/>
        </w:rPr>
        <w:t xml:space="preserve">. </w:t>
      </w:r>
      <w:r w:rsidR="008017CD" w:rsidRPr="00C4296F">
        <w:t>Some v</w:t>
      </w:r>
      <w:r w:rsidR="00B0079F" w:rsidRPr="00C4296F">
        <w:t>ideos by the Partit Nazzjonalista</w:t>
      </w:r>
      <w:r w:rsidR="008017CD" w:rsidRPr="00C4296F">
        <w:t xml:space="preserve"> are subtitled and others are not</w:t>
      </w:r>
      <w:r w:rsidR="00B0079F" w:rsidRPr="00C4296F">
        <w:t xml:space="preserve">, </w:t>
      </w:r>
      <w:hyperlink r:id="rId18" w:history="1">
        <w:r w:rsidR="00412E8C" w:rsidRPr="00C4296F">
          <w:rPr>
            <w:rStyle w:val="Hyperlink"/>
          </w:rPr>
          <w:t>https://www.youtube.com/watch?v=1QmSslfbMtg</w:t>
        </w:r>
      </w:hyperlink>
      <w:r w:rsidR="008017CD" w:rsidRPr="00C4296F">
        <w:t xml:space="preserve">. </w:t>
      </w:r>
      <w:r w:rsidR="00273E36" w:rsidRPr="00C4296F">
        <w:t xml:space="preserve">Videos by the Partit Laburista are not subtitled, </w:t>
      </w:r>
      <w:hyperlink r:id="rId19" w:history="1">
        <w:r w:rsidR="00273E36" w:rsidRPr="00C4296F">
          <w:rPr>
            <w:rStyle w:val="Hyperlink"/>
          </w:rPr>
          <w:t>https://www.youtube.com/@PartitNazzjonalistaMalta/videos</w:t>
        </w:r>
      </w:hyperlink>
      <w:r w:rsidR="00273E36" w:rsidRPr="00C4296F">
        <w:t xml:space="preserve">, including videos providing instructions on how to fly to Malta in order to vote. </w:t>
      </w:r>
    </w:p>
  </w:footnote>
  <w:footnote w:id="23">
    <w:p w14:paraId="16464FA9" w14:textId="02012760" w:rsidR="008F1088" w:rsidRPr="00C4296F" w:rsidRDefault="008F1088">
      <w:pPr>
        <w:pStyle w:val="FootnoteText"/>
      </w:pPr>
      <w:r w:rsidRPr="00C4296F">
        <w:rPr>
          <w:rStyle w:val="FootnoteReference"/>
        </w:rPr>
        <w:footnoteRef/>
      </w:r>
      <w:r w:rsidRPr="00C4296F">
        <w:t xml:space="preserve"> Malta Broadcasting Authority, </w:t>
      </w:r>
      <w:hyperlink r:id="rId20" w:history="1">
        <w:r w:rsidRPr="00C4296F">
          <w:rPr>
            <w:rStyle w:val="Hyperlink"/>
          </w:rPr>
          <w:t>https://www.youtube.com/@Ba-maltaOrg/playlists</w:t>
        </w:r>
      </w:hyperlink>
      <w:r w:rsidRPr="00C4296F">
        <w:t xml:space="preserve">. </w:t>
      </w:r>
    </w:p>
  </w:footnote>
  <w:footnote w:id="24">
    <w:p w14:paraId="35340DB9" w14:textId="1C701BF9" w:rsidR="003F44A5" w:rsidRPr="00C4296F" w:rsidRDefault="003F44A5">
      <w:pPr>
        <w:pStyle w:val="FootnoteText"/>
      </w:pPr>
      <w:r w:rsidRPr="00C4296F">
        <w:rPr>
          <w:rStyle w:val="FootnoteReference"/>
        </w:rPr>
        <w:footnoteRef/>
      </w:r>
      <w:r w:rsidRPr="00C4296F">
        <w:t xml:space="preserve"> Ibid.</w:t>
      </w:r>
    </w:p>
  </w:footnote>
  <w:footnote w:id="25">
    <w:p w14:paraId="38925644" w14:textId="2DBAE9DC" w:rsidR="00AD2664" w:rsidRPr="00C4296F" w:rsidRDefault="00AD2664">
      <w:pPr>
        <w:pStyle w:val="FootnoteText"/>
      </w:pPr>
      <w:r w:rsidRPr="00C4296F">
        <w:rPr>
          <w:rStyle w:val="FootnoteReference"/>
        </w:rPr>
        <w:footnoteRef/>
      </w:r>
      <w:r w:rsidRPr="00C4296F">
        <w:t xml:space="preserve"> See above at footnote </w:t>
      </w:r>
      <w:r w:rsidR="00CD4F4A">
        <w:fldChar w:fldCharType="begin"/>
      </w:r>
      <w:r w:rsidR="00CD4F4A">
        <w:instrText xml:space="preserve"> NOTEREF _Ref153284285 \p </w:instrText>
      </w:r>
      <w:r w:rsidR="00CD4F4A">
        <w:fldChar w:fldCharType="separate"/>
      </w:r>
      <w:r w:rsidR="00541A56" w:rsidRPr="00C4296F">
        <w:t>21</w:t>
      </w:r>
      <w:r w:rsidR="00CD4F4A">
        <w:fldChar w:fldCharType="end"/>
      </w:r>
      <w:r w:rsidR="00DB7AE0" w:rsidRPr="00C4296F">
        <w:t>.</w:t>
      </w:r>
    </w:p>
  </w:footnote>
  <w:footnote w:id="26">
    <w:p w14:paraId="637D9AA1" w14:textId="77777777" w:rsidR="003C07C8" w:rsidRPr="005128D4" w:rsidRDefault="003C07C8" w:rsidP="003C07C8">
      <w:pPr>
        <w:pStyle w:val="FootnoteText"/>
      </w:pPr>
      <w:r w:rsidRPr="00C4296F">
        <w:rPr>
          <w:rStyle w:val="FootnoteReference"/>
        </w:rPr>
        <w:footnoteRef/>
      </w:r>
      <w:r w:rsidRPr="005128D4">
        <w:t xml:space="preserve"> Ibid.</w:t>
      </w:r>
    </w:p>
  </w:footnote>
  <w:footnote w:id="27">
    <w:p w14:paraId="7F1EB7E8" w14:textId="1ED31EA1" w:rsidR="004C2063" w:rsidRPr="005408EC" w:rsidRDefault="004C2063" w:rsidP="006450D7">
      <w:pPr>
        <w:pStyle w:val="FootnoteText"/>
        <w:rPr>
          <w:lang w:val="it-IT"/>
        </w:rPr>
      </w:pPr>
      <w:r w:rsidRPr="002A2D5E">
        <w:rPr>
          <w:rStyle w:val="FootnoteReference"/>
        </w:rPr>
        <w:footnoteRef/>
      </w:r>
      <w:r w:rsidRPr="002A2D5E">
        <w:rPr>
          <w:lang w:val="it-IT"/>
        </w:rPr>
        <w:t xml:space="preserve"> </w:t>
      </w:r>
      <w:r w:rsidR="003B6672" w:rsidRPr="002A2D5E">
        <w:rPr>
          <w:lang w:val="it-IT"/>
        </w:rPr>
        <w:t>Partit Na</w:t>
      </w:r>
      <w:r w:rsidR="00BB2A8E" w:rsidRPr="002A2D5E">
        <w:rPr>
          <w:lang w:val="it-IT"/>
        </w:rPr>
        <w:t>z</w:t>
      </w:r>
      <w:r w:rsidR="003B6672" w:rsidRPr="002A2D5E">
        <w:rPr>
          <w:lang w:val="it-IT"/>
        </w:rPr>
        <w:t>z</w:t>
      </w:r>
      <w:r w:rsidR="00F5359A" w:rsidRPr="002A2D5E">
        <w:rPr>
          <w:lang w:val="it-IT"/>
        </w:rPr>
        <w:t xml:space="preserve">jonalista, </w:t>
      </w:r>
      <w:r w:rsidR="000923DA" w:rsidRPr="002A2D5E">
        <w:rPr>
          <w:lang w:val="it-IT"/>
        </w:rPr>
        <w:t xml:space="preserve">Viżjoni għal Malta </w:t>
      </w:r>
      <w:r w:rsidR="00F5359A" w:rsidRPr="002A2D5E">
        <w:rPr>
          <w:lang w:val="it-IT"/>
        </w:rPr>
        <w:t xml:space="preserve">2030, </w:t>
      </w:r>
      <w:hyperlink r:id="rId21" w:history="1">
        <w:r w:rsidR="006450D7" w:rsidRPr="002A2D5E">
          <w:rPr>
            <w:rStyle w:val="Hyperlink"/>
          </w:rPr>
          <w:t>https://assets.nationbuilder.com/pn/pages/3115/attachments/original/1645723497/Partit_Nazzjonalista_Viz%CC%87joni_G%C4%A7al_Malta_2030.pdf?1645723497</w:t>
        </w:r>
      </w:hyperlink>
      <w:r w:rsidR="006450D7" w:rsidRPr="002A2D5E">
        <w:rPr>
          <w:lang w:val="mt-MT"/>
        </w:rPr>
        <w:t>;</w:t>
      </w:r>
      <w:r w:rsidR="008A0823" w:rsidRPr="002A2D5E">
        <w:rPr>
          <w:lang w:val="it-IT"/>
        </w:rPr>
        <w:t xml:space="preserve"> Partit Laburista, Malta Flimkien, </w:t>
      </w:r>
      <w:hyperlink r:id="rId22" w:history="1">
        <w:r w:rsidR="008A0823" w:rsidRPr="002A2D5E">
          <w:rPr>
            <w:rStyle w:val="Hyperlink"/>
            <w:lang w:val="it-IT"/>
          </w:rPr>
          <w:t>https://issuu.com/robertabelamt/docs/malta_flimkien_manifest_elettorali_2022?utm_medium=referral&amp;utm_source=partitlaburista.org</w:t>
        </w:r>
      </w:hyperlink>
      <w:r w:rsidR="008A0823" w:rsidRPr="002A2D5E">
        <w:rPr>
          <w:lang w:val="it-IT"/>
        </w:rPr>
        <w:t>.</w:t>
      </w:r>
      <w:r w:rsidR="008A0823" w:rsidRPr="005408EC">
        <w:rPr>
          <w:lang w:val="it-IT"/>
        </w:rPr>
        <w:t xml:space="preserve"> </w:t>
      </w:r>
      <w:r w:rsidR="00F5359A" w:rsidRPr="005408EC">
        <w:rPr>
          <w:lang w:val="it-IT"/>
        </w:rPr>
        <w:t xml:space="preserve"> </w:t>
      </w:r>
    </w:p>
  </w:footnote>
  <w:footnote w:id="28">
    <w:p w14:paraId="7B17B300" w14:textId="6C71703A" w:rsidR="00D30590" w:rsidRPr="005408EC" w:rsidRDefault="00D30590">
      <w:pPr>
        <w:pStyle w:val="FootnoteText"/>
        <w:rPr>
          <w:lang w:val="it-IT"/>
        </w:rPr>
      </w:pPr>
      <w:r w:rsidRPr="00C4296F">
        <w:rPr>
          <w:rStyle w:val="FootnoteReference"/>
        </w:rPr>
        <w:footnoteRef/>
      </w:r>
      <w:r w:rsidRPr="005408EC">
        <w:rPr>
          <w:lang w:val="it-IT"/>
        </w:rPr>
        <w:t xml:space="preserve"> ADPA, Xkupa Ħadra Tnaddaf, </w:t>
      </w:r>
      <w:hyperlink r:id="rId23" w:history="1">
        <w:r w:rsidRPr="005408EC">
          <w:rPr>
            <w:rStyle w:val="Hyperlink"/>
            <w:lang w:val="it-IT"/>
          </w:rPr>
          <w:t>https://adpd.mt/wp-content/uploads/2022/03/ADPD_Manifest-Elettorali-2022.pdf</w:t>
        </w:r>
      </w:hyperlink>
      <w:r w:rsidRPr="005408EC">
        <w:rPr>
          <w:lang w:val="it-IT"/>
        </w:rPr>
        <w:t xml:space="preserve">. </w:t>
      </w:r>
    </w:p>
  </w:footnote>
  <w:footnote w:id="29">
    <w:p w14:paraId="64DAB345" w14:textId="4FC5AA62" w:rsidR="006E17B5" w:rsidRPr="00C4296F" w:rsidRDefault="006E17B5">
      <w:pPr>
        <w:pStyle w:val="FootnoteText"/>
      </w:pPr>
      <w:r w:rsidRPr="00C4296F">
        <w:rPr>
          <w:rStyle w:val="FootnoteReference"/>
        </w:rPr>
        <w:footnoteRef/>
      </w:r>
      <w:r w:rsidRPr="00C4296F">
        <w:t xml:space="preserve"> Accessibility of the Websites and Mobile Applications of Public Sector Bodies Regulations, </w:t>
      </w:r>
      <w:r w:rsidR="00A41915" w:rsidRPr="00C4296F">
        <w:t xml:space="preserve">S.L. 418.03, 2019, </w:t>
      </w:r>
      <w:hyperlink r:id="rId24" w:history="1">
        <w:r w:rsidR="008C6580" w:rsidRPr="00C4296F">
          <w:rPr>
            <w:rStyle w:val="Hyperlink"/>
          </w:rPr>
          <w:t>https://legislation.mt/eli/sl/418.3/eng</w:t>
        </w:r>
      </w:hyperlink>
      <w:r w:rsidR="008C6580" w:rsidRPr="00C4296F">
        <w:t xml:space="preserve">. </w:t>
      </w:r>
    </w:p>
  </w:footnote>
  <w:footnote w:id="30">
    <w:p w14:paraId="4DD702CF" w14:textId="6C0631EC" w:rsidR="00F40C00" w:rsidRPr="00C4296F" w:rsidRDefault="00F40C00">
      <w:pPr>
        <w:pStyle w:val="FootnoteText"/>
      </w:pPr>
      <w:r w:rsidRPr="00C4296F">
        <w:rPr>
          <w:rStyle w:val="FootnoteReference"/>
        </w:rPr>
        <w:footnoteRef/>
      </w:r>
      <w:r w:rsidRPr="00C4296F">
        <w:t xml:space="preserve"> Malta Communications Authority,</w:t>
      </w:r>
      <w:r w:rsidR="00B56EE0" w:rsidRPr="00C4296F">
        <w:t xml:space="preserve"> MCA Web Accessibility Directive Regulatory Process for</w:t>
      </w:r>
      <w:r w:rsidR="002D670E" w:rsidRPr="00C4296F">
        <w:t xml:space="preserve"> Public Sector Entities, March 2022, </w:t>
      </w:r>
      <w:hyperlink r:id="rId25" w:history="1">
        <w:r w:rsidR="00485D63" w:rsidRPr="00C4296F">
          <w:rPr>
            <w:rStyle w:val="Hyperlink"/>
          </w:rPr>
          <w:t>https://www.mca.org.mt/sites/default/files/pageattachments/WADProcess.pdf</w:t>
        </w:r>
      </w:hyperlink>
      <w:r w:rsidRPr="00C4296F">
        <w:t xml:space="preserve">. </w:t>
      </w:r>
    </w:p>
  </w:footnote>
  <w:footnote w:id="31">
    <w:p w14:paraId="7B64ED26" w14:textId="109C16D4" w:rsidR="00EB7978" w:rsidRPr="00C4296F" w:rsidRDefault="00EB7978">
      <w:pPr>
        <w:pStyle w:val="FootnoteText"/>
      </w:pPr>
      <w:r w:rsidRPr="00C4296F">
        <w:rPr>
          <w:rStyle w:val="FootnoteReference"/>
        </w:rPr>
        <w:footnoteRef/>
      </w:r>
      <w:r w:rsidRPr="00C4296F">
        <w:t xml:space="preserve"> Requirements As To Standards And Practice Applicable To Disability And Its Portrayal In The Broadcasting Media</w:t>
      </w:r>
      <w:r w:rsidR="006E06CD" w:rsidRPr="00C4296F">
        <w:t xml:space="preserve">, S.L. 350.17, 2007, </w:t>
      </w:r>
      <w:hyperlink r:id="rId26" w:history="1">
        <w:r w:rsidR="006E06CD" w:rsidRPr="00C4296F">
          <w:rPr>
            <w:rStyle w:val="Hyperlink"/>
          </w:rPr>
          <w:t>https://legislation.mt/eli/sl/350.17/eng</w:t>
        </w:r>
      </w:hyperlink>
      <w:r w:rsidR="006E06CD" w:rsidRPr="00C4296F">
        <w:t xml:space="preserve">. </w:t>
      </w:r>
    </w:p>
  </w:footnote>
  <w:footnote w:id="32">
    <w:p w14:paraId="141564CC" w14:textId="6CB951B4" w:rsidR="00642BEE" w:rsidRPr="00C4296F" w:rsidRDefault="00642BEE">
      <w:pPr>
        <w:pStyle w:val="FootnoteText"/>
      </w:pPr>
      <w:r w:rsidRPr="00C4296F">
        <w:rPr>
          <w:rStyle w:val="FootnoteReference"/>
        </w:rPr>
        <w:footnoteRef/>
      </w:r>
      <w:r w:rsidRPr="00C4296F">
        <w:t xml:space="preserve"> Accessibility Measures (European Accessibility Act) Regulations, S.L. </w:t>
      </w:r>
      <w:r w:rsidR="006C4A11" w:rsidRPr="00C4296F">
        <w:t xml:space="preserve">627.03, 2022, </w:t>
      </w:r>
      <w:hyperlink r:id="rId27" w:history="1">
        <w:r w:rsidR="006C4A11" w:rsidRPr="00C4296F">
          <w:rPr>
            <w:rStyle w:val="Hyperlink"/>
          </w:rPr>
          <w:t>https://legislation.mt/eli/sl/627.3/eng</w:t>
        </w:r>
      </w:hyperlink>
      <w:r w:rsidR="006C4A11" w:rsidRPr="00C4296F">
        <w:t xml:space="preserve">. </w:t>
      </w:r>
    </w:p>
  </w:footnote>
  <w:footnote w:id="33">
    <w:p w14:paraId="13CF82C7" w14:textId="2543A198" w:rsidR="0033690E" w:rsidRPr="00C4296F" w:rsidRDefault="0033690E" w:rsidP="00EA721A">
      <w:pPr>
        <w:pStyle w:val="FootnoteText"/>
      </w:pPr>
      <w:r w:rsidRPr="00C4296F">
        <w:rPr>
          <w:rStyle w:val="FootnoteReference"/>
        </w:rPr>
        <w:footnoteRef/>
      </w:r>
      <w:r w:rsidRPr="00C4296F">
        <w:t xml:space="preserve"> </w:t>
      </w:r>
      <w:r w:rsidR="001C3805" w:rsidRPr="00C4296F">
        <w:t>Malta Planning Authority, MEPA CIRCULAR 03/10</w:t>
      </w:r>
      <w:r w:rsidR="00054B8A" w:rsidRPr="00C4296F">
        <w:t xml:space="preserve">, </w:t>
      </w:r>
      <w:hyperlink r:id="rId28" w:history="1">
        <w:r w:rsidR="00054B8A" w:rsidRPr="00C4296F">
          <w:rPr>
            <w:rStyle w:val="Hyperlink"/>
          </w:rPr>
          <w:t>https://www.crpd.org.mt/wp-content/uploads/2021/09/3.-Circular-3-of-2010.pdf</w:t>
        </w:r>
      </w:hyperlink>
      <w:r w:rsidR="00054B8A" w:rsidRPr="00C4296F">
        <w:t xml:space="preserve">. </w:t>
      </w:r>
    </w:p>
  </w:footnote>
  <w:footnote w:id="34">
    <w:p w14:paraId="5E691C2E" w14:textId="315F6BF1" w:rsidR="00FE5F83" w:rsidRPr="00C4296F" w:rsidRDefault="00FE5F83">
      <w:pPr>
        <w:pStyle w:val="FootnoteText"/>
      </w:pPr>
      <w:r w:rsidRPr="00C4296F">
        <w:rPr>
          <w:rStyle w:val="FootnoteReference"/>
        </w:rPr>
        <w:footnoteRef/>
      </w:r>
      <w:r w:rsidRPr="00C4296F">
        <w:t xml:space="preserve"> </w:t>
      </w:r>
      <w:r w:rsidR="00A06AF6" w:rsidRPr="00C4296F">
        <w:t xml:space="preserve">Commission for the Rights of Persons with Disability, Access for All Design Guidelines’, 2011, </w:t>
      </w:r>
      <w:hyperlink r:id="rId29" w:history="1">
        <w:r w:rsidR="00A06AF6" w:rsidRPr="00C4296F">
          <w:rPr>
            <w:rStyle w:val="Hyperlink"/>
          </w:rPr>
          <w:t>https://www.crpd.org.mt/wp-content/uploads/2020/11/Access-for-all-2011.pdf</w:t>
        </w:r>
      </w:hyperlink>
      <w:r w:rsidR="00A06AF6" w:rsidRPr="00C4296F">
        <w:t xml:space="preserve">. </w:t>
      </w:r>
    </w:p>
  </w:footnote>
  <w:footnote w:id="35">
    <w:p w14:paraId="686139D7" w14:textId="77777777" w:rsidR="00E30BC7" w:rsidRPr="00C4296F" w:rsidRDefault="00E30BC7" w:rsidP="00E30BC7">
      <w:pPr>
        <w:pStyle w:val="FootnoteText"/>
      </w:pPr>
      <w:r w:rsidRPr="00C4296F">
        <w:rPr>
          <w:rStyle w:val="FootnoteReference"/>
        </w:rPr>
        <w:footnoteRef/>
      </w:r>
      <w:r w:rsidRPr="00C4296F">
        <w:t xml:space="preserve"> OSCE, Office for Democratic Institutions and Human Rights (ODIHR), Malta: Early Parliamentary Elections 26 March 2022, ODIHR Needs Assessment Mission Report 28 February – 4 March 2022, 2022, </w:t>
      </w:r>
      <w:hyperlink r:id="rId30" w:history="1">
        <w:r w:rsidRPr="00C4296F">
          <w:rPr>
            <w:rStyle w:val="Hyperlink"/>
          </w:rPr>
          <w:t>https://www.osce.org/odihr/elections/malta/513907</w:t>
        </w:r>
      </w:hyperlink>
      <w:r w:rsidRPr="00C4296F">
        <w:t xml:space="preserve">. </w:t>
      </w:r>
    </w:p>
  </w:footnote>
  <w:footnote w:id="36">
    <w:p w14:paraId="4D228C1A" w14:textId="2FE42085" w:rsidR="00EF18EE" w:rsidRPr="00C4296F" w:rsidRDefault="00EF18EE">
      <w:pPr>
        <w:pStyle w:val="FootnoteText"/>
      </w:pPr>
      <w:r w:rsidRPr="00C4296F">
        <w:rPr>
          <w:rStyle w:val="FootnoteReference"/>
        </w:rPr>
        <w:footnoteRef/>
      </w:r>
      <w:r w:rsidRPr="00C4296F">
        <w:t xml:space="preserve"> Malta Ministry for Inclusion and Social Wellbeing, Freedom to Live: Malta’s 2021 – 2030 National Strategy on the Rights of Disabled Persons, 2023, </w:t>
      </w:r>
      <w:hyperlink r:id="rId31" w:history="1">
        <w:r w:rsidRPr="00C4296F">
          <w:rPr>
            <w:rStyle w:val="Hyperlink"/>
          </w:rPr>
          <w:t>https://inclusion.gov.mt/wp-content/uploads/2023/04/Disability-Doc-ENG-SEP-21.pdf</w:t>
        </w:r>
      </w:hyperlink>
      <w:r w:rsidRPr="00C4296F">
        <w:t>.</w:t>
      </w:r>
    </w:p>
  </w:footnote>
  <w:footnote w:id="37">
    <w:p w14:paraId="5F99F7CC" w14:textId="6A327F5A" w:rsidR="00376E98" w:rsidRPr="00C4296F" w:rsidRDefault="00376E98">
      <w:pPr>
        <w:pStyle w:val="FootnoteText"/>
      </w:pPr>
      <w:r w:rsidRPr="00C4296F">
        <w:rPr>
          <w:rStyle w:val="FootnoteReference"/>
        </w:rPr>
        <w:footnoteRef/>
      </w:r>
      <w:r w:rsidRPr="00C4296F">
        <w:t xml:space="preserve"> OSCE, Office for Democratic Institutions and Human Rights (ODIHR), Republic of Malta: Early Parliamentary Elections 26 March 2022, ODIHR Election Expert Team Final Report, 2022, page 7, </w:t>
      </w:r>
      <w:hyperlink r:id="rId32" w:history="1">
        <w:r w:rsidRPr="00C4296F">
          <w:rPr>
            <w:rStyle w:val="Hyperlink"/>
          </w:rPr>
          <w:t>https://www.osce.org/files/f/documents/8/7/522712.pdf</w:t>
        </w:r>
      </w:hyperlink>
    </w:p>
  </w:footnote>
  <w:footnote w:id="38">
    <w:p w14:paraId="7CD4CD5A" w14:textId="08F78E41" w:rsidR="00D7145A" w:rsidRPr="00C4296F" w:rsidRDefault="00D7145A">
      <w:pPr>
        <w:pStyle w:val="FootnoteText"/>
      </w:pPr>
      <w:r w:rsidRPr="00C4296F">
        <w:rPr>
          <w:rStyle w:val="FootnoteReference"/>
        </w:rPr>
        <w:footnoteRef/>
      </w:r>
      <w:r w:rsidRPr="00C4296F">
        <w:t xml:space="preserve"> Information provided by e-mail on 15 November 2023.</w:t>
      </w:r>
    </w:p>
  </w:footnote>
  <w:footnote w:id="39">
    <w:p w14:paraId="6C1709A8" w14:textId="77777777" w:rsidR="000E0D79" w:rsidRPr="00C4296F" w:rsidRDefault="000E0D79" w:rsidP="000E0D79">
      <w:pPr>
        <w:pStyle w:val="FootnoteText"/>
      </w:pPr>
      <w:r w:rsidRPr="00C4296F">
        <w:rPr>
          <w:rStyle w:val="FootnoteReference"/>
        </w:rPr>
        <w:footnoteRef/>
      </w:r>
      <w:r w:rsidRPr="00C4296F">
        <w:t xml:space="preserve"> Information provided by e-mail on 15 November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F127" w14:textId="77777777" w:rsidR="00F64505" w:rsidRDefault="00F64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610C73" w:rsidRDefault="009E72AE">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4C00" w14:textId="77777777" w:rsidR="00F64505" w:rsidRDefault="00F64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1033431"/>
    <w:multiLevelType w:val="hybridMultilevel"/>
    <w:tmpl w:val="E738E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568448D9"/>
    <w:multiLevelType w:val="multilevel"/>
    <w:tmpl w:val="57DACC7A"/>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3"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4" w15:restartNumberingAfterBreak="0">
    <w:nsid w:val="6DDD05A3"/>
    <w:multiLevelType w:val="hybridMultilevel"/>
    <w:tmpl w:val="BCFE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1346051549">
    <w:abstractNumId w:val="4"/>
  </w:num>
  <w:num w:numId="2" w16cid:durableId="321353744">
    <w:abstractNumId w:val="1"/>
  </w:num>
  <w:num w:numId="3" w16cid:durableId="1728264502">
    <w:abstractNumId w:val="10"/>
  </w:num>
  <w:num w:numId="4" w16cid:durableId="1957254934">
    <w:abstractNumId w:val="2"/>
  </w:num>
  <w:num w:numId="5" w16cid:durableId="1609970589">
    <w:abstractNumId w:val="3"/>
  </w:num>
  <w:num w:numId="6" w16cid:durableId="566259517">
    <w:abstractNumId w:val="6"/>
  </w:num>
  <w:num w:numId="7" w16cid:durableId="212620542">
    <w:abstractNumId w:val="0"/>
  </w:num>
  <w:num w:numId="8" w16cid:durableId="677584958">
    <w:abstractNumId w:val="5"/>
  </w:num>
  <w:num w:numId="9" w16cid:durableId="655764653">
    <w:abstractNumId w:val="8"/>
  </w:num>
  <w:num w:numId="10" w16cid:durableId="277681172">
    <w:abstractNumId w:val="11"/>
  </w:num>
  <w:num w:numId="11" w16cid:durableId="896283301">
    <w:abstractNumId w:val="12"/>
  </w:num>
  <w:num w:numId="12" w16cid:durableId="1166941836">
    <w:abstractNumId w:val="7"/>
  </w:num>
  <w:num w:numId="13" w16cid:durableId="544101142">
    <w:abstractNumId w:val="13"/>
  </w:num>
  <w:num w:numId="14" w16cid:durableId="990597383">
    <w:abstractNumId w:val="15"/>
  </w:num>
  <w:num w:numId="15" w16cid:durableId="92094360">
    <w:abstractNumId w:val="14"/>
  </w:num>
  <w:num w:numId="16" w16cid:durableId="510754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2"/>
    <w:rsid w:val="00001DF7"/>
    <w:rsid w:val="00004690"/>
    <w:rsid w:val="000062E9"/>
    <w:rsid w:val="00015772"/>
    <w:rsid w:val="00015EC2"/>
    <w:rsid w:val="00025D55"/>
    <w:rsid w:val="00041B7C"/>
    <w:rsid w:val="0004609A"/>
    <w:rsid w:val="000473F4"/>
    <w:rsid w:val="00050433"/>
    <w:rsid w:val="000516E3"/>
    <w:rsid w:val="00054135"/>
    <w:rsid w:val="00054B8A"/>
    <w:rsid w:val="000566D9"/>
    <w:rsid w:val="00060C17"/>
    <w:rsid w:val="00062DD3"/>
    <w:rsid w:val="00071C58"/>
    <w:rsid w:val="00072220"/>
    <w:rsid w:val="00074333"/>
    <w:rsid w:val="00081108"/>
    <w:rsid w:val="000819FB"/>
    <w:rsid w:val="0008496C"/>
    <w:rsid w:val="00084C91"/>
    <w:rsid w:val="00086A0D"/>
    <w:rsid w:val="000878EF"/>
    <w:rsid w:val="00087941"/>
    <w:rsid w:val="0009082E"/>
    <w:rsid w:val="000923DA"/>
    <w:rsid w:val="000931F8"/>
    <w:rsid w:val="000961AE"/>
    <w:rsid w:val="000A2F55"/>
    <w:rsid w:val="000A573B"/>
    <w:rsid w:val="000A65F0"/>
    <w:rsid w:val="000A6B8E"/>
    <w:rsid w:val="000A7165"/>
    <w:rsid w:val="000B178B"/>
    <w:rsid w:val="000B31A3"/>
    <w:rsid w:val="000B4406"/>
    <w:rsid w:val="000B484F"/>
    <w:rsid w:val="000C3C8B"/>
    <w:rsid w:val="000C3CA4"/>
    <w:rsid w:val="000D69DC"/>
    <w:rsid w:val="000E0D79"/>
    <w:rsid w:val="000E5075"/>
    <w:rsid w:val="000E6E25"/>
    <w:rsid w:val="001007A4"/>
    <w:rsid w:val="001012D5"/>
    <w:rsid w:val="0010149D"/>
    <w:rsid w:val="00103E8E"/>
    <w:rsid w:val="00104701"/>
    <w:rsid w:val="001072B5"/>
    <w:rsid w:val="00113244"/>
    <w:rsid w:val="001151D6"/>
    <w:rsid w:val="001155D7"/>
    <w:rsid w:val="00117337"/>
    <w:rsid w:val="00136F67"/>
    <w:rsid w:val="00140063"/>
    <w:rsid w:val="00146D4F"/>
    <w:rsid w:val="00147B12"/>
    <w:rsid w:val="001510CB"/>
    <w:rsid w:val="00151894"/>
    <w:rsid w:val="0015354A"/>
    <w:rsid w:val="0016205B"/>
    <w:rsid w:val="00165666"/>
    <w:rsid w:val="00167946"/>
    <w:rsid w:val="00167AED"/>
    <w:rsid w:val="00172528"/>
    <w:rsid w:val="0018166D"/>
    <w:rsid w:val="00186B44"/>
    <w:rsid w:val="0019021D"/>
    <w:rsid w:val="001931B1"/>
    <w:rsid w:val="00194AE7"/>
    <w:rsid w:val="0019610F"/>
    <w:rsid w:val="00196ECE"/>
    <w:rsid w:val="00196F31"/>
    <w:rsid w:val="001A275D"/>
    <w:rsid w:val="001A4517"/>
    <w:rsid w:val="001B1B37"/>
    <w:rsid w:val="001B3927"/>
    <w:rsid w:val="001B45E3"/>
    <w:rsid w:val="001C3805"/>
    <w:rsid w:val="001C52A5"/>
    <w:rsid w:val="001D2C6F"/>
    <w:rsid w:val="001D3205"/>
    <w:rsid w:val="001D551B"/>
    <w:rsid w:val="001E5BE9"/>
    <w:rsid w:val="001E7AED"/>
    <w:rsid w:val="001F37B4"/>
    <w:rsid w:val="001F3FAA"/>
    <w:rsid w:val="001F53FE"/>
    <w:rsid w:val="001F5FF2"/>
    <w:rsid w:val="002042DD"/>
    <w:rsid w:val="00206846"/>
    <w:rsid w:val="00206AB5"/>
    <w:rsid w:val="00214BD1"/>
    <w:rsid w:val="00220F02"/>
    <w:rsid w:val="00223C6C"/>
    <w:rsid w:val="00223E72"/>
    <w:rsid w:val="0022538B"/>
    <w:rsid w:val="00226EB8"/>
    <w:rsid w:val="00227E1B"/>
    <w:rsid w:val="00236602"/>
    <w:rsid w:val="002402C9"/>
    <w:rsid w:val="002408F9"/>
    <w:rsid w:val="00240F44"/>
    <w:rsid w:val="002432A7"/>
    <w:rsid w:val="0024505E"/>
    <w:rsid w:val="002562AA"/>
    <w:rsid w:val="002607BB"/>
    <w:rsid w:val="00260A63"/>
    <w:rsid w:val="00260C23"/>
    <w:rsid w:val="0026583D"/>
    <w:rsid w:val="002658B4"/>
    <w:rsid w:val="002679D6"/>
    <w:rsid w:val="00273E36"/>
    <w:rsid w:val="00274E14"/>
    <w:rsid w:val="00276BF3"/>
    <w:rsid w:val="00276F21"/>
    <w:rsid w:val="002831DE"/>
    <w:rsid w:val="00286F72"/>
    <w:rsid w:val="002921FE"/>
    <w:rsid w:val="002975AB"/>
    <w:rsid w:val="002A09A4"/>
    <w:rsid w:val="002A2D5E"/>
    <w:rsid w:val="002A4CF8"/>
    <w:rsid w:val="002B07DA"/>
    <w:rsid w:val="002B479B"/>
    <w:rsid w:val="002C5320"/>
    <w:rsid w:val="002D670E"/>
    <w:rsid w:val="002D71D4"/>
    <w:rsid w:val="002E3CF8"/>
    <w:rsid w:val="002E42CF"/>
    <w:rsid w:val="002F6FAB"/>
    <w:rsid w:val="002F72F3"/>
    <w:rsid w:val="0030222C"/>
    <w:rsid w:val="00304BA7"/>
    <w:rsid w:val="00315EC1"/>
    <w:rsid w:val="00321B5C"/>
    <w:rsid w:val="003255E7"/>
    <w:rsid w:val="00325EAA"/>
    <w:rsid w:val="00326841"/>
    <w:rsid w:val="0032791D"/>
    <w:rsid w:val="00331077"/>
    <w:rsid w:val="00331DA0"/>
    <w:rsid w:val="003351E2"/>
    <w:rsid w:val="0033690E"/>
    <w:rsid w:val="00341D13"/>
    <w:rsid w:val="00351F62"/>
    <w:rsid w:val="00354D62"/>
    <w:rsid w:val="00364CF9"/>
    <w:rsid w:val="00365C2E"/>
    <w:rsid w:val="00367564"/>
    <w:rsid w:val="00376E98"/>
    <w:rsid w:val="00381629"/>
    <w:rsid w:val="00382B12"/>
    <w:rsid w:val="003849D0"/>
    <w:rsid w:val="0038597B"/>
    <w:rsid w:val="0039375D"/>
    <w:rsid w:val="003944DF"/>
    <w:rsid w:val="003969E5"/>
    <w:rsid w:val="003A02EE"/>
    <w:rsid w:val="003A5290"/>
    <w:rsid w:val="003B6672"/>
    <w:rsid w:val="003C07C8"/>
    <w:rsid w:val="003C40CB"/>
    <w:rsid w:val="003C4488"/>
    <w:rsid w:val="003C462F"/>
    <w:rsid w:val="003C48C2"/>
    <w:rsid w:val="003C75F6"/>
    <w:rsid w:val="003D36E4"/>
    <w:rsid w:val="003E3787"/>
    <w:rsid w:val="003E4648"/>
    <w:rsid w:val="003E4FD8"/>
    <w:rsid w:val="003E5FDC"/>
    <w:rsid w:val="003E6E91"/>
    <w:rsid w:val="003F02F5"/>
    <w:rsid w:val="003F149D"/>
    <w:rsid w:val="003F44A5"/>
    <w:rsid w:val="003F6446"/>
    <w:rsid w:val="00401380"/>
    <w:rsid w:val="00401553"/>
    <w:rsid w:val="00406571"/>
    <w:rsid w:val="004108AF"/>
    <w:rsid w:val="00410DB2"/>
    <w:rsid w:val="0041166A"/>
    <w:rsid w:val="00412E8C"/>
    <w:rsid w:val="0041611B"/>
    <w:rsid w:val="004178C1"/>
    <w:rsid w:val="004205B5"/>
    <w:rsid w:val="004231F5"/>
    <w:rsid w:val="00426B63"/>
    <w:rsid w:val="0043149E"/>
    <w:rsid w:val="00437B42"/>
    <w:rsid w:val="00440824"/>
    <w:rsid w:val="00445650"/>
    <w:rsid w:val="004462DC"/>
    <w:rsid w:val="0044732A"/>
    <w:rsid w:val="004512DA"/>
    <w:rsid w:val="0045540B"/>
    <w:rsid w:val="00455762"/>
    <w:rsid w:val="00470E5F"/>
    <w:rsid w:val="0047437F"/>
    <w:rsid w:val="0047588C"/>
    <w:rsid w:val="00480512"/>
    <w:rsid w:val="00480ECB"/>
    <w:rsid w:val="00482675"/>
    <w:rsid w:val="00485D63"/>
    <w:rsid w:val="004922F7"/>
    <w:rsid w:val="00494EF3"/>
    <w:rsid w:val="0049740F"/>
    <w:rsid w:val="004A0D86"/>
    <w:rsid w:val="004B0FA1"/>
    <w:rsid w:val="004B509C"/>
    <w:rsid w:val="004B5FD3"/>
    <w:rsid w:val="004B7AD6"/>
    <w:rsid w:val="004C07F2"/>
    <w:rsid w:val="004C2063"/>
    <w:rsid w:val="004C5C08"/>
    <w:rsid w:val="004D60A8"/>
    <w:rsid w:val="004D743A"/>
    <w:rsid w:val="004E09E0"/>
    <w:rsid w:val="004E53D9"/>
    <w:rsid w:val="004E5807"/>
    <w:rsid w:val="004E648A"/>
    <w:rsid w:val="004E6D31"/>
    <w:rsid w:val="004F36CE"/>
    <w:rsid w:val="005003F9"/>
    <w:rsid w:val="0050627D"/>
    <w:rsid w:val="005066F0"/>
    <w:rsid w:val="005125C8"/>
    <w:rsid w:val="005128D4"/>
    <w:rsid w:val="005151FE"/>
    <w:rsid w:val="0051553C"/>
    <w:rsid w:val="00521ECB"/>
    <w:rsid w:val="0052591E"/>
    <w:rsid w:val="00526744"/>
    <w:rsid w:val="00531769"/>
    <w:rsid w:val="005340D2"/>
    <w:rsid w:val="0053503A"/>
    <w:rsid w:val="00535595"/>
    <w:rsid w:val="005360B4"/>
    <w:rsid w:val="00537157"/>
    <w:rsid w:val="005408EC"/>
    <w:rsid w:val="00540BAF"/>
    <w:rsid w:val="00541A56"/>
    <w:rsid w:val="00554F40"/>
    <w:rsid w:val="0055602D"/>
    <w:rsid w:val="00557439"/>
    <w:rsid w:val="00562065"/>
    <w:rsid w:val="00566A68"/>
    <w:rsid w:val="00567F94"/>
    <w:rsid w:val="00572FAA"/>
    <w:rsid w:val="005750F7"/>
    <w:rsid w:val="00576EC0"/>
    <w:rsid w:val="00581F1F"/>
    <w:rsid w:val="00583D1A"/>
    <w:rsid w:val="00583F49"/>
    <w:rsid w:val="00585A5F"/>
    <w:rsid w:val="00586AB9"/>
    <w:rsid w:val="00587193"/>
    <w:rsid w:val="005876A9"/>
    <w:rsid w:val="0059518A"/>
    <w:rsid w:val="00596EE9"/>
    <w:rsid w:val="005A09DE"/>
    <w:rsid w:val="005A0A09"/>
    <w:rsid w:val="005A1D30"/>
    <w:rsid w:val="005A2434"/>
    <w:rsid w:val="005A4F32"/>
    <w:rsid w:val="005A767A"/>
    <w:rsid w:val="005A7D09"/>
    <w:rsid w:val="005B18AD"/>
    <w:rsid w:val="005B41AA"/>
    <w:rsid w:val="005C1B5A"/>
    <w:rsid w:val="005C7344"/>
    <w:rsid w:val="005D0ED3"/>
    <w:rsid w:val="005D76F4"/>
    <w:rsid w:val="005E57BE"/>
    <w:rsid w:val="005E700B"/>
    <w:rsid w:val="005F1903"/>
    <w:rsid w:val="005F24E1"/>
    <w:rsid w:val="005F3E27"/>
    <w:rsid w:val="005F66D7"/>
    <w:rsid w:val="00601052"/>
    <w:rsid w:val="006041EA"/>
    <w:rsid w:val="0060566D"/>
    <w:rsid w:val="00610503"/>
    <w:rsid w:val="00610C73"/>
    <w:rsid w:val="00612045"/>
    <w:rsid w:val="00612B5D"/>
    <w:rsid w:val="006168E4"/>
    <w:rsid w:val="00620539"/>
    <w:rsid w:val="00624F4A"/>
    <w:rsid w:val="006275D0"/>
    <w:rsid w:val="00630FA9"/>
    <w:rsid w:val="00631737"/>
    <w:rsid w:val="006329A9"/>
    <w:rsid w:val="006334B7"/>
    <w:rsid w:val="00635EFA"/>
    <w:rsid w:val="006361C0"/>
    <w:rsid w:val="00641F1B"/>
    <w:rsid w:val="00642BEE"/>
    <w:rsid w:val="00643A8A"/>
    <w:rsid w:val="00643FF9"/>
    <w:rsid w:val="006450D7"/>
    <w:rsid w:val="006475E0"/>
    <w:rsid w:val="006564D6"/>
    <w:rsid w:val="00656638"/>
    <w:rsid w:val="00661BAC"/>
    <w:rsid w:val="00667317"/>
    <w:rsid w:val="006718D1"/>
    <w:rsid w:val="00674E7B"/>
    <w:rsid w:val="00676BF6"/>
    <w:rsid w:val="00677D8C"/>
    <w:rsid w:val="00684FD7"/>
    <w:rsid w:val="00686D24"/>
    <w:rsid w:val="00690918"/>
    <w:rsid w:val="006941AA"/>
    <w:rsid w:val="00695A68"/>
    <w:rsid w:val="00696DC1"/>
    <w:rsid w:val="006A09F0"/>
    <w:rsid w:val="006A3C52"/>
    <w:rsid w:val="006B30B1"/>
    <w:rsid w:val="006B4833"/>
    <w:rsid w:val="006B48D0"/>
    <w:rsid w:val="006B6A94"/>
    <w:rsid w:val="006B6F42"/>
    <w:rsid w:val="006C2137"/>
    <w:rsid w:val="006C4A11"/>
    <w:rsid w:val="006C4EA0"/>
    <w:rsid w:val="006C54A3"/>
    <w:rsid w:val="006D42C5"/>
    <w:rsid w:val="006E06CD"/>
    <w:rsid w:val="006E17B5"/>
    <w:rsid w:val="006E3DDF"/>
    <w:rsid w:val="006E56D0"/>
    <w:rsid w:val="006E7BB5"/>
    <w:rsid w:val="006F34CC"/>
    <w:rsid w:val="006F3A08"/>
    <w:rsid w:val="0070231F"/>
    <w:rsid w:val="0070464E"/>
    <w:rsid w:val="00704ACC"/>
    <w:rsid w:val="00713152"/>
    <w:rsid w:val="0071413B"/>
    <w:rsid w:val="0071688D"/>
    <w:rsid w:val="00717BF9"/>
    <w:rsid w:val="00723F47"/>
    <w:rsid w:val="00724396"/>
    <w:rsid w:val="00724822"/>
    <w:rsid w:val="00724C8A"/>
    <w:rsid w:val="00727BBF"/>
    <w:rsid w:val="0073297A"/>
    <w:rsid w:val="00733E59"/>
    <w:rsid w:val="007361B4"/>
    <w:rsid w:val="007375D5"/>
    <w:rsid w:val="00737F11"/>
    <w:rsid w:val="0074155B"/>
    <w:rsid w:val="007438C1"/>
    <w:rsid w:val="00745F3D"/>
    <w:rsid w:val="00753226"/>
    <w:rsid w:val="00755058"/>
    <w:rsid w:val="007566C3"/>
    <w:rsid w:val="007574AC"/>
    <w:rsid w:val="007616E1"/>
    <w:rsid w:val="00762DB4"/>
    <w:rsid w:val="00763D29"/>
    <w:rsid w:val="00771AAA"/>
    <w:rsid w:val="007804EE"/>
    <w:rsid w:val="00784191"/>
    <w:rsid w:val="00786139"/>
    <w:rsid w:val="00787EFE"/>
    <w:rsid w:val="00797290"/>
    <w:rsid w:val="007A124D"/>
    <w:rsid w:val="007A1641"/>
    <w:rsid w:val="007A2968"/>
    <w:rsid w:val="007B0339"/>
    <w:rsid w:val="007B0FA5"/>
    <w:rsid w:val="007B3799"/>
    <w:rsid w:val="007B3BD2"/>
    <w:rsid w:val="007B4B28"/>
    <w:rsid w:val="007B5465"/>
    <w:rsid w:val="007B71AE"/>
    <w:rsid w:val="007B73C0"/>
    <w:rsid w:val="007C139E"/>
    <w:rsid w:val="007C1B94"/>
    <w:rsid w:val="007C282B"/>
    <w:rsid w:val="007C6232"/>
    <w:rsid w:val="007E302D"/>
    <w:rsid w:val="007E3484"/>
    <w:rsid w:val="007E4C1B"/>
    <w:rsid w:val="007E6AF3"/>
    <w:rsid w:val="007F6FD2"/>
    <w:rsid w:val="0080070B"/>
    <w:rsid w:val="008017CD"/>
    <w:rsid w:val="00804927"/>
    <w:rsid w:val="0081018E"/>
    <w:rsid w:val="00810F8D"/>
    <w:rsid w:val="0081304D"/>
    <w:rsid w:val="008165EB"/>
    <w:rsid w:val="008225F5"/>
    <w:rsid w:val="00826419"/>
    <w:rsid w:val="00832063"/>
    <w:rsid w:val="00834885"/>
    <w:rsid w:val="0083672D"/>
    <w:rsid w:val="00841A67"/>
    <w:rsid w:val="00841C24"/>
    <w:rsid w:val="0084222F"/>
    <w:rsid w:val="008477FA"/>
    <w:rsid w:val="00851AF1"/>
    <w:rsid w:val="00852799"/>
    <w:rsid w:val="00860381"/>
    <w:rsid w:val="0086108A"/>
    <w:rsid w:val="0086284A"/>
    <w:rsid w:val="00865F1B"/>
    <w:rsid w:val="00866DB1"/>
    <w:rsid w:val="0087294D"/>
    <w:rsid w:val="00872E7F"/>
    <w:rsid w:val="00875B9A"/>
    <w:rsid w:val="00877719"/>
    <w:rsid w:val="00881411"/>
    <w:rsid w:val="00881865"/>
    <w:rsid w:val="00886BB0"/>
    <w:rsid w:val="0089184D"/>
    <w:rsid w:val="008936DF"/>
    <w:rsid w:val="0089724A"/>
    <w:rsid w:val="008A0823"/>
    <w:rsid w:val="008A1817"/>
    <w:rsid w:val="008A6CDC"/>
    <w:rsid w:val="008A6E7A"/>
    <w:rsid w:val="008B466E"/>
    <w:rsid w:val="008B4D09"/>
    <w:rsid w:val="008B5F92"/>
    <w:rsid w:val="008C038F"/>
    <w:rsid w:val="008C0BD3"/>
    <w:rsid w:val="008C240A"/>
    <w:rsid w:val="008C51A2"/>
    <w:rsid w:val="008C6580"/>
    <w:rsid w:val="008D03B6"/>
    <w:rsid w:val="008D412C"/>
    <w:rsid w:val="008E028D"/>
    <w:rsid w:val="008E1848"/>
    <w:rsid w:val="008F1088"/>
    <w:rsid w:val="008F323D"/>
    <w:rsid w:val="009001AA"/>
    <w:rsid w:val="009006CF"/>
    <w:rsid w:val="009013FB"/>
    <w:rsid w:val="00902CF5"/>
    <w:rsid w:val="00904CDB"/>
    <w:rsid w:val="00907F4F"/>
    <w:rsid w:val="0091406C"/>
    <w:rsid w:val="00923329"/>
    <w:rsid w:val="0093004A"/>
    <w:rsid w:val="009323C8"/>
    <w:rsid w:val="0093262C"/>
    <w:rsid w:val="0093786F"/>
    <w:rsid w:val="00944E8D"/>
    <w:rsid w:val="00947726"/>
    <w:rsid w:val="0095079F"/>
    <w:rsid w:val="0095790E"/>
    <w:rsid w:val="00962AC1"/>
    <w:rsid w:val="00970C46"/>
    <w:rsid w:val="00972D20"/>
    <w:rsid w:val="0097586D"/>
    <w:rsid w:val="009815B3"/>
    <w:rsid w:val="00984FBA"/>
    <w:rsid w:val="00991B94"/>
    <w:rsid w:val="00993FD4"/>
    <w:rsid w:val="00996343"/>
    <w:rsid w:val="00997C5A"/>
    <w:rsid w:val="009A094D"/>
    <w:rsid w:val="009A3FD9"/>
    <w:rsid w:val="009A4AEA"/>
    <w:rsid w:val="009A6FD9"/>
    <w:rsid w:val="009B0A36"/>
    <w:rsid w:val="009B26D2"/>
    <w:rsid w:val="009B7B35"/>
    <w:rsid w:val="009C08A5"/>
    <w:rsid w:val="009C1A65"/>
    <w:rsid w:val="009C297F"/>
    <w:rsid w:val="009C67A1"/>
    <w:rsid w:val="009C7DEC"/>
    <w:rsid w:val="009D4720"/>
    <w:rsid w:val="009D524A"/>
    <w:rsid w:val="009E3BE4"/>
    <w:rsid w:val="009E63E1"/>
    <w:rsid w:val="009E72AE"/>
    <w:rsid w:val="009F1E21"/>
    <w:rsid w:val="009F5646"/>
    <w:rsid w:val="009F5999"/>
    <w:rsid w:val="009F6A5D"/>
    <w:rsid w:val="009F75B5"/>
    <w:rsid w:val="00A03B3A"/>
    <w:rsid w:val="00A06042"/>
    <w:rsid w:val="00A06AF6"/>
    <w:rsid w:val="00A06C1B"/>
    <w:rsid w:val="00A06E9D"/>
    <w:rsid w:val="00A105B2"/>
    <w:rsid w:val="00A1095A"/>
    <w:rsid w:val="00A263FE"/>
    <w:rsid w:val="00A31AEC"/>
    <w:rsid w:val="00A36F51"/>
    <w:rsid w:val="00A40F38"/>
    <w:rsid w:val="00A41915"/>
    <w:rsid w:val="00A44CFF"/>
    <w:rsid w:val="00A4518E"/>
    <w:rsid w:val="00A479E7"/>
    <w:rsid w:val="00A50D81"/>
    <w:rsid w:val="00A52F5A"/>
    <w:rsid w:val="00A53754"/>
    <w:rsid w:val="00A573E6"/>
    <w:rsid w:val="00A62633"/>
    <w:rsid w:val="00A6405E"/>
    <w:rsid w:val="00A652A4"/>
    <w:rsid w:val="00A716F0"/>
    <w:rsid w:val="00A72910"/>
    <w:rsid w:val="00A80820"/>
    <w:rsid w:val="00A81957"/>
    <w:rsid w:val="00A91D95"/>
    <w:rsid w:val="00A925B8"/>
    <w:rsid w:val="00A94DF5"/>
    <w:rsid w:val="00A9560A"/>
    <w:rsid w:val="00AB3960"/>
    <w:rsid w:val="00AD0743"/>
    <w:rsid w:val="00AD0852"/>
    <w:rsid w:val="00AD2664"/>
    <w:rsid w:val="00AD3039"/>
    <w:rsid w:val="00AE10D8"/>
    <w:rsid w:val="00AE34E0"/>
    <w:rsid w:val="00AE54D3"/>
    <w:rsid w:val="00AE606D"/>
    <w:rsid w:val="00AF3C0D"/>
    <w:rsid w:val="00AF6D24"/>
    <w:rsid w:val="00B0079F"/>
    <w:rsid w:val="00B05790"/>
    <w:rsid w:val="00B14555"/>
    <w:rsid w:val="00B17E31"/>
    <w:rsid w:val="00B24AD6"/>
    <w:rsid w:val="00B27119"/>
    <w:rsid w:val="00B315FF"/>
    <w:rsid w:val="00B33009"/>
    <w:rsid w:val="00B33351"/>
    <w:rsid w:val="00B345A3"/>
    <w:rsid w:val="00B35896"/>
    <w:rsid w:val="00B37033"/>
    <w:rsid w:val="00B40DD6"/>
    <w:rsid w:val="00B462CE"/>
    <w:rsid w:val="00B47E72"/>
    <w:rsid w:val="00B552AC"/>
    <w:rsid w:val="00B56EE0"/>
    <w:rsid w:val="00B63701"/>
    <w:rsid w:val="00B6414C"/>
    <w:rsid w:val="00B64684"/>
    <w:rsid w:val="00B75F65"/>
    <w:rsid w:val="00B95414"/>
    <w:rsid w:val="00B95EE1"/>
    <w:rsid w:val="00B960E3"/>
    <w:rsid w:val="00B979B6"/>
    <w:rsid w:val="00BA1942"/>
    <w:rsid w:val="00BA425A"/>
    <w:rsid w:val="00BA5439"/>
    <w:rsid w:val="00BA69E4"/>
    <w:rsid w:val="00BB2219"/>
    <w:rsid w:val="00BB2A8E"/>
    <w:rsid w:val="00BB336F"/>
    <w:rsid w:val="00BB3610"/>
    <w:rsid w:val="00BC08BB"/>
    <w:rsid w:val="00BC38AB"/>
    <w:rsid w:val="00BC3CAE"/>
    <w:rsid w:val="00BC5A04"/>
    <w:rsid w:val="00BD2CEF"/>
    <w:rsid w:val="00BD7FB4"/>
    <w:rsid w:val="00BE511B"/>
    <w:rsid w:val="00BF018D"/>
    <w:rsid w:val="00BF0563"/>
    <w:rsid w:val="00BF562B"/>
    <w:rsid w:val="00C00DB7"/>
    <w:rsid w:val="00C066E3"/>
    <w:rsid w:val="00C10EBB"/>
    <w:rsid w:val="00C16816"/>
    <w:rsid w:val="00C17AB8"/>
    <w:rsid w:val="00C2384C"/>
    <w:rsid w:val="00C23BE8"/>
    <w:rsid w:val="00C2468F"/>
    <w:rsid w:val="00C314F0"/>
    <w:rsid w:val="00C32F22"/>
    <w:rsid w:val="00C35214"/>
    <w:rsid w:val="00C37F30"/>
    <w:rsid w:val="00C4296F"/>
    <w:rsid w:val="00C43B6F"/>
    <w:rsid w:val="00C44148"/>
    <w:rsid w:val="00C468EA"/>
    <w:rsid w:val="00C52052"/>
    <w:rsid w:val="00C52D7C"/>
    <w:rsid w:val="00C5699E"/>
    <w:rsid w:val="00C5783A"/>
    <w:rsid w:val="00C57BC6"/>
    <w:rsid w:val="00C6001B"/>
    <w:rsid w:val="00C60548"/>
    <w:rsid w:val="00C61A19"/>
    <w:rsid w:val="00C701FC"/>
    <w:rsid w:val="00C70F0E"/>
    <w:rsid w:val="00C71A5C"/>
    <w:rsid w:val="00C72941"/>
    <w:rsid w:val="00C7539B"/>
    <w:rsid w:val="00C768F5"/>
    <w:rsid w:val="00C76B5D"/>
    <w:rsid w:val="00C76E09"/>
    <w:rsid w:val="00C76EB4"/>
    <w:rsid w:val="00C774EE"/>
    <w:rsid w:val="00C8157D"/>
    <w:rsid w:val="00C82C1A"/>
    <w:rsid w:val="00C83155"/>
    <w:rsid w:val="00C83D6D"/>
    <w:rsid w:val="00C85F7D"/>
    <w:rsid w:val="00C9144E"/>
    <w:rsid w:val="00C92524"/>
    <w:rsid w:val="00C952FF"/>
    <w:rsid w:val="00C96B5A"/>
    <w:rsid w:val="00CA28C7"/>
    <w:rsid w:val="00CA33E3"/>
    <w:rsid w:val="00CA4CAF"/>
    <w:rsid w:val="00CB1D31"/>
    <w:rsid w:val="00CB20AB"/>
    <w:rsid w:val="00CC1CE0"/>
    <w:rsid w:val="00CC2CCC"/>
    <w:rsid w:val="00CC33E6"/>
    <w:rsid w:val="00CC58EF"/>
    <w:rsid w:val="00CC599D"/>
    <w:rsid w:val="00CC760D"/>
    <w:rsid w:val="00CD4D55"/>
    <w:rsid w:val="00CD4F4A"/>
    <w:rsid w:val="00CD58B7"/>
    <w:rsid w:val="00CF34A8"/>
    <w:rsid w:val="00CF3670"/>
    <w:rsid w:val="00D0027D"/>
    <w:rsid w:val="00D04A95"/>
    <w:rsid w:val="00D06881"/>
    <w:rsid w:val="00D07C08"/>
    <w:rsid w:val="00D132DD"/>
    <w:rsid w:val="00D1449C"/>
    <w:rsid w:val="00D210E8"/>
    <w:rsid w:val="00D2214A"/>
    <w:rsid w:val="00D24EEA"/>
    <w:rsid w:val="00D27776"/>
    <w:rsid w:val="00D27B39"/>
    <w:rsid w:val="00D30590"/>
    <w:rsid w:val="00D3251A"/>
    <w:rsid w:val="00D32AAE"/>
    <w:rsid w:val="00D35D3C"/>
    <w:rsid w:val="00D4418B"/>
    <w:rsid w:val="00D4482D"/>
    <w:rsid w:val="00D448E3"/>
    <w:rsid w:val="00D4720B"/>
    <w:rsid w:val="00D518C0"/>
    <w:rsid w:val="00D54A16"/>
    <w:rsid w:val="00D62FEB"/>
    <w:rsid w:val="00D64AAE"/>
    <w:rsid w:val="00D64DA2"/>
    <w:rsid w:val="00D70E0C"/>
    <w:rsid w:val="00D7145A"/>
    <w:rsid w:val="00D73708"/>
    <w:rsid w:val="00D7624B"/>
    <w:rsid w:val="00D76700"/>
    <w:rsid w:val="00D773E4"/>
    <w:rsid w:val="00D81BD1"/>
    <w:rsid w:val="00D836EE"/>
    <w:rsid w:val="00D84418"/>
    <w:rsid w:val="00D86AAB"/>
    <w:rsid w:val="00D9008D"/>
    <w:rsid w:val="00D90C8D"/>
    <w:rsid w:val="00D92317"/>
    <w:rsid w:val="00DA00E7"/>
    <w:rsid w:val="00DA3B60"/>
    <w:rsid w:val="00DB022D"/>
    <w:rsid w:val="00DB6572"/>
    <w:rsid w:val="00DB7078"/>
    <w:rsid w:val="00DB7AE0"/>
    <w:rsid w:val="00DB7E86"/>
    <w:rsid w:val="00DC0639"/>
    <w:rsid w:val="00DC395B"/>
    <w:rsid w:val="00DC40C7"/>
    <w:rsid w:val="00DC506C"/>
    <w:rsid w:val="00DC70DB"/>
    <w:rsid w:val="00DD4AD5"/>
    <w:rsid w:val="00DF1146"/>
    <w:rsid w:val="00DF416D"/>
    <w:rsid w:val="00DF5864"/>
    <w:rsid w:val="00E033F5"/>
    <w:rsid w:val="00E03EF0"/>
    <w:rsid w:val="00E04377"/>
    <w:rsid w:val="00E15641"/>
    <w:rsid w:val="00E15A6A"/>
    <w:rsid w:val="00E23C1F"/>
    <w:rsid w:val="00E24E5C"/>
    <w:rsid w:val="00E30BC7"/>
    <w:rsid w:val="00E31936"/>
    <w:rsid w:val="00E33953"/>
    <w:rsid w:val="00E4462F"/>
    <w:rsid w:val="00E46315"/>
    <w:rsid w:val="00E50394"/>
    <w:rsid w:val="00E5442E"/>
    <w:rsid w:val="00E56CC2"/>
    <w:rsid w:val="00E63019"/>
    <w:rsid w:val="00E64E49"/>
    <w:rsid w:val="00E66692"/>
    <w:rsid w:val="00E66F39"/>
    <w:rsid w:val="00E67053"/>
    <w:rsid w:val="00E704A5"/>
    <w:rsid w:val="00E74B11"/>
    <w:rsid w:val="00E816F2"/>
    <w:rsid w:val="00E83FC0"/>
    <w:rsid w:val="00E85EDA"/>
    <w:rsid w:val="00E92CBB"/>
    <w:rsid w:val="00E93084"/>
    <w:rsid w:val="00E945A4"/>
    <w:rsid w:val="00E962CB"/>
    <w:rsid w:val="00EA0545"/>
    <w:rsid w:val="00EA5846"/>
    <w:rsid w:val="00EA721A"/>
    <w:rsid w:val="00EB3858"/>
    <w:rsid w:val="00EB6689"/>
    <w:rsid w:val="00EB7978"/>
    <w:rsid w:val="00EC3471"/>
    <w:rsid w:val="00ED14DF"/>
    <w:rsid w:val="00ED332F"/>
    <w:rsid w:val="00ED668D"/>
    <w:rsid w:val="00ED7B0E"/>
    <w:rsid w:val="00EF073A"/>
    <w:rsid w:val="00EF18EE"/>
    <w:rsid w:val="00EF498D"/>
    <w:rsid w:val="00EF5FFE"/>
    <w:rsid w:val="00F02BB9"/>
    <w:rsid w:val="00F05AC1"/>
    <w:rsid w:val="00F06C49"/>
    <w:rsid w:val="00F130A0"/>
    <w:rsid w:val="00F13860"/>
    <w:rsid w:val="00F146F8"/>
    <w:rsid w:val="00F21200"/>
    <w:rsid w:val="00F21618"/>
    <w:rsid w:val="00F240F1"/>
    <w:rsid w:val="00F25A84"/>
    <w:rsid w:val="00F266BB"/>
    <w:rsid w:val="00F30687"/>
    <w:rsid w:val="00F40A6C"/>
    <w:rsid w:val="00F40C00"/>
    <w:rsid w:val="00F420C0"/>
    <w:rsid w:val="00F45EE4"/>
    <w:rsid w:val="00F5359A"/>
    <w:rsid w:val="00F5418E"/>
    <w:rsid w:val="00F54820"/>
    <w:rsid w:val="00F55FE4"/>
    <w:rsid w:val="00F57AD4"/>
    <w:rsid w:val="00F6041A"/>
    <w:rsid w:val="00F64505"/>
    <w:rsid w:val="00F71730"/>
    <w:rsid w:val="00F72C03"/>
    <w:rsid w:val="00F74793"/>
    <w:rsid w:val="00F7578E"/>
    <w:rsid w:val="00F76ED2"/>
    <w:rsid w:val="00F83AEF"/>
    <w:rsid w:val="00F83E3D"/>
    <w:rsid w:val="00F84B33"/>
    <w:rsid w:val="00F9313E"/>
    <w:rsid w:val="00F93478"/>
    <w:rsid w:val="00F94FFD"/>
    <w:rsid w:val="00F95649"/>
    <w:rsid w:val="00F96B6B"/>
    <w:rsid w:val="00F971B7"/>
    <w:rsid w:val="00FA19F8"/>
    <w:rsid w:val="00FA7CFA"/>
    <w:rsid w:val="00FB4A3A"/>
    <w:rsid w:val="00FB7A4F"/>
    <w:rsid w:val="00FC7A82"/>
    <w:rsid w:val="00FD4CB2"/>
    <w:rsid w:val="00FD572B"/>
    <w:rsid w:val="00FE5F83"/>
    <w:rsid w:val="00FE7F83"/>
    <w:rsid w:val="00FF1B30"/>
    <w:rsid w:val="00FF2174"/>
    <w:rsid w:val="00FF462E"/>
    <w:rsid w:val="00FF4873"/>
    <w:rsid w:val="00FF540A"/>
    <w:rsid w:val="00FF5A3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semiHidden/>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236602"/>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CB20AB"/>
    <w:pPr>
      <w:spacing w:after="0" w:line="240" w:lineRule="auto"/>
      <w:jc w:val="both"/>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CB20AB"/>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styleId="UnresolvedMention">
    <w:name w:val="Unresolved Mention"/>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styleId="NormalWeb">
    <w:name w:val="Normal (Web)"/>
    <w:basedOn w:val="Normal"/>
    <w:semiHidden/>
    <w:rsid w:val="001C380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312103147">
          <w:marLeft w:val="0"/>
          <w:marRight w:val="0"/>
          <w:marTop w:val="0"/>
          <w:marBottom w:val="0"/>
          <w:divBdr>
            <w:top w:val="none" w:sz="0" w:space="0" w:color="auto"/>
            <w:left w:val="none" w:sz="0" w:space="0" w:color="auto"/>
            <w:bottom w:val="none" w:sz="0" w:space="0" w:color="auto"/>
            <w:right w:val="none" w:sz="0" w:space="0" w:color="auto"/>
          </w:divBdr>
          <w:divsChild>
            <w:div w:id="1110509320">
              <w:marLeft w:val="0"/>
              <w:marRight w:val="0"/>
              <w:marTop w:val="0"/>
              <w:marBottom w:val="0"/>
              <w:divBdr>
                <w:top w:val="none" w:sz="0" w:space="0" w:color="auto"/>
                <w:left w:val="none" w:sz="0" w:space="0" w:color="auto"/>
                <w:bottom w:val="none" w:sz="0" w:space="0" w:color="auto"/>
                <w:right w:val="none" w:sz="0" w:space="0" w:color="auto"/>
              </w:divBdr>
              <w:divsChild>
                <w:div w:id="7888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9502">
      <w:bodyDiv w:val="1"/>
      <w:marLeft w:val="0"/>
      <w:marRight w:val="0"/>
      <w:marTop w:val="0"/>
      <w:marBottom w:val="0"/>
      <w:divBdr>
        <w:top w:val="none" w:sz="0" w:space="0" w:color="auto"/>
        <w:left w:val="none" w:sz="0" w:space="0" w:color="auto"/>
        <w:bottom w:val="none" w:sz="0" w:space="0" w:color="auto"/>
        <w:right w:val="none" w:sz="0" w:space="0" w:color="auto"/>
      </w:divBdr>
      <w:divsChild>
        <w:div w:id="795835833">
          <w:marLeft w:val="0"/>
          <w:marRight w:val="0"/>
          <w:marTop w:val="0"/>
          <w:marBottom w:val="0"/>
          <w:divBdr>
            <w:top w:val="none" w:sz="0" w:space="0" w:color="auto"/>
            <w:left w:val="none" w:sz="0" w:space="0" w:color="auto"/>
            <w:bottom w:val="none" w:sz="0" w:space="0" w:color="auto"/>
            <w:right w:val="none" w:sz="0" w:space="0" w:color="auto"/>
          </w:divBdr>
          <w:divsChild>
            <w:div w:id="760419627">
              <w:marLeft w:val="0"/>
              <w:marRight w:val="0"/>
              <w:marTop w:val="0"/>
              <w:marBottom w:val="0"/>
              <w:divBdr>
                <w:top w:val="none" w:sz="0" w:space="0" w:color="auto"/>
                <w:left w:val="none" w:sz="0" w:space="0" w:color="auto"/>
                <w:bottom w:val="none" w:sz="0" w:space="0" w:color="auto"/>
                <w:right w:val="none" w:sz="0" w:space="0" w:color="auto"/>
              </w:divBdr>
              <w:divsChild>
                <w:div w:id="21143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ozo.news/75464/more-politicians-with-a-disability-are-needed-crpd-commissioner/" TargetMode="External"/><Relationship Id="rId13" Type="http://schemas.openxmlformats.org/officeDocument/2006/relationships/hyperlink" Target="https://www.osce.org/odihr/elections/malta/513907" TargetMode="External"/><Relationship Id="rId18" Type="http://schemas.openxmlformats.org/officeDocument/2006/relationships/hyperlink" Target="https://www.youtube.com/watch?v=1QmSslfbMtg" TargetMode="External"/><Relationship Id="rId26" Type="http://schemas.openxmlformats.org/officeDocument/2006/relationships/hyperlink" Target="https://legislation.mt/eli/sl/350.17/eng" TargetMode="External"/><Relationship Id="rId3" Type="http://schemas.openxmlformats.org/officeDocument/2006/relationships/hyperlink" Target="https://legislation.mt/eli/cap/354/eng" TargetMode="External"/><Relationship Id="rId21" Type="http://schemas.openxmlformats.org/officeDocument/2006/relationships/hyperlink" Target="https://assets.nationbuilder.com/pn/pages/3115/attachments/original/1645723497/Partit_Nazzjonalista_Viz%CC%87joni_G%C4%A7al_Malta_2030.pdf?1645723497" TargetMode="External"/><Relationship Id="rId7" Type="http://schemas.openxmlformats.org/officeDocument/2006/relationships/hyperlink" Target="https://timesofmalta.com/articles/view/watch-our-disability-is-partly-to-blame-for-not-getting-elected-say.953089" TargetMode="External"/><Relationship Id="rId12" Type="http://schemas.openxmlformats.org/officeDocument/2006/relationships/hyperlink" Target="https://www.gov.mt/en/publicconsultation/Pages/default.aspx" TargetMode="External"/><Relationship Id="rId17" Type="http://schemas.openxmlformats.org/officeDocument/2006/relationships/hyperlink" Target="https://www.youtube.com/@electoralcommissionmalta522/videos" TargetMode="External"/><Relationship Id="rId25" Type="http://schemas.openxmlformats.org/officeDocument/2006/relationships/hyperlink" Target="https://www.mca.org.mt/sites/default/files/pageattachments/WADProcess.pdf" TargetMode="External"/><Relationship Id="rId2" Type="http://schemas.openxmlformats.org/officeDocument/2006/relationships/hyperlink" Target="https://legislation.mt/eli/const/eng" TargetMode="External"/><Relationship Id="rId16" Type="http://schemas.openxmlformats.org/officeDocument/2006/relationships/hyperlink" Target="https://electoral.gov.mt" TargetMode="External"/><Relationship Id="rId20" Type="http://schemas.openxmlformats.org/officeDocument/2006/relationships/hyperlink" Target="https://www.youtube.com/@Ba-maltaOrg/playlists" TargetMode="External"/><Relationship Id="rId29" Type="http://schemas.openxmlformats.org/officeDocument/2006/relationships/hyperlink" Target="https://www.crpd.org.mt/wp-content/uploads/2020/11/Access-for-all-2011.pdf" TargetMode="External"/><Relationship Id="rId1" Type="http://schemas.openxmlformats.org/officeDocument/2006/relationships/hyperlink" Target="https://inclusion.gov.mt/wp-content/uploads/2023/04/Disability-Doc-ENG-SEP-21.pdf" TargetMode="External"/><Relationship Id="rId6" Type="http://schemas.openxmlformats.org/officeDocument/2006/relationships/hyperlink" Target="https://ecourts.gov.mt/onlineservices" TargetMode="External"/><Relationship Id="rId11" Type="http://schemas.openxmlformats.org/officeDocument/2006/relationships/hyperlink" Target="https://legislation.mt/eli/sl/const.2/eng/pdf" TargetMode="External"/><Relationship Id="rId24" Type="http://schemas.openxmlformats.org/officeDocument/2006/relationships/hyperlink" Target="https://legislation.mt/eli/sl/418.3/eng" TargetMode="External"/><Relationship Id="rId32" Type="http://schemas.openxmlformats.org/officeDocument/2006/relationships/hyperlink" Target="https://www.osce.org/files/f/documents/8/7/522712.pdf" TargetMode="External"/><Relationship Id="rId5" Type="http://schemas.openxmlformats.org/officeDocument/2006/relationships/hyperlink" Target="https://electoral.gov.mt/Feedback" TargetMode="External"/><Relationship Id="rId15" Type="http://schemas.openxmlformats.org/officeDocument/2006/relationships/hyperlink" Target="https://electoral.gov.mt/Media/Default/Documents/GEElectionReport/GE_Election_Report.pdf" TargetMode="External"/><Relationship Id="rId23" Type="http://schemas.openxmlformats.org/officeDocument/2006/relationships/hyperlink" Target="https://adpd.mt/wp-content/uploads/2022/03/ADPD_Manifest-Elettorali-2022.pdf" TargetMode="External"/><Relationship Id="rId28" Type="http://schemas.openxmlformats.org/officeDocument/2006/relationships/hyperlink" Target="https://www.crpd.org.mt/wp-content/uploads/2021/09/3.-Circular-3-of-2010.pdf" TargetMode="External"/><Relationship Id="rId10" Type="http://schemas.openxmlformats.org/officeDocument/2006/relationships/hyperlink" Target="https://tvmnews.mt/en/news/10-people-with-a-disability-to-contest-local-council-and-mep-elections/" TargetMode="External"/><Relationship Id="rId19" Type="http://schemas.openxmlformats.org/officeDocument/2006/relationships/hyperlink" Target="https://www.youtube.com/@PartitNazzjonalistaMalta/videos" TargetMode="External"/><Relationship Id="rId31" Type="http://schemas.openxmlformats.org/officeDocument/2006/relationships/hyperlink" Target="https://inclusion.gov.mt/wp-content/uploads/2023/04/Disability-Doc-ENG-SEP-21.pdf" TargetMode="External"/><Relationship Id="rId4" Type="http://schemas.openxmlformats.org/officeDocument/2006/relationships/hyperlink" Target="https://www.osce.org/files/f/documents/8/7/522712.pdf" TargetMode="External"/><Relationship Id="rId9" Type="http://schemas.openxmlformats.org/officeDocument/2006/relationships/hyperlink" Target="https://www.independent.com.mt/articles/2019-05-13/local-news/120-people-with-disability-provided-full-time-employment-in-local-councils-6736208092" TargetMode="External"/><Relationship Id="rId14" Type="http://schemas.openxmlformats.org/officeDocument/2006/relationships/hyperlink" Target="https://electoral.gov.mt/Media/Default/Documents/EPElectionReport/EPE_Election_Report.pdf" TargetMode="External"/><Relationship Id="rId22" Type="http://schemas.openxmlformats.org/officeDocument/2006/relationships/hyperlink" Target="https://issuu.com/robertabelamt/docs/malta_flimkien_manifest_elettorali_2022?utm_medium=referral&amp;utm_source=partitlaburista.org" TargetMode="External"/><Relationship Id="rId27" Type="http://schemas.openxmlformats.org/officeDocument/2006/relationships/hyperlink" Target="https://legislation.mt/eli/sl/627.3/eng" TargetMode="External"/><Relationship Id="rId30" Type="http://schemas.openxmlformats.org/officeDocument/2006/relationships/hyperlink" Target="https://www.osce.org/odihr/elections/malta/513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2.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3.xml><?xml version="1.0" encoding="utf-8"?>
<EurolookProperties>
  <ProductCustomizationId>EC</ProductCustomizationId>
  <Created>
    <Version>10.0.42702.0</Version>
    <Date>2023-05-17T15:14:09</Date>
    <Language>EN</Language>
    <Note/>
  </Created>
  <Edited>
    <Version>10.0.42702.0</Version>
    <Date>2023-12-20T11:49:26</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Props1.xml><?xml version="1.0" encoding="utf-8"?>
<ds:datastoreItem xmlns:ds="http://schemas.openxmlformats.org/officeDocument/2006/customXml" ds:itemID="{BB331D43-972B-4D67-9598-33C3F123B32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F74A8373-12A3-492C-ADE9-9E742ED0C88D}">
  <ds:schemaRefs>
    <ds:schemaRef ds:uri="http://schemas.openxmlformats.org/officeDocument/2006/bibliography"/>
  </ds:schemaRefs>
</ds:datastoreItem>
</file>

<file path=customXml/itemProps5.xml><?xml version="1.0" encoding="utf-8"?>
<ds:datastoreItem xmlns:ds="http://schemas.openxmlformats.org/officeDocument/2006/customXml" ds:itemID="{925BFF32-4C3B-423D-BE8C-A831B166F6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3092</Words>
  <Characters>17627</Characters>
  <Application>Microsoft Office Word</Application>
  <DocSecurity>0</DocSecurity>
  <PresentationFormat>Microsoft Word 14.0</PresentationFormat>
  <Lines>146</Lines>
  <Paragraphs>41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2024-05-30T08:28:00Z</dcterms:created>
  <dcterms:modified xsi:type="dcterms:W3CDTF">2024-05-30T08:28:00Z</dcterms:modified>
</cp:coreProperties>
</file>