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libri" w:eastAsia="Times New Roman" w:hAnsi="Calibri" w:cs="Times New Roman"/>
          <w:b w:val="0"/>
          <w:sz w:val="24"/>
          <w:szCs w:val="20"/>
          <w:lang w:eastAsia="en-GB" w:bidi="ar-SA"/>
        </w:rPr>
        <w:alias w:val="Cover Page"/>
        <w:tag w:val="t6wVQ5x8u4wxp1DJf4fqy5"/>
        <w:id w:val="-1138875436"/>
      </w:sdtPr>
      <w:sdtEndPr/>
      <w:sdtContent>
        <w:p w14:paraId="3A024E33" w14:textId="1D55603A" w:rsidR="00610C73" w:rsidRDefault="00610C73" w:rsidP="00AD737B">
          <w:pPr>
            <w:pStyle w:val="FRAHeading4Unnumbered"/>
          </w:pPr>
        </w:p>
        <w:p w14:paraId="057EBEB7" w14:textId="6DF825CF" w:rsidR="00610C73" w:rsidRPr="00236602" w:rsidRDefault="005C7344" w:rsidP="00C5699E">
          <w:pPr>
            <w:pStyle w:val="PublicationTitle"/>
            <w:spacing w:before="480" w:after="360"/>
            <w:jc w:val="right"/>
            <w:rPr>
              <w:color w:val="4472C4" w:themeColor="accent1"/>
              <w:sz w:val="56"/>
              <w:szCs w:val="18"/>
            </w:rPr>
          </w:pPr>
          <w:r w:rsidRPr="00236602">
            <w:rPr>
              <w:color w:val="4472C4" w:themeColor="accent1"/>
              <w:sz w:val="56"/>
              <w:szCs w:val="18"/>
            </w:rPr>
            <w:t xml:space="preserve">The right to political participation of persons with disabilities ahead of the 2024 European Parliament elections </w:t>
          </w:r>
        </w:p>
        <w:p w14:paraId="2283451C" w14:textId="41E0E859" w:rsidR="0089724A" w:rsidRPr="00236602" w:rsidRDefault="009D3C83" w:rsidP="008165EB">
          <w:pPr>
            <w:pStyle w:val="PublicationSubtitle"/>
            <w:spacing w:before="0"/>
            <w:jc w:val="right"/>
            <w:rPr>
              <w:color w:val="auto"/>
            </w:rPr>
          </w:pPr>
          <w:r>
            <w:rPr>
              <w:color w:val="auto"/>
            </w:rPr>
            <w:t>The Netherlands</w:t>
          </w:r>
        </w:p>
        <w:p w14:paraId="76B6EB03" w14:textId="77777777" w:rsidR="0089724A" w:rsidRPr="00236602" w:rsidRDefault="0089724A" w:rsidP="008165EB">
          <w:pPr>
            <w:pStyle w:val="PublicationSubtitle"/>
            <w:spacing w:before="0"/>
            <w:jc w:val="right"/>
            <w:rPr>
              <w:color w:val="auto"/>
            </w:rPr>
          </w:pPr>
        </w:p>
        <w:p w14:paraId="6A673131" w14:textId="3F034D96" w:rsidR="00610C73" w:rsidRPr="00236602" w:rsidRDefault="00CC2CCC" w:rsidP="00C5699E">
          <w:pPr>
            <w:pStyle w:val="PublicationSubtitle"/>
            <w:spacing w:before="0"/>
            <w:jc w:val="right"/>
            <w:rPr>
              <w:color w:val="auto"/>
            </w:rPr>
          </w:pPr>
          <w:r>
            <w:rPr>
              <w:color w:val="auto"/>
            </w:rPr>
            <w:t>January 2024</w:t>
          </w:r>
        </w:p>
        <w:p w14:paraId="2EAF2CC3" w14:textId="47D942E6" w:rsidR="008165EB" w:rsidRPr="00236602" w:rsidRDefault="008165EB" w:rsidP="008165EB">
          <w:pPr>
            <w:pStyle w:val="PublicationSubsubtitle"/>
            <w:spacing w:after="0"/>
            <w:jc w:val="right"/>
            <w:rPr>
              <w:color w:val="auto"/>
            </w:rPr>
          </w:pPr>
          <w:r w:rsidRPr="00236602">
            <w:rPr>
              <w:color w:val="auto"/>
            </w:rPr>
            <w:t xml:space="preserve"> </w:t>
          </w:r>
        </w:p>
        <w:p w14:paraId="505EBD70" w14:textId="6770E79D" w:rsidR="008165EB" w:rsidRPr="00236602" w:rsidRDefault="008165EB" w:rsidP="008165EB">
          <w:pPr>
            <w:pStyle w:val="PublicationSubsubtitle"/>
            <w:spacing w:after="0"/>
            <w:jc w:val="right"/>
            <w:rPr>
              <w:color w:val="auto"/>
            </w:rPr>
          </w:pPr>
          <w:r w:rsidRPr="00236602">
            <w:rPr>
              <w:color w:val="auto"/>
            </w:rPr>
            <w:t>Contractor:</w:t>
          </w:r>
          <w:r w:rsidR="00BE4E2F">
            <w:rPr>
              <w:color w:val="auto"/>
            </w:rPr>
            <w:t xml:space="preserve"> Art.1, </w:t>
          </w:r>
          <w:r w:rsidR="00A94DDC" w:rsidRPr="00BC2A00">
            <w:t>Dutch Knowledge Centre on</w:t>
          </w:r>
          <w:r w:rsidR="00A94DDC">
            <w:t xml:space="preserve"> Discrimination</w:t>
          </w:r>
        </w:p>
        <w:p w14:paraId="4FA623F4" w14:textId="3744402D" w:rsidR="008165EB" w:rsidRPr="00236602" w:rsidRDefault="008165EB" w:rsidP="00C5699E">
          <w:pPr>
            <w:pStyle w:val="PublicationSubsubtitle"/>
            <w:spacing w:after="0"/>
            <w:jc w:val="right"/>
            <w:rPr>
              <w:color w:val="auto"/>
            </w:rPr>
          </w:pPr>
          <w:r w:rsidRPr="00236602">
            <w:rPr>
              <w:color w:val="auto"/>
            </w:rPr>
            <w:t xml:space="preserve"> </w:t>
          </w:r>
        </w:p>
        <w:p w14:paraId="3DDE0548" w14:textId="3B689541" w:rsidR="008165EB" w:rsidRPr="001737B3" w:rsidRDefault="008165EB" w:rsidP="008165EB">
          <w:pPr>
            <w:pStyle w:val="PublicationSubsubtitle"/>
            <w:spacing w:after="0"/>
            <w:jc w:val="right"/>
            <w:rPr>
              <w:color w:val="auto"/>
              <w:lang w:val="nl-NL"/>
            </w:rPr>
          </w:pPr>
          <w:proofErr w:type="spellStart"/>
          <w:r w:rsidRPr="001737B3">
            <w:rPr>
              <w:color w:val="auto"/>
              <w:lang w:val="nl-NL"/>
            </w:rPr>
            <w:t>Authors</w:t>
          </w:r>
          <w:proofErr w:type="spellEnd"/>
          <w:r w:rsidRPr="001737B3">
            <w:rPr>
              <w:color w:val="auto"/>
              <w:lang w:val="nl-NL"/>
            </w:rPr>
            <w:t>:</w:t>
          </w:r>
          <w:r w:rsidR="00BE4E2F" w:rsidRPr="001737B3">
            <w:rPr>
              <w:color w:val="auto"/>
              <w:lang w:val="nl-NL"/>
            </w:rPr>
            <w:t xml:space="preserve"> Eddie Nieuwenhuizen, Gregor </w:t>
          </w:r>
          <w:proofErr w:type="spellStart"/>
          <w:r w:rsidR="00BE4E2F" w:rsidRPr="001737B3">
            <w:rPr>
              <w:color w:val="auto"/>
              <w:lang w:val="nl-NL"/>
            </w:rPr>
            <w:t>Walz</w:t>
          </w:r>
          <w:proofErr w:type="spellEnd"/>
        </w:p>
        <w:p w14:paraId="69907268" w14:textId="77777777" w:rsidR="008165EB" w:rsidRPr="001737B3" w:rsidRDefault="008165EB" w:rsidP="00C5699E">
          <w:pPr>
            <w:pStyle w:val="PublicationSubsubtitle"/>
            <w:spacing w:after="0"/>
            <w:jc w:val="right"/>
            <w:rPr>
              <w:lang w:val="nl-NL"/>
            </w:rPr>
          </w:pPr>
        </w:p>
        <w:p w14:paraId="1131CB92" w14:textId="77777777" w:rsidR="007C6232" w:rsidRPr="001737B3" w:rsidRDefault="007C6232" w:rsidP="00C5699E">
          <w:pPr>
            <w:pStyle w:val="PublicationSubsubtitle"/>
            <w:spacing w:after="0"/>
            <w:jc w:val="right"/>
            <w:rPr>
              <w:lang w:val="nl-NL"/>
            </w:rPr>
          </w:pPr>
        </w:p>
        <w:tbl>
          <w:tblPr>
            <w:tblStyle w:val="TableBoxC"/>
            <w:tblW w:w="8503" w:type="dxa"/>
            <w:tblLook w:val="04A0" w:firstRow="1" w:lastRow="0" w:firstColumn="1" w:lastColumn="0" w:noHBand="0" w:noVBand="1"/>
          </w:tblPr>
          <w:tblGrid>
            <w:gridCol w:w="8503"/>
          </w:tblGrid>
          <w:tr w:rsidR="00676BF6" w14:paraId="6575B4F5" w14:textId="77777777">
            <w:tc>
              <w:tcPr>
                <w:tcW w:w="8503" w:type="dxa"/>
              </w:tcPr>
              <w:p w14:paraId="764F0746" w14:textId="2CBD0F39" w:rsidR="00676BF6" w:rsidRDefault="00851AF1">
                <w:pPr>
                  <w:pStyle w:val="BoxTitleC"/>
                </w:pPr>
                <w:r>
                  <w:t>Disclaimer</w:t>
                </w:r>
              </w:p>
              <w:p w14:paraId="50D70F60" w14:textId="1AE76073" w:rsidR="00676BF6" w:rsidRDefault="00851AF1">
                <w:pPr>
                  <w:pStyle w:val="BoxText"/>
                </w:pPr>
                <w:r w:rsidRPr="00851AF1">
                  <w:t xml:space="preserve">This document was commissioned under contract by the European Union Agency for Fundamental Rights (FRA) as background material for the project </w:t>
                </w:r>
                <w:r w:rsidR="00C71A5C">
                  <w:t>‘</w:t>
                </w:r>
                <w:r w:rsidR="00274E14" w:rsidRPr="00274E14">
                  <w:t>Participating in the EU Framework required by Article 33 (2) of the UN Convention on the Rights of Persons with Disabilities</w:t>
                </w:r>
                <w:r w:rsidR="00CC2CCC">
                  <w:t>’</w:t>
                </w:r>
                <w:r w:rsidRPr="00851AF1">
                  <w:t>. The information and views contained in the document do not necessarily reflect the views or the official position of the FRA. The document is made publicly available for transparency and information purposes only and does not constitute legal advice or legal opinion</w:t>
                </w:r>
                <w:r w:rsidR="009C08A5">
                  <w:t>.</w:t>
                </w:r>
              </w:p>
            </w:tc>
          </w:tr>
        </w:tbl>
        <w:p w14:paraId="7A70273C" w14:textId="77777777" w:rsidR="001B1B37" w:rsidRDefault="001B1B37"/>
        <w:p w14:paraId="4941C82D" w14:textId="77777777" w:rsidR="001B1B37" w:rsidRDefault="001B1B37"/>
        <w:p w14:paraId="55249A1F" w14:textId="77777777" w:rsidR="001B45E3" w:rsidRDefault="0055530E"/>
      </w:sdtContent>
    </w:sdt>
    <w:sdt>
      <w:sdtPr>
        <w:rPr>
          <w:color w:val="006FB4"/>
        </w:rPr>
        <w:id w:val="849872350"/>
        <w:docPartObj>
          <w:docPartGallery w:val="Table of Contents"/>
          <w:docPartUnique/>
        </w:docPartObj>
      </w:sdtPr>
      <w:sdtEndPr/>
      <w:sdtContent>
        <w:p w14:paraId="3D0A6AC7" w14:textId="43BE8730" w:rsidR="00B47E72" w:rsidRDefault="00B47E72">
          <w:pPr>
            <w:pStyle w:val="TOCHeading"/>
          </w:pPr>
          <w:r>
            <w:t>Contents</w:t>
          </w:r>
        </w:p>
        <w:p w14:paraId="108BBD24" w14:textId="6EC921BA" w:rsidR="00B63701" w:rsidRDefault="00B63701" w:rsidP="2141E379">
          <w:pPr>
            <w:pStyle w:val="TOC1"/>
            <w:tabs>
              <w:tab w:val="clear" w:pos="8504"/>
              <w:tab w:val="left" w:pos="480"/>
              <w:tab w:val="right" w:leader="dot" w:pos="8490"/>
            </w:tabs>
            <w:rPr>
              <w:rStyle w:val="Hyperlink"/>
              <w:noProof/>
              <w:kern w:val="2"/>
              <w:lang w:val="fr-FR" w:eastAsia="fr-FR"/>
              <w14:ligatures w14:val="standardContextual"/>
            </w:rPr>
          </w:pPr>
          <w:r>
            <w:fldChar w:fldCharType="begin"/>
          </w:r>
          <w:r w:rsidR="0CD4123A">
            <w:instrText>TOC \o "1-3" \h \z \u</w:instrText>
          </w:r>
          <w:r>
            <w:fldChar w:fldCharType="separate"/>
          </w:r>
          <w:hyperlink w:anchor="_Toc1905438080">
            <w:r w:rsidR="2141E379" w:rsidRPr="2141E379">
              <w:rPr>
                <w:rStyle w:val="Hyperlink"/>
                <w:noProof/>
              </w:rPr>
              <w:t>1.</w:t>
            </w:r>
            <w:r w:rsidR="0CD4123A">
              <w:rPr>
                <w:noProof/>
              </w:rPr>
              <w:tab/>
            </w:r>
            <w:r w:rsidR="2141E379" w:rsidRPr="2141E379">
              <w:rPr>
                <w:rStyle w:val="Hyperlink"/>
                <w:noProof/>
              </w:rPr>
              <w:t>Data on persons with disabilities exercising their right to political participation</w:t>
            </w:r>
            <w:r w:rsidR="0CD4123A">
              <w:rPr>
                <w:noProof/>
              </w:rPr>
              <w:tab/>
            </w:r>
            <w:r w:rsidR="0CD4123A">
              <w:rPr>
                <w:noProof/>
              </w:rPr>
              <w:fldChar w:fldCharType="begin"/>
            </w:r>
            <w:r w:rsidR="0CD4123A">
              <w:rPr>
                <w:noProof/>
              </w:rPr>
              <w:instrText>PAGEREF _Toc1905438080 \h</w:instrText>
            </w:r>
            <w:r w:rsidR="0CD4123A">
              <w:rPr>
                <w:noProof/>
              </w:rPr>
            </w:r>
            <w:r w:rsidR="0CD4123A">
              <w:rPr>
                <w:noProof/>
              </w:rPr>
              <w:fldChar w:fldCharType="separate"/>
            </w:r>
            <w:r w:rsidR="00E83FC0">
              <w:rPr>
                <w:noProof/>
              </w:rPr>
              <w:t>3</w:t>
            </w:r>
            <w:r w:rsidR="0CD4123A">
              <w:rPr>
                <w:noProof/>
              </w:rPr>
              <w:fldChar w:fldCharType="end"/>
            </w:r>
          </w:hyperlink>
        </w:p>
        <w:p w14:paraId="5BE3D1E3" w14:textId="491B167E" w:rsidR="00B63701" w:rsidRDefault="0055530E" w:rsidP="2141E379">
          <w:pPr>
            <w:pStyle w:val="TOC1"/>
            <w:tabs>
              <w:tab w:val="clear" w:pos="8504"/>
              <w:tab w:val="left" w:pos="480"/>
              <w:tab w:val="right" w:leader="dot" w:pos="8490"/>
            </w:tabs>
            <w:rPr>
              <w:rStyle w:val="Hyperlink"/>
              <w:noProof/>
              <w:kern w:val="2"/>
              <w:lang w:val="fr-FR" w:eastAsia="fr-FR"/>
              <w14:ligatures w14:val="standardContextual"/>
            </w:rPr>
          </w:pPr>
          <w:hyperlink w:anchor="_Toc1607741523">
            <w:r w:rsidR="2141E379" w:rsidRPr="2141E379">
              <w:rPr>
                <w:rStyle w:val="Hyperlink"/>
                <w:noProof/>
              </w:rPr>
              <w:t>2.</w:t>
            </w:r>
            <w:r w:rsidR="00B63701">
              <w:rPr>
                <w:noProof/>
              </w:rPr>
              <w:tab/>
            </w:r>
            <w:r w:rsidR="2141E379" w:rsidRPr="2141E379">
              <w:rPr>
                <w:rStyle w:val="Hyperlink"/>
                <w:noProof/>
              </w:rPr>
              <w:t>Political participation of persons with disabilities in practice</w:t>
            </w:r>
            <w:r w:rsidR="00B63701">
              <w:rPr>
                <w:noProof/>
              </w:rPr>
              <w:tab/>
            </w:r>
            <w:r w:rsidR="00B63701">
              <w:rPr>
                <w:noProof/>
              </w:rPr>
              <w:fldChar w:fldCharType="begin"/>
            </w:r>
            <w:r w:rsidR="00B63701">
              <w:rPr>
                <w:noProof/>
              </w:rPr>
              <w:instrText>PAGEREF _Toc1607741523 \h</w:instrText>
            </w:r>
            <w:r w:rsidR="00B63701">
              <w:rPr>
                <w:noProof/>
              </w:rPr>
            </w:r>
            <w:r w:rsidR="00B63701">
              <w:rPr>
                <w:noProof/>
              </w:rPr>
              <w:fldChar w:fldCharType="separate"/>
            </w:r>
            <w:r w:rsidR="00E83FC0">
              <w:rPr>
                <w:noProof/>
              </w:rPr>
              <w:t>9</w:t>
            </w:r>
            <w:r w:rsidR="00B63701">
              <w:rPr>
                <w:noProof/>
              </w:rPr>
              <w:fldChar w:fldCharType="end"/>
            </w:r>
          </w:hyperlink>
        </w:p>
        <w:p w14:paraId="4DF7DA10" w14:textId="2A891E91" w:rsidR="00B63701" w:rsidRDefault="0055530E" w:rsidP="2141E379">
          <w:pPr>
            <w:pStyle w:val="TOC2"/>
            <w:tabs>
              <w:tab w:val="clear" w:pos="8504"/>
              <w:tab w:val="left" w:pos="720"/>
              <w:tab w:val="right" w:leader="dot" w:pos="8490"/>
            </w:tabs>
            <w:rPr>
              <w:rStyle w:val="Hyperlink"/>
              <w:noProof/>
              <w:kern w:val="2"/>
              <w:lang w:val="fr-FR" w:eastAsia="fr-FR"/>
              <w14:ligatures w14:val="standardContextual"/>
            </w:rPr>
          </w:pPr>
          <w:hyperlink w:anchor="_Toc1363565999">
            <w:r w:rsidR="2141E379" w:rsidRPr="2141E379">
              <w:rPr>
                <w:rStyle w:val="Hyperlink"/>
                <w:noProof/>
              </w:rPr>
              <w:t>2.1.</w:t>
            </w:r>
            <w:r w:rsidR="00B63701">
              <w:rPr>
                <w:noProof/>
              </w:rPr>
              <w:tab/>
            </w:r>
            <w:r w:rsidR="2141E379" w:rsidRPr="2141E379">
              <w:rPr>
                <w:rStyle w:val="Hyperlink"/>
                <w:noProof/>
              </w:rPr>
              <w:t>Positive and negative key development as regards political participation of persons with disabilities</w:t>
            </w:r>
            <w:r w:rsidR="00B63701">
              <w:rPr>
                <w:noProof/>
              </w:rPr>
              <w:tab/>
            </w:r>
            <w:r w:rsidR="00B63701">
              <w:rPr>
                <w:noProof/>
              </w:rPr>
              <w:fldChar w:fldCharType="begin"/>
            </w:r>
            <w:r w:rsidR="00B63701">
              <w:rPr>
                <w:noProof/>
              </w:rPr>
              <w:instrText>PAGEREF _Toc1363565999 \h</w:instrText>
            </w:r>
            <w:r w:rsidR="00B63701">
              <w:rPr>
                <w:noProof/>
              </w:rPr>
            </w:r>
            <w:r w:rsidR="00B63701">
              <w:rPr>
                <w:noProof/>
              </w:rPr>
              <w:fldChar w:fldCharType="separate"/>
            </w:r>
            <w:r w:rsidR="00E83FC0">
              <w:rPr>
                <w:noProof/>
              </w:rPr>
              <w:t>9</w:t>
            </w:r>
            <w:r w:rsidR="00B63701">
              <w:rPr>
                <w:noProof/>
              </w:rPr>
              <w:fldChar w:fldCharType="end"/>
            </w:r>
          </w:hyperlink>
        </w:p>
        <w:p w14:paraId="38758788" w14:textId="640955F2" w:rsidR="00B63701" w:rsidRDefault="0055530E" w:rsidP="2141E379">
          <w:pPr>
            <w:pStyle w:val="TOC2"/>
            <w:tabs>
              <w:tab w:val="clear" w:pos="8504"/>
              <w:tab w:val="left" w:pos="720"/>
              <w:tab w:val="right" w:leader="dot" w:pos="8490"/>
            </w:tabs>
            <w:rPr>
              <w:rStyle w:val="Hyperlink"/>
              <w:noProof/>
              <w:kern w:val="2"/>
              <w:lang w:val="fr-FR" w:eastAsia="fr-FR"/>
              <w14:ligatures w14:val="standardContextual"/>
            </w:rPr>
          </w:pPr>
          <w:hyperlink w:anchor="_Toc299275285">
            <w:r w:rsidR="2141E379" w:rsidRPr="2141E379">
              <w:rPr>
                <w:rStyle w:val="Hyperlink"/>
                <w:noProof/>
              </w:rPr>
              <w:t>2.2.</w:t>
            </w:r>
            <w:r w:rsidR="00B63701">
              <w:rPr>
                <w:noProof/>
              </w:rPr>
              <w:tab/>
            </w:r>
            <w:r w:rsidR="2141E379" w:rsidRPr="2141E379">
              <w:rPr>
                <w:rStyle w:val="Hyperlink"/>
                <w:noProof/>
              </w:rPr>
              <w:t>Political participation: Promising practices</w:t>
            </w:r>
            <w:r w:rsidR="00B63701">
              <w:rPr>
                <w:noProof/>
              </w:rPr>
              <w:tab/>
            </w:r>
            <w:r w:rsidR="00B63701">
              <w:rPr>
                <w:noProof/>
              </w:rPr>
              <w:fldChar w:fldCharType="begin"/>
            </w:r>
            <w:r w:rsidR="00B63701">
              <w:rPr>
                <w:noProof/>
              </w:rPr>
              <w:instrText>PAGEREF _Toc299275285 \h</w:instrText>
            </w:r>
            <w:r w:rsidR="00B63701">
              <w:rPr>
                <w:noProof/>
              </w:rPr>
            </w:r>
            <w:r w:rsidR="00B63701">
              <w:rPr>
                <w:noProof/>
              </w:rPr>
              <w:fldChar w:fldCharType="separate"/>
            </w:r>
            <w:r w:rsidR="00E83FC0">
              <w:rPr>
                <w:noProof/>
              </w:rPr>
              <w:t>9</w:t>
            </w:r>
            <w:r w:rsidR="00B63701">
              <w:rPr>
                <w:noProof/>
              </w:rPr>
              <w:fldChar w:fldCharType="end"/>
            </w:r>
          </w:hyperlink>
          <w:r w:rsidR="00B63701">
            <w:fldChar w:fldCharType="end"/>
          </w:r>
        </w:p>
      </w:sdtContent>
    </w:sdt>
    <w:p w14:paraId="52F6D9A5" w14:textId="0FDD3F94" w:rsidR="0CD4123A" w:rsidRDefault="0CD4123A" w:rsidP="00236602">
      <w:pPr>
        <w:pStyle w:val="TOC1"/>
        <w:tabs>
          <w:tab w:val="clear" w:pos="8504"/>
          <w:tab w:val="right" w:leader="dot" w:pos="8490"/>
        </w:tabs>
        <w:rPr>
          <w:rStyle w:val="Hyperlink"/>
          <w:b w:val="0"/>
        </w:rPr>
      </w:pPr>
    </w:p>
    <w:p w14:paraId="53AF2F08" w14:textId="53EDD068" w:rsidR="00B47E72" w:rsidRDefault="00B47E72"/>
    <w:p w14:paraId="0F11C898" w14:textId="77777777" w:rsidR="004231F5" w:rsidRDefault="004231F5" w:rsidP="004231F5"/>
    <w:p w14:paraId="7DD60D47" w14:textId="522EB76D" w:rsidR="002432A7" w:rsidRDefault="002432A7" w:rsidP="439E96B0">
      <w:pPr>
        <w:pStyle w:val="HeadingNumbered1"/>
        <w:numPr>
          <w:ilvl w:val="0"/>
          <w:numId w:val="0"/>
        </w:numPr>
        <w:sectPr w:rsidR="002432A7" w:rsidSect="00F3472C">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134" w:left="1701" w:header="850" w:footer="567" w:gutter="0"/>
          <w:cols w:space="708"/>
          <w:titlePg/>
          <w:docGrid w:linePitch="360"/>
        </w:sectPr>
      </w:pPr>
    </w:p>
    <w:p w14:paraId="2C36ED8A" w14:textId="77777777" w:rsidR="005003F9" w:rsidRPr="005003F9" w:rsidRDefault="005003F9" w:rsidP="005003F9">
      <w:pPr>
        <w:pStyle w:val="HeadingNumbered1"/>
      </w:pPr>
      <w:bookmarkStart w:id="0" w:name="_Toc1905438080"/>
      <w:r>
        <w:lastRenderedPageBreak/>
        <w:t>Data on persons with disabilities exercising their right to political participation</w:t>
      </w:r>
      <w:bookmarkEnd w:id="0"/>
    </w:p>
    <w:p w14:paraId="5A92937D" w14:textId="5FB57E6F" w:rsidR="00FD4CB2" w:rsidRDefault="00FD4CB2">
      <w:pPr>
        <w:pStyle w:val="TableTitle"/>
      </w:pPr>
      <w:r>
        <w:t xml:space="preserve">Table </w:t>
      </w:r>
      <w:r w:rsidR="00266F39">
        <w:fldChar w:fldCharType="begin"/>
      </w:r>
      <w:r w:rsidR="00266F39">
        <w:instrText xml:space="preserve"> SEQ Table \* ARABIC </w:instrText>
      </w:r>
      <w:r w:rsidR="00266F39">
        <w:fldChar w:fldCharType="separate"/>
      </w:r>
      <w:r w:rsidR="00BC08BB">
        <w:rPr>
          <w:noProof/>
        </w:rPr>
        <w:t>1</w:t>
      </w:r>
      <w:r w:rsidR="00266F39">
        <w:rPr>
          <w:noProof/>
        </w:rPr>
        <w:fldChar w:fldCharType="end"/>
      </w:r>
      <w:r w:rsidRPr="00FD4CB2">
        <w:tab/>
        <w:t xml:space="preserve"> </w:t>
      </w:r>
    </w:p>
    <w:tbl>
      <w:tblPr>
        <w:tblStyle w:val="TableGrid"/>
        <w:tblW w:w="14175" w:type="dxa"/>
        <w:tblInd w:w="-5" w:type="dxa"/>
        <w:tblLayout w:type="fixed"/>
        <w:tblLook w:val="04A0" w:firstRow="1" w:lastRow="0" w:firstColumn="1" w:lastColumn="0" w:noHBand="0" w:noVBand="1"/>
      </w:tblPr>
      <w:tblGrid>
        <w:gridCol w:w="2552"/>
        <w:gridCol w:w="3402"/>
        <w:gridCol w:w="8221"/>
      </w:tblGrid>
      <w:tr w:rsidR="00CC2CCC" w:rsidRPr="00D3251A" w14:paraId="5B6BBB24" w14:textId="77777777" w:rsidTr="00902ECC">
        <w:trPr>
          <w:cnfStyle w:val="100000000000" w:firstRow="1" w:lastRow="0" w:firstColumn="0" w:lastColumn="0" w:oddVBand="0" w:evenVBand="0" w:oddHBand="0" w:evenHBand="0" w:firstRowFirstColumn="0" w:firstRowLastColumn="0" w:lastRowFirstColumn="0" w:lastRowLastColumn="0"/>
          <w:trHeight w:val="300"/>
          <w:tblHeader/>
        </w:trPr>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2AB02492" w14:textId="77777777" w:rsidR="00566A68" w:rsidRPr="00D3251A" w:rsidRDefault="00566A68" w:rsidP="00A94DDC">
            <w:pPr>
              <w:pStyle w:val="FRABodyText"/>
              <w:rPr>
                <w:color w:val="auto"/>
              </w:rPr>
            </w:pPr>
            <w:r w:rsidRPr="00D3251A">
              <w:t>Indicator</w:t>
            </w:r>
          </w:p>
          <w:p w14:paraId="4277CA28" w14:textId="77777777" w:rsidR="00566A68" w:rsidRPr="00635EFA" w:rsidRDefault="00566A68" w:rsidP="00A94DDC">
            <w:pPr>
              <w:pStyle w:val="FRABodyText"/>
            </w:pP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08934790" w14:textId="77777777" w:rsidR="00566A68" w:rsidRPr="00D3251A" w:rsidRDefault="00566A68" w:rsidP="00A94DDC">
            <w:pPr>
              <w:pStyle w:val="FRABodyText"/>
              <w:rPr>
                <w:b w:val="0"/>
                <w:color w:val="auto"/>
              </w:rPr>
            </w:pPr>
            <w:r w:rsidRPr="00D3251A">
              <w:t>Answer</w:t>
            </w:r>
          </w:p>
          <w:p w14:paraId="152D096D" w14:textId="77777777" w:rsidR="00566A68" w:rsidRPr="00D3251A" w:rsidRDefault="00566A68" w:rsidP="00A94DDC">
            <w:pPr>
              <w:pStyle w:val="FRABodyText"/>
              <w:rPr>
                <w:color w:val="auto"/>
              </w:rPr>
            </w:pPr>
            <w:r w:rsidRPr="00D3251A">
              <w:t>(Choose one of the answers provided below)</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9E2F3" w:themeFill="accent1" w:themeFillTint="33"/>
          </w:tcPr>
          <w:p w14:paraId="7BCF5138" w14:textId="4C33BD87" w:rsidR="00566A68" w:rsidRPr="00D3251A" w:rsidRDefault="00566A68" w:rsidP="00A94DDC">
            <w:pPr>
              <w:pStyle w:val="FRABodyText"/>
              <w:rPr>
                <w:color w:val="auto"/>
              </w:rPr>
            </w:pPr>
            <w:r w:rsidRPr="00D3251A">
              <w:t xml:space="preserve">Source and </w:t>
            </w:r>
            <w:r w:rsidR="004512DA">
              <w:t>brief description/assessment</w:t>
            </w:r>
            <w:r w:rsidRPr="00D3251A">
              <w:t xml:space="preserve"> </w:t>
            </w:r>
          </w:p>
        </w:tc>
      </w:tr>
      <w:tr w:rsidR="00CC2CCC" w:rsidRPr="004C5AC8" w14:paraId="12E136CC"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4006B5" w14:textId="1906DD19" w:rsidR="00566A68" w:rsidRPr="0021208A" w:rsidRDefault="00566A68" w:rsidP="00A94DDC">
            <w:pPr>
              <w:pStyle w:val="FRABodyText"/>
            </w:pPr>
            <w:r w:rsidRPr="0021208A">
              <w:t>Do national disability strategies include political participation?</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96FEA16" w14:textId="1F7F29C9" w:rsidR="00566A68" w:rsidRPr="00802C74" w:rsidRDefault="00566A68" w:rsidP="00A94DDC">
            <w:pPr>
              <w:pStyle w:val="FRABodyText"/>
            </w:pPr>
            <w:r w:rsidRPr="00902E78">
              <w:t>National disability strategies specifically address political participation</w:t>
            </w:r>
            <w:r w:rsidRPr="00802C74">
              <w:t xml:space="preserve"> </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44CCBCD" w14:textId="1A3A8901" w:rsidR="00E34E36" w:rsidRPr="00E34E36" w:rsidRDefault="00E34E36" w:rsidP="00A94DDC">
            <w:pPr>
              <w:pStyle w:val="FRABodyText"/>
            </w:pPr>
            <w:r w:rsidRPr="00E34E36">
              <w:t>From 2018 to 2021</w:t>
            </w:r>
            <w:r w:rsidR="00F04DDC">
              <w:t>,</w:t>
            </w:r>
            <w:r w:rsidRPr="00E34E36">
              <w:t xml:space="preserve"> the national government implemented the comprehensive policy programme ‘</w:t>
            </w:r>
            <w:proofErr w:type="spellStart"/>
            <w:r w:rsidRPr="00E34E36">
              <w:t>Onbeperkt</w:t>
            </w:r>
            <w:proofErr w:type="spellEnd"/>
            <w:r w:rsidRPr="00E34E36">
              <w:t xml:space="preserve"> </w:t>
            </w:r>
            <w:proofErr w:type="spellStart"/>
            <w:r w:rsidRPr="00E34E36">
              <w:t>meedoen</w:t>
            </w:r>
            <w:proofErr w:type="spellEnd"/>
            <w:r w:rsidRPr="00E34E36">
              <w:t>!’ (‘Unlimited participation!</w:t>
            </w:r>
            <w:r w:rsidR="001737B3">
              <w:t>’</w:t>
            </w:r>
            <w:r w:rsidRPr="00E34E36">
              <w:t>)</w:t>
            </w:r>
            <w:r w:rsidR="0044219A">
              <w:t>.</w:t>
            </w:r>
            <w:r w:rsidRPr="00E34E36">
              <w:t xml:space="preserve">  Aim of this programme</w:t>
            </w:r>
            <w:r>
              <w:t xml:space="preserve"> </w:t>
            </w:r>
            <w:r w:rsidRPr="00E34E36">
              <w:t>was to implement the CRPD</w:t>
            </w:r>
            <w:r>
              <w:t xml:space="preserve">. It </w:t>
            </w:r>
            <w:r w:rsidRPr="00E34E36">
              <w:t>focuse</w:t>
            </w:r>
            <w:r w:rsidR="00F04DDC">
              <w:t>d</w:t>
            </w:r>
            <w:r w:rsidRPr="00E34E36">
              <w:t xml:space="preserve"> </w:t>
            </w:r>
            <w:r w:rsidR="00611644">
              <w:t xml:space="preserve">on </w:t>
            </w:r>
            <w:r w:rsidRPr="00E34E36">
              <w:t>several social areas</w:t>
            </w:r>
            <w:r w:rsidR="00091AE6">
              <w:t>,</w:t>
            </w:r>
            <w:r w:rsidRPr="00E34E36">
              <w:t xml:space="preserve"> including political participation</w:t>
            </w:r>
            <w:r w:rsidR="00384F81">
              <w:t>.</w:t>
            </w:r>
            <w:r>
              <w:rPr>
                <w:rStyle w:val="FootnoteReference"/>
              </w:rPr>
              <w:footnoteReference w:id="2"/>
            </w:r>
            <w:r w:rsidRPr="00E34E36">
              <w:t xml:space="preserve"> </w:t>
            </w:r>
            <w:r w:rsidR="0044219A">
              <w:t>In 2022, t</w:t>
            </w:r>
            <w:r w:rsidR="00907DEC">
              <w:t xml:space="preserve">his programme was extended by three more years by the national government. </w:t>
            </w:r>
            <w:r w:rsidR="00611644">
              <w:t>The policy letter in which this extension was announced and elaborated includes political participation.</w:t>
            </w:r>
            <w:r w:rsidR="00611644">
              <w:rPr>
                <w:rStyle w:val="FootnoteReference"/>
              </w:rPr>
              <w:footnoteReference w:id="3"/>
            </w:r>
          </w:p>
          <w:p w14:paraId="250BC68B" w14:textId="77777777" w:rsidR="00E34E36" w:rsidRDefault="00E34E36" w:rsidP="00A94DDC">
            <w:pPr>
              <w:pStyle w:val="FRABodyText"/>
            </w:pPr>
          </w:p>
          <w:p w14:paraId="45741F4A" w14:textId="54C8C9C0" w:rsidR="00597B7E" w:rsidRPr="004C5AC8" w:rsidRDefault="00ED486C" w:rsidP="00A94DDC">
            <w:pPr>
              <w:pStyle w:val="FRABodyText"/>
            </w:pPr>
            <w:bookmarkStart w:id="1" w:name="_Hlk152075621"/>
            <w:r>
              <w:lastRenderedPageBreak/>
              <w:t>In 2021</w:t>
            </w:r>
            <w:r w:rsidR="00497BC0">
              <w:t>,</w:t>
            </w:r>
            <w:r>
              <w:t xml:space="preserve"> the </w:t>
            </w:r>
            <w:r w:rsidRPr="00ED486C">
              <w:t xml:space="preserve">Ministry of Interior and Kingdom Relations </w:t>
            </w:r>
            <w:r w:rsidR="00EA6BD8">
              <w:t>launched a</w:t>
            </w:r>
            <w:r w:rsidR="00497BC0">
              <w:t>n action programme</w:t>
            </w:r>
            <w:r w:rsidR="00EA6BD8">
              <w:t xml:space="preserve"> campaign to </w:t>
            </w:r>
            <w:r w:rsidR="00EA6BD8" w:rsidRPr="00EA6BD8">
              <w:t xml:space="preserve">make </w:t>
            </w:r>
            <w:r w:rsidR="00AD2E43">
              <w:t>the election process more accessible</w:t>
            </w:r>
            <w:r w:rsidR="00EA6BD8" w:rsidRPr="00EA6BD8">
              <w:t xml:space="preserve"> during the municipal council elections of 16 March 2022</w:t>
            </w:r>
            <w:r w:rsidR="00EA6BD8">
              <w:t xml:space="preserve"> (and other future elections)</w:t>
            </w:r>
            <w:r w:rsidR="00EA6BD8" w:rsidRPr="00EA6BD8">
              <w:t>.</w:t>
            </w:r>
            <w:r w:rsidR="00EA6BD8">
              <w:rPr>
                <w:rStyle w:val="FootnoteReference"/>
              </w:rPr>
              <w:footnoteReference w:id="4"/>
            </w:r>
            <w:bookmarkEnd w:id="1"/>
          </w:p>
        </w:tc>
      </w:tr>
      <w:tr w:rsidR="00CC2CCC" w:rsidRPr="00210CB2" w14:paraId="68623494"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23B3A5" w14:textId="662E8771" w:rsidR="00566A68" w:rsidRPr="0021208A" w:rsidRDefault="002402C9" w:rsidP="00A94DDC">
            <w:pPr>
              <w:pStyle w:val="FRABodyText"/>
            </w:pPr>
            <w:r>
              <w:lastRenderedPageBreak/>
              <w:t xml:space="preserve">Can persons deprived of legal capacity </w:t>
            </w:r>
            <w:r w:rsidR="158FA834">
              <w:t xml:space="preserve">vote? </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AF9E86" w14:textId="1F76ABF0" w:rsidR="00566A68" w:rsidRDefault="00566A68" w:rsidP="00A94DDC">
            <w:pPr>
              <w:pStyle w:val="FRABodyText"/>
            </w:pPr>
            <w:r w:rsidRPr="00902E78">
              <w:t>Full Participation</w:t>
            </w:r>
            <w:r w:rsidRPr="00802C74">
              <w:t xml:space="preserve"> </w:t>
            </w:r>
          </w:p>
          <w:p w14:paraId="72F36A6F" w14:textId="16964FC6" w:rsidR="00566A68" w:rsidRPr="00802C74"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D22580" w14:textId="031A3FCD" w:rsidR="009C5899" w:rsidRPr="00BE6376" w:rsidRDefault="009C5899" w:rsidP="009C5899">
            <w:pPr>
              <w:jc w:val="both"/>
              <w:rPr>
                <w:rFonts w:ascii="Verdana" w:hAnsi="Verdana" w:cstheme="minorHAnsi"/>
                <w:sz w:val="20"/>
              </w:rPr>
            </w:pPr>
            <w:r>
              <w:rPr>
                <w:rFonts w:ascii="Verdana" w:hAnsi="Verdana" w:cstheme="minorHAnsi"/>
                <w:sz w:val="20"/>
              </w:rPr>
              <w:t xml:space="preserve">The </w:t>
            </w:r>
            <w:r w:rsidRPr="00BE6376">
              <w:rPr>
                <w:rFonts w:ascii="Verdana" w:hAnsi="Verdana" w:cstheme="minorHAnsi"/>
                <w:sz w:val="20"/>
              </w:rPr>
              <w:t xml:space="preserve">right to vote is granted by the constitution and specified in </w:t>
            </w:r>
            <w:r>
              <w:rPr>
                <w:rFonts w:ascii="Verdana" w:hAnsi="Verdana" w:cstheme="minorHAnsi"/>
                <w:sz w:val="20"/>
              </w:rPr>
              <w:t xml:space="preserve">the </w:t>
            </w:r>
            <w:r w:rsidRPr="00BE6376">
              <w:rPr>
                <w:rFonts w:ascii="Verdana" w:hAnsi="Verdana" w:cstheme="minorHAnsi"/>
                <w:sz w:val="20"/>
              </w:rPr>
              <w:t xml:space="preserve">election law. </w:t>
            </w:r>
          </w:p>
          <w:p w14:paraId="0DF5A912" w14:textId="3B05E740" w:rsidR="009C5899" w:rsidRDefault="00AD2E43" w:rsidP="009C5899">
            <w:pPr>
              <w:spacing w:before="240"/>
              <w:contextualSpacing/>
              <w:jc w:val="both"/>
              <w:rPr>
                <w:rFonts w:ascii="Verdana" w:hAnsi="Verdana" w:cstheme="minorHAnsi"/>
                <w:sz w:val="20"/>
              </w:rPr>
            </w:pPr>
            <w:r>
              <w:rPr>
                <w:rFonts w:ascii="Verdana" w:hAnsi="Verdana" w:cstheme="minorHAnsi"/>
                <w:sz w:val="20"/>
              </w:rPr>
              <w:t>All p</w:t>
            </w:r>
            <w:r w:rsidR="009C5899" w:rsidRPr="00BE6376">
              <w:rPr>
                <w:rFonts w:ascii="Verdana" w:hAnsi="Verdana" w:cstheme="minorHAnsi"/>
                <w:sz w:val="20"/>
              </w:rPr>
              <w:t xml:space="preserve">ersons with disabilities are allowed to vote in the Netherlands. </w:t>
            </w:r>
          </w:p>
          <w:p w14:paraId="2463DDE6" w14:textId="77777777" w:rsidR="009C5899" w:rsidRDefault="009C5899" w:rsidP="009C5899">
            <w:pPr>
              <w:spacing w:before="240"/>
              <w:contextualSpacing/>
              <w:jc w:val="both"/>
              <w:rPr>
                <w:rFonts w:ascii="Verdana" w:hAnsi="Verdana" w:cstheme="minorHAnsi"/>
                <w:sz w:val="20"/>
              </w:rPr>
            </w:pPr>
          </w:p>
          <w:p w14:paraId="6433FB1F" w14:textId="529DD65D" w:rsidR="00566A68" w:rsidRPr="003B22F0" w:rsidRDefault="009C5899" w:rsidP="00A94DDC">
            <w:pPr>
              <w:pStyle w:val="FRABodyText"/>
              <w:rPr>
                <w:highlight w:val="yellow"/>
              </w:rPr>
            </w:pPr>
            <w:r w:rsidRPr="00BE6376">
              <w:t xml:space="preserve">Until 2008, persons placed under custodial care </w:t>
            </w:r>
            <w:r w:rsidR="00636D46">
              <w:t xml:space="preserve">and deprived of legal capacity </w:t>
            </w:r>
            <w:r w:rsidRPr="00BE6376">
              <w:t>due to their mental health problems or intellectual disabilities could not exercise their right to vote. This changed with the constitutional amendment</w:t>
            </w:r>
            <w:r w:rsidR="00636D46">
              <w:rPr>
                <w:rStyle w:val="FootnoteReference"/>
              </w:rPr>
              <w:footnoteReference w:id="5"/>
            </w:r>
            <w:r w:rsidR="00934F66">
              <w:t xml:space="preserve"> </w:t>
            </w:r>
            <w:r w:rsidRPr="00BE6376">
              <w:t xml:space="preserve"> following a </w:t>
            </w:r>
            <w:r w:rsidR="00934F66">
              <w:t>ruling by</w:t>
            </w:r>
            <w:r w:rsidRPr="00BE6376">
              <w:t xml:space="preserve"> </w:t>
            </w:r>
            <w:r w:rsidR="00F04DDC">
              <w:t>the</w:t>
            </w:r>
            <w:r w:rsidRPr="00BE6376">
              <w:t xml:space="preserve"> </w:t>
            </w:r>
            <w:r w:rsidR="00F04DDC" w:rsidRPr="003B22F0">
              <w:t xml:space="preserve">Administrative Jurisdiction Division of the </w:t>
            </w:r>
            <w:r w:rsidRPr="00BE6376">
              <w:t>Council of State</w:t>
            </w:r>
            <w:r w:rsidR="00934F66">
              <w:rPr>
                <w:rStyle w:val="FootnoteReference"/>
              </w:rPr>
              <w:footnoteReference w:id="6"/>
            </w:r>
            <w:r w:rsidRPr="00BE6376">
              <w:t>, declaring that the categorical exclusion of persons placed under custodial care can be contrary to the International Covenant on Civil and Political Rights.</w:t>
            </w:r>
          </w:p>
          <w:p w14:paraId="7F472BA4" w14:textId="2380B5A1" w:rsidR="003B22F0" w:rsidRPr="003B22F0" w:rsidRDefault="003B22F0" w:rsidP="00A94DDC">
            <w:pPr>
              <w:pStyle w:val="FRABodyText"/>
              <w:rPr>
                <w:highlight w:val="yellow"/>
              </w:rPr>
            </w:pPr>
          </w:p>
        </w:tc>
      </w:tr>
      <w:tr w:rsidR="00CC2CCC" w14:paraId="2B835653"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A87F14D" w14:textId="77777777" w:rsidR="00566A68" w:rsidRPr="0021208A" w:rsidRDefault="00566A68" w:rsidP="00A94DDC">
            <w:pPr>
              <w:pStyle w:val="FRABodyText"/>
            </w:pPr>
            <w:r w:rsidRPr="0021208A">
              <w:lastRenderedPageBreak/>
              <w:t>Is there a requirement under law to register to vote?</w:t>
            </w:r>
          </w:p>
          <w:p w14:paraId="6C40E126" w14:textId="77777777" w:rsidR="00566A68" w:rsidRPr="0021208A" w:rsidRDefault="00566A68" w:rsidP="00A94DDC">
            <w:pPr>
              <w:pStyle w:val="FRABodyText"/>
            </w:pP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9D528" w14:textId="3CE42E9E" w:rsidR="00566A68" w:rsidRPr="00902E78" w:rsidRDefault="009D3C83" w:rsidP="00A94DDC">
            <w:pPr>
              <w:pStyle w:val="FRABodyText"/>
            </w:pPr>
            <w:r w:rsidRPr="00902E78">
              <w:t>N</w:t>
            </w:r>
            <w:r w:rsidR="00566A68" w:rsidRPr="00902E78">
              <w:t xml:space="preserve">o, automatic registration </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3F0329" w14:textId="77777777" w:rsidR="00F0664F" w:rsidRDefault="00F0664F" w:rsidP="00F0664F">
            <w:pPr>
              <w:spacing w:before="240"/>
              <w:contextualSpacing/>
              <w:jc w:val="both"/>
              <w:rPr>
                <w:rFonts w:ascii="Verdana" w:eastAsia="Calibri" w:hAnsi="Verdana"/>
                <w:sz w:val="20"/>
              </w:rPr>
            </w:pPr>
            <w:r w:rsidRPr="00BE6376">
              <w:rPr>
                <w:rFonts w:ascii="Verdana" w:eastAsia="Calibri" w:hAnsi="Verdana"/>
                <w:sz w:val="20"/>
              </w:rPr>
              <w:t xml:space="preserve">There is no requirement to register to vote. </w:t>
            </w:r>
          </w:p>
          <w:p w14:paraId="5269301C" w14:textId="77777777" w:rsidR="00F0664F" w:rsidRDefault="00F0664F" w:rsidP="00F0664F">
            <w:pPr>
              <w:spacing w:before="240"/>
              <w:contextualSpacing/>
              <w:jc w:val="both"/>
              <w:rPr>
                <w:rFonts w:ascii="Verdana" w:eastAsia="Calibri" w:hAnsi="Verdana"/>
                <w:sz w:val="20"/>
              </w:rPr>
            </w:pPr>
          </w:p>
          <w:p w14:paraId="28677186" w14:textId="77777777" w:rsidR="00F0664F" w:rsidRDefault="00F0664F" w:rsidP="00902E78">
            <w:pPr>
              <w:spacing w:before="240"/>
              <w:contextualSpacing/>
              <w:rPr>
                <w:rFonts w:ascii="Verdana" w:eastAsia="Calibri" w:hAnsi="Verdana"/>
                <w:sz w:val="20"/>
              </w:rPr>
            </w:pPr>
            <w:r w:rsidRPr="00BE6376">
              <w:rPr>
                <w:rFonts w:ascii="Verdana" w:eastAsia="Calibri" w:hAnsi="Verdana"/>
                <w:sz w:val="20"/>
              </w:rPr>
              <w:t>Polling cards are sent out to every eligible person registered in the municipal registration. All Dutch nationals aged 18 or older</w:t>
            </w:r>
            <w:r>
              <w:rPr>
                <w:rFonts w:ascii="Verdana" w:eastAsia="Calibri" w:hAnsi="Verdana"/>
                <w:sz w:val="20"/>
              </w:rPr>
              <w:t xml:space="preserve"> and</w:t>
            </w:r>
            <w:r w:rsidRPr="00BE6376">
              <w:rPr>
                <w:rFonts w:ascii="Verdana" w:eastAsia="Calibri" w:hAnsi="Verdana"/>
                <w:sz w:val="20"/>
              </w:rPr>
              <w:t xml:space="preserve"> all EU-nationals resident in a municipality aged 18 or older are eligible to vote in municipal elections and European parliament elections.</w:t>
            </w:r>
            <w:r w:rsidRPr="00BE6376">
              <w:rPr>
                <w:rStyle w:val="FootnoteReference"/>
                <w:rFonts w:ascii="Verdana" w:eastAsia="Calibri" w:hAnsi="Verdana"/>
                <w:sz w:val="20"/>
              </w:rPr>
              <w:footnoteReference w:id="7"/>
            </w:r>
            <w:r w:rsidRPr="00BE6376">
              <w:rPr>
                <w:rFonts w:ascii="Verdana" w:eastAsia="Calibri" w:hAnsi="Verdana"/>
                <w:sz w:val="20"/>
              </w:rPr>
              <w:t xml:space="preserve"> </w:t>
            </w:r>
          </w:p>
          <w:p w14:paraId="237AE2DF" w14:textId="77777777" w:rsidR="00F0664F" w:rsidRDefault="00F0664F" w:rsidP="00F0664F">
            <w:pPr>
              <w:spacing w:before="240"/>
              <w:contextualSpacing/>
              <w:jc w:val="both"/>
              <w:rPr>
                <w:rFonts w:ascii="Verdana" w:eastAsia="Calibri" w:hAnsi="Verdana"/>
                <w:sz w:val="20"/>
              </w:rPr>
            </w:pPr>
          </w:p>
          <w:p w14:paraId="30DF9327" w14:textId="21C98197" w:rsidR="00DF416D" w:rsidRDefault="00F0664F" w:rsidP="00F0664F">
            <w:pPr>
              <w:rPr>
                <w:rFonts w:ascii="Verdana" w:eastAsia="Calibri" w:hAnsi="Verdana" w:cstheme="minorBidi"/>
                <w:sz w:val="20"/>
                <w:szCs w:val="22"/>
                <w:lang w:eastAsia="en-IE" w:bidi="en-US"/>
              </w:rPr>
            </w:pPr>
            <w:r w:rsidRPr="00BE6376">
              <w:rPr>
                <w:rFonts w:ascii="Verdana" w:eastAsia="Calibri" w:hAnsi="Verdana"/>
                <w:sz w:val="20"/>
              </w:rPr>
              <w:t xml:space="preserve">It is mandatory to be registered in the municipal registration system, as stipulated by </w:t>
            </w:r>
            <w:r w:rsidR="00CE4CD3">
              <w:rPr>
                <w:rFonts w:ascii="Verdana" w:eastAsia="Calibri" w:hAnsi="Verdana"/>
                <w:sz w:val="20"/>
              </w:rPr>
              <w:t>the P</w:t>
            </w:r>
            <w:r w:rsidR="00CE4CD3" w:rsidRPr="00CE4CD3">
              <w:rPr>
                <w:rFonts w:ascii="Verdana" w:eastAsia="Calibri" w:hAnsi="Verdana"/>
                <w:sz w:val="20"/>
              </w:rPr>
              <w:t xml:space="preserve">ersonal Records Database Act </w:t>
            </w:r>
            <w:r w:rsidR="00C81C19">
              <w:rPr>
                <w:rFonts w:ascii="Verdana" w:eastAsia="Calibri" w:hAnsi="Verdana"/>
                <w:sz w:val="20"/>
              </w:rPr>
              <w:t>(</w:t>
            </w:r>
            <w:r w:rsidR="00CE4CD3" w:rsidRPr="00CE4CD3">
              <w:rPr>
                <w:rFonts w:ascii="Verdana" w:eastAsia="Calibri" w:hAnsi="Verdana"/>
                <w:i/>
                <w:iCs/>
                <w:sz w:val="20"/>
              </w:rPr>
              <w:t xml:space="preserve">Wet </w:t>
            </w:r>
            <w:proofErr w:type="spellStart"/>
            <w:r w:rsidR="00CE4CD3" w:rsidRPr="00CE4CD3">
              <w:rPr>
                <w:rFonts w:ascii="Verdana" w:eastAsia="Calibri" w:hAnsi="Verdana"/>
                <w:i/>
                <w:iCs/>
                <w:sz w:val="20"/>
              </w:rPr>
              <w:t>basisregistratie</w:t>
            </w:r>
            <w:proofErr w:type="spellEnd"/>
            <w:r w:rsidR="00CE4CD3" w:rsidRPr="00CE4CD3">
              <w:rPr>
                <w:rFonts w:ascii="Verdana" w:eastAsia="Calibri" w:hAnsi="Verdana"/>
                <w:i/>
                <w:iCs/>
                <w:sz w:val="20"/>
              </w:rPr>
              <w:t xml:space="preserve"> </w:t>
            </w:r>
            <w:proofErr w:type="spellStart"/>
            <w:r w:rsidR="00CE4CD3" w:rsidRPr="00CE4CD3">
              <w:rPr>
                <w:rFonts w:ascii="Verdana" w:eastAsia="Calibri" w:hAnsi="Verdana"/>
                <w:i/>
                <w:iCs/>
                <w:sz w:val="20"/>
              </w:rPr>
              <w:t>personen</w:t>
            </w:r>
            <w:proofErr w:type="spellEnd"/>
            <w:r w:rsidR="00C81C19">
              <w:rPr>
                <w:rFonts w:ascii="Verdana" w:eastAsia="Calibri" w:hAnsi="Verdana"/>
                <w:sz w:val="20"/>
              </w:rPr>
              <w:t>)</w:t>
            </w:r>
            <w:r w:rsidRPr="00BE6376">
              <w:rPr>
                <w:rFonts w:ascii="Verdana" w:eastAsia="Calibri" w:hAnsi="Verdana"/>
                <w:sz w:val="20"/>
              </w:rPr>
              <w:t>.</w:t>
            </w:r>
            <w:r w:rsidRPr="00BE6376">
              <w:rPr>
                <w:rStyle w:val="FootnoteReference"/>
                <w:rFonts w:ascii="Verdana" w:eastAsia="Calibri" w:hAnsi="Verdana"/>
                <w:sz w:val="20"/>
              </w:rPr>
              <w:footnoteReference w:id="8"/>
            </w:r>
          </w:p>
          <w:p w14:paraId="29332E48" w14:textId="3898CC62" w:rsidR="00566A68" w:rsidRPr="00DF416D" w:rsidRDefault="00566A68" w:rsidP="00F0664F">
            <w:pPr>
              <w:rPr>
                <w:lang w:eastAsia="en-IE" w:bidi="en-US"/>
              </w:rPr>
            </w:pPr>
          </w:p>
        </w:tc>
      </w:tr>
      <w:tr w:rsidR="00CC2CCC" w:rsidRPr="00604A2B" w14:paraId="7048774B"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9383A5" w14:textId="77777777" w:rsidR="00566A68" w:rsidRPr="0021208A" w:rsidRDefault="00566A68" w:rsidP="00A94DDC">
            <w:pPr>
              <w:pStyle w:val="FRABodyText"/>
            </w:pPr>
            <w:r w:rsidRPr="0021208A">
              <w:t>Are alternative ways of voting available to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E3471" w14:textId="69103C9C" w:rsidR="00566A68" w:rsidRPr="00902E78" w:rsidRDefault="00566A68" w:rsidP="00A94DDC">
            <w:pPr>
              <w:pStyle w:val="FRABodyText"/>
            </w:pPr>
            <w:r w:rsidRPr="00902E78">
              <w:t xml:space="preserve">Yes, available to all voters </w:t>
            </w:r>
          </w:p>
          <w:p w14:paraId="2ACF9B89" w14:textId="35C32AC2" w:rsidR="00566A68" w:rsidRPr="00902E78"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D8D915B" w14:textId="0B2300F9" w:rsidR="00F236C4" w:rsidRPr="00BE6376" w:rsidRDefault="00F236C4" w:rsidP="00F236C4">
            <w:pPr>
              <w:jc w:val="both"/>
              <w:rPr>
                <w:rFonts w:ascii="Verdana" w:hAnsi="Verdana" w:cstheme="minorHAnsi"/>
                <w:sz w:val="20"/>
              </w:rPr>
            </w:pPr>
            <w:r w:rsidRPr="00BE6376">
              <w:rPr>
                <w:rFonts w:ascii="Verdana" w:hAnsi="Verdana" w:cstheme="minorHAnsi"/>
                <w:sz w:val="20"/>
              </w:rPr>
              <w:t xml:space="preserve">Alternative ways </w:t>
            </w:r>
            <w:r>
              <w:rPr>
                <w:rFonts w:ascii="Verdana" w:hAnsi="Verdana" w:cstheme="minorHAnsi"/>
                <w:sz w:val="20"/>
              </w:rPr>
              <w:t>of voting</w:t>
            </w:r>
            <w:r w:rsidR="00DB38FD">
              <w:rPr>
                <w:rFonts w:ascii="Verdana" w:hAnsi="Verdana" w:cstheme="minorHAnsi"/>
                <w:sz w:val="20"/>
              </w:rPr>
              <w:t xml:space="preserve"> available to all voters</w:t>
            </w:r>
            <w:r w:rsidRPr="00BE6376">
              <w:rPr>
                <w:rFonts w:ascii="Verdana" w:hAnsi="Verdana" w:cstheme="minorHAnsi"/>
                <w:sz w:val="20"/>
              </w:rPr>
              <w:t xml:space="preserve"> are limited to voting from home</w:t>
            </w:r>
            <w:r>
              <w:rPr>
                <w:rFonts w:ascii="Verdana" w:hAnsi="Verdana" w:cstheme="minorHAnsi"/>
                <w:sz w:val="20"/>
              </w:rPr>
              <w:t xml:space="preserve"> by letter</w:t>
            </w:r>
            <w:r w:rsidRPr="00BE6376">
              <w:rPr>
                <w:rStyle w:val="FootnoteReference"/>
                <w:rFonts w:ascii="Verdana" w:eastAsia="Calibri" w:hAnsi="Verdana"/>
                <w:sz w:val="20"/>
              </w:rPr>
              <w:footnoteReference w:id="9"/>
            </w:r>
            <w:r w:rsidRPr="00BE6376">
              <w:rPr>
                <w:rFonts w:ascii="Verdana" w:hAnsi="Verdana" w:cstheme="minorHAnsi"/>
                <w:sz w:val="20"/>
              </w:rPr>
              <w:t xml:space="preserve"> and </w:t>
            </w:r>
            <w:r>
              <w:rPr>
                <w:rFonts w:ascii="Verdana" w:hAnsi="Verdana" w:cstheme="minorHAnsi"/>
                <w:sz w:val="20"/>
              </w:rPr>
              <w:t xml:space="preserve">voting </w:t>
            </w:r>
            <w:r w:rsidRPr="00BE6376">
              <w:rPr>
                <w:rFonts w:ascii="Verdana" w:hAnsi="Verdana" w:cstheme="minorHAnsi"/>
                <w:sz w:val="20"/>
              </w:rPr>
              <w:t>by proxy</w:t>
            </w:r>
            <w:r w:rsidRPr="00BE6376">
              <w:rPr>
                <w:rStyle w:val="FootnoteReference"/>
                <w:rFonts w:ascii="Verdana" w:eastAsia="Calibri" w:hAnsi="Verdana"/>
                <w:sz w:val="20"/>
              </w:rPr>
              <w:footnoteReference w:id="10"/>
            </w:r>
            <w:r w:rsidRPr="00BE6376">
              <w:rPr>
                <w:rFonts w:ascii="Verdana" w:hAnsi="Verdana" w:cstheme="minorHAnsi"/>
                <w:sz w:val="20"/>
              </w:rPr>
              <w:t>.</w:t>
            </w:r>
          </w:p>
          <w:p w14:paraId="798EA478" w14:textId="77777777" w:rsidR="00566A68" w:rsidRPr="00604A2B" w:rsidRDefault="00566A68" w:rsidP="00A94DDC">
            <w:pPr>
              <w:pStyle w:val="FRABodyText"/>
            </w:pPr>
          </w:p>
        </w:tc>
      </w:tr>
      <w:tr w:rsidR="00CC2CCC" w:rsidRPr="00324351" w14:paraId="3D270E81"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7156113" w14:textId="375CD0FD" w:rsidR="00566A68" w:rsidRPr="00902E78" w:rsidRDefault="00566A68" w:rsidP="00A94DDC">
            <w:pPr>
              <w:pStyle w:val="FRABodyText"/>
            </w:pPr>
            <w:r w:rsidRPr="00902E78">
              <w:t xml:space="preserve">Is there legislation regulating how people </w:t>
            </w:r>
            <w:r w:rsidRPr="00902E78">
              <w:lastRenderedPageBreak/>
              <w:t>living in long-term institutions may vote?</w:t>
            </w:r>
          </w:p>
          <w:p w14:paraId="7A39CDDF" w14:textId="77777777" w:rsidR="00566A68" w:rsidRPr="00902E78" w:rsidRDefault="00566A68" w:rsidP="00A94DDC">
            <w:pPr>
              <w:pStyle w:val="FRABodyText"/>
            </w:pP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3C0189F" w14:textId="0635D6C8" w:rsidR="00566A68" w:rsidRPr="00902E78" w:rsidRDefault="00566A68" w:rsidP="00A94DDC">
            <w:pPr>
              <w:pStyle w:val="FRABodyText"/>
            </w:pPr>
            <w:r w:rsidRPr="00902E78">
              <w:rPr>
                <w:lang w:val="en-IE"/>
              </w:rPr>
              <w:lastRenderedPageBreak/>
              <w:t>Yes, as part of legislation on alternative forms of voting</w:t>
            </w:r>
            <w:r w:rsidRPr="00902E78">
              <w:t xml:space="preserve"> </w:t>
            </w:r>
          </w:p>
          <w:p w14:paraId="08670BF7" w14:textId="58359EE6" w:rsidR="00566A68" w:rsidRPr="00902E78"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2CDA73C" w14:textId="7C96D843" w:rsidR="00D4411E" w:rsidRPr="001866AA" w:rsidRDefault="00D4411E" w:rsidP="00390A29">
            <w:pPr>
              <w:pStyle w:val="ListNumberNonindentedLevel2"/>
              <w:numPr>
                <w:ilvl w:val="0"/>
                <w:numId w:val="0"/>
              </w:numPr>
              <w:rPr>
                <w:rFonts w:eastAsia="Calibri"/>
              </w:rPr>
            </w:pPr>
            <w:r w:rsidRPr="00BE6376">
              <w:rPr>
                <w:rFonts w:eastAsia="Calibri"/>
              </w:rPr>
              <w:lastRenderedPageBreak/>
              <w:t xml:space="preserve">People living in long-term institutions are eligible to vote just like others. </w:t>
            </w:r>
          </w:p>
          <w:p w14:paraId="2FC4E7F6" w14:textId="77777777" w:rsidR="00390A29" w:rsidRDefault="00390A29" w:rsidP="00390A29">
            <w:pPr>
              <w:pStyle w:val="ListNumberNonindentedLevel2"/>
              <w:numPr>
                <w:ilvl w:val="0"/>
                <w:numId w:val="0"/>
              </w:numPr>
              <w:rPr>
                <w:rFonts w:eastAsia="Calibri"/>
              </w:rPr>
            </w:pPr>
          </w:p>
          <w:p w14:paraId="5695A327" w14:textId="2D22EC03" w:rsidR="00D4411E" w:rsidRDefault="00901D49" w:rsidP="00390A29">
            <w:pPr>
              <w:pStyle w:val="ListNumberNonindentedLevel2"/>
              <w:numPr>
                <w:ilvl w:val="0"/>
                <w:numId w:val="0"/>
              </w:numPr>
              <w:rPr>
                <w:rFonts w:eastAsia="Calibri"/>
              </w:rPr>
            </w:pPr>
            <w:r>
              <w:rPr>
                <w:rFonts w:eastAsia="Calibri"/>
              </w:rPr>
              <w:lastRenderedPageBreak/>
              <w:t>Article L2</w:t>
            </w:r>
            <w:r w:rsidR="00D4411E" w:rsidRPr="00BE6376">
              <w:rPr>
                <w:rFonts w:eastAsia="Calibri"/>
              </w:rPr>
              <w:t xml:space="preserve"> of the Electoral </w:t>
            </w:r>
            <w:r>
              <w:rPr>
                <w:rFonts w:eastAsia="Calibri"/>
              </w:rPr>
              <w:t>Act</w:t>
            </w:r>
            <w:r w:rsidR="00D4411E" w:rsidRPr="00BE6376">
              <w:rPr>
                <w:rFonts w:eastAsia="Calibri"/>
              </w:rPr>
              <w:t xml:space="preserve"> stipulates that people, including those living in long-term institutions, can give others the authority to vote on behalf of them by proxy (</w:t>
            </w:r>
            <w:proofErr w:type="spellStart"/>
            <w:r w:rsidR="00D4411E" w:rsidRPr="00BE6376">
              <w:rPr>
                <w:rFonts w:eastAsia="Calibri"/>
                <w:i/>
              </w:rPr>
              <w:t>bij</w:t>
            </w:r>
            <w:proofErr w:type="spellEnd"/>
            <w:r w:rsidR="00D4411E" w:rsidRPr="00BE6376">
              <w:rPr>
                <w:rFonts w:eastAsia="Calibri"/>
                <w:i/>
              </w:rPr>
              <w:t xml:space="preserve"> </w:t>
            </w:r>
            <w:proofErr w:type="spellStart"/>
            <w:r w:rsidR="00D4411E" w:rsidRPr="00BE6376">
              <w:rPr>
                <w:rFonts w:eastAsia="Calibri"/>
                <w:i/>
              </w:rPr>
              <w:t>volmacht</w:t>
            </w:r>
            <w:proofErr w:type="spellEnd"/>
            <w:r w:rsidR="00D4411E" w:rsidRPr="00BE6376">
              <w:rPr>
                <w:rFonts w:eastAsia="Calibri"/>
              </w:rPr>
              <w:t>).</w:t>
            </w:r>
            <w:r w:rsidR="00D4411E" w:rsidRPr="00BE6376">
              <w:rPr>
                <w:rStyle w:val="FootnoteReference"/>
                <w:rFonts w:ascii="Verdana" w:eastAsia="Calibri" w:hAnsi="Verdana"/>
                <w:sz w:val="20"/>
              </w:rPr>
              <w:footnoteReference w:id="11"/>
            </w:r>
            <w:r w:rsidR="00D4411E" w:rsidRPr="00BE6376">
              <w:rPr>
                <w:rFonts w:eastAsia="Calibri"/>
              </w:rPr>
              <w:t xml:space="preserve"> The law does not specify people living in long-term institutions explicitly, but talks of ‘voters who </w:t>
            </w:r>
            <w:r w:rsidR="00D4411E">
              <w:rPr>
                <w:rFonts w:eastAsia="Calibri"/>
              </w:rPr>
              <w:t xml:space="preserve">are </w:t>
            </w:r>
            <w:r w:rsidR="00D4411E" w:rsidRPr="00BE6376">
              <w:rPr>
                <w:rFonts w:eastAsia="Calibri"/>
              </w:rPr>
              <w:t>expect</w:t>
            </w:r>
            <w:r w:rsidR="00D4411E">
              <w:rPr>
                <w:rFonts w:eastAsia="Calibri"/>
              </w:rPr>
              <w:t>ed</w:t>
            </w:r>
            <w:r w:rsidR="00D4411E" w:rsidRPr="00BE6376">
              <w:rPr>
                <w:rFonts w:eastAsia="Calibri"/>
              </w:rPr>
              <w:t xml:space="preserve"> not to be able to vote in person'.</w:t>
            </w:r>
            <w:r w:rsidR="00D4411E" w:rsidRPr="00BE6376">
              <w:rPr>
                <w:rStyle w:val="FootnoteReference"/>
                <w:rFonts w:ascii="Verdana" w:eastAsia="Calibri" w:hAnsi="Verdana"/>
                <w:sz w:val="20"/>
              </w:rPr>
              <w:footnoteReference w:id="12"/>
            </w:r>
            <w:r w:rsidR="00D4411E" w:rsidRPr="00BE6376">
              <w:rPr>
                <w:rFonts w:eastAsia="Calibri"/>
              </w:rPr>
              <w:t xml:space="preserve"> </w:t>
            </w:r>
          </w:p>
          <w:p w14:paraId="7169B901" w14:textId="77777777" w:rsidR="00390A29" w:rsidRDefault="00390A29" w:rsidP="00390A29">
            <w:pPr>
              <w:pStyle w:val="ListNumberNonindentedLevel2"/>
              <w:numPr>
                <w:ilvl w:val="0"/>
                <w:numId w:val="0"/>
              </w:numPr>
            </w:pPr>
          </w:p>
          <w:p w14:paraId="7442AE56" w14:textId="4C0B87E8" w:rsidR="00566A68" w:rsidRPr="00324351" w:rsidRDefault="00D4411E" w:rsidP="00390A29">
            <w:pPr>
              <w:pStyle w:val="ListNumberNonindentedLevel2"/>
              <w:numPr>
                <w:ilvl w:val="0"/>
                <w:numId w:val="0"/>
              </w:numPr>
            </w:pPr>
            <w:r w:rsidRPr="00BE6376">
              <w:t>There are no special procedures or provisions in place for people living in long-term institutions, so they have to make use of proxy voting. To give another person the authority to vote on their behalf, voters have to submit a proxy form at least two weeks in advance, signed by themselves and the authorised person.</w:t>
            </w:r>
            <w:r w:rsidRPr="00BE6376">
              <w:rPr>
                <w:rStyle w:val="FootnoteReference"/>
              </w:rPr>
              <w:footnoteReference w:id="13"/>
            </w:r>
            <w:r w:rsidRPr="00BE6376">
              <w:t xml:space="preserve"> Alternatively, they can assign the authority on the election day itself by signing the appropriate part of their voting card which is sent to their home, and giving that to the person doing the voting.</w:t>
            </w:r>
            <w:r w:rsidRPr="00BE6376">
              <w:rPr>
                <w:rStyle w:val="FootnoteReference"/>
              </w:rPr>
              <w:footnoteReference w:id="14"/>
            </w:r>
          </w:p>
        </w:tc>
      </w:tr>
      <w:tr w:rsidR="00CC2CCC" w:rsidRPr="00BD7179" w14:paraId="72B066EB"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44F0B" w14:textId="77777777" w:rsidR="00566A68" w:rsidRPr="0021208A" w:rsidRDefault="00566A68" w:rsidP="00A94DDC">
            <w:pPr>
              <w:pStyle w:val="FRABodyText"/>
            </w:pPr>
            <w:r w:rsidRPr="0021208A">
              <w:lastRenderedPageBreak/>
              <w:t xml:space="preserve">Is there a legal duty to provide assistance in </w:t>
            </w:r>
            <w:r w:rsidRPr="0021208A">
              <w:lastRenderedPageBreak/>
              <w:t>voting to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188771C" w14:textId="75C96EAA" w:rsidR="00566A68" w:rsidRPr="00902E78" w:rsidRDefault="00566A68" w:rsidP="00A94DDC">
            <w:pPr>
              <w:pStyle w:val="FRABodyText"/>
            </w:pPr>
            <w:r w:rsidRPr="00902E78">
              <w:lastRenderedPageBreak/>
              <w:t xml:space="preserve">Yes, for people with physical and sensory disabilities </w:t>
            </w:r>
          </w:p>
          <w:p w14:paraId="2B08EAB9" w14:textId="21CB50D6" w:rsidR="00566A68" w:rsidRPr="00902E78"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7EB2989" w14:textId="7A7C8BC2" w:rsidR="004A21D9" w:rsidRPr="00BE6376" w:rsidRDefault="004A21D9" w:rsidP="004A21D9">
            <w:pPr>
              <w:jc w:val="both"/>
              <w:rPr>
                <w:rFonts w:ascii="Verdana" w:hAnsi="Verdana" w:cstheme="minorHAnsi"/>
                <w:sz w:val="20"/>
              </w:rPr>
            </w:pPr>
            <w:r w:rsidRPr="00BE6376">
              <w:rPr>
                <w:rFonts w:ascii="Verdana" w:hAnsi="Verdana" w:cstheme="minorHAnsi"/>
                <w:sz w:val="20"/>
              </w:rPr>
              <w:lastRenderedPageBreak/>
              <w:t xml:space="preserve">Only people with physical </w:t>
            </w:r>
            <w:r w:rsidR="009C5899">
              <w:rPr>
                <w:rFonts w:ascii="Verdana" w:hAnsi="Verdana" w:cstheme="minorHAnsi"/>
                <w:sz w:val="20"/>
              </w:rPr>
              <w:t xml:space="preserve">or sensory </w:t>
            </w:r>
            <w:r w:rsidRPr="00BE6376">
              <w:rPr>
                <w:rFonts w:ascii="Verdana" w:hAnsi="Verdana" w:cstheme="minorHAnsi"/>
                <w:sz w:val="20"/>
              </w:rPr>
              <w:t>disabilities can be accompanied when they vote.</w:t>
            </w:r>
            <w:r w:rsidRPr="00BE6376">
              <w:rPr>
                <w:rStyle w:val="FootnoteReference"/>
                <w:rFonts w:ascii="Verdana" w:eastAsia="Calibri" w:hAnsi="Verdana"/>
                <w:sz w:val="20"/>
              </w:rPr>
              <w:footnoteReference w:id="15"/>
            </w:r>
            <w:r w:rsidRPr="00BE6376">
              <w:rPr>
                <w:rFonts w:ascii="Verdana" w:hAnsi="Verdana" w:cstheme="minorHAnsi"/>
                <w:sz w:val="20"/>
              </w:rPr>
              <w:t xml:space="preserve"> People with mental disabilities have to vote themselves.</w:t>
            </w:r>
          </w:p>
          <w:p w14:paraId="33A519A7" w14:textId="7E89F4DD" w:rsidR="004A21D9" w:rsidRPr="00BE6376" w:rsidRDefault="004A21D9" w:rsidP="004A21D9">
            <w:pPr>
              <w:jc w:val="both"/>
              <w:rPr>
                <w:rFonts w:ascii="Verdana" w:hAnsi="Verdana" w:cstheme="minorHAnsi"/>
                <w:sz w:val="20"/>
              </w:rPr>
            </w:pPr>
            <w:r w:rsidRPr="00BE6376">
              <w:rPr>
                <w:rFonts w:ascii="Verdana" w:hAnsi="Verdana" w:cstheme="minorHAnsi"/>
                <w:sz w:val="20"/>
              </w:rPr>
              <w:lastRenderedPageBreak/>
              <w:t>Alternative ways to vote are limited to voting from home</w:t>
            </w:r>
            <w:r>
              <w:rPr>
                <w:rFonts w:ascii="Verdana" w:hAnsi="Verdana" w:cstheme="minorHAnsi"/>
                <w:sz w:val="20"/>
              </w:rPr>
              <w:t xml:space="preserve"> by letter</w:t>
            </w:r>
            <w:r w:rsidR="004569B5" w:rsidRPr="00BE6376">
              <w:rPr>
                <w:rStyle w:val="FootnoteReference"/>
                <w:rFonts w:ascii="Verdana" w:eastAsia="Calibri" w:hAnsi="Verdana"/>
                <w:sz w:val="20"/>
              </w:rPr>
              <w:footnoteReference w:id="16"/>
            </w:r>
            <w:r w:rsidRPr="00BE6376">
              <w:rPr>
                <w:rFonts w:ascii="Verdana" w:hAnsi="Verdana" w:cstheme="minorHAnsi"/>
                <w:sz w:val="20"/>
              </w:rPr>
              <w:t xml:space="preserve"> and </w:t>
            </w:r>
            <w:r>
              <w:rPr>
                <w:rFonts w:ascii="Verdana" w:hAnsi="Verdana" w:cstheme="minorHAnsi"/>
                <w:sz w:val="20"/>
              </w:rPr>
              <w:t xml:space="preserve">voting </w:t>
            </w:r>
            <w:r w:rsidRPr="00BE6376">
              <w:rPr>
                <w:rFonts w:ascii="Verdana" w:hAnsi="Verdana" w:cstheme="minorHAnsi"/>
                <w:sz w:val="20"/>
              </w:rPr>
              <w:t>by proxy</w:t>
            </w:r>
            <w:r w:rsidR="00B37D5F" w:rsidRPr="00BE6376">
              <w:rPr>
                <w:rStyle w:val="FootnoteReference"/>
                <w:rFonts w:ascii="Verdana" w:eastAsia="Calibri" w:hAnsi="Verdana"/>
                <w:sz w:val="20"/>
              </w:rPr>
              <w:footnoteReference w:id="17"/>
            </w:r>
            <w:r w:rsidRPr="00BE6376">
              <w:rPr>
                <w:rFonts w:ascii="Verdana" w:hAnsi="Verdana" w:cstheme="minorHAnsi"/>
                <w:sz w:val="20"/>
              </w:rPr>
              <w:t>.</w:t>
            </w:r>
          </w:p>
          <w:p w14:paraId="1021907B" w14:textId="77777777" w:rsidR="00566A68" w:rsidRPr="00BD7179" w:rsidRDefault="00566A68" w:rsidP="00A94DDC">
            <w:pPr>
              <w:pStyle w:val="FRABodyText"/>
            </w:pPr>
          </w:p>
        </w:tc>
      </w:tr>
      <w:tr w:rsidR="00CC2CCC" w:rsidRPr="0037627B" w14:paraId="21C50DE3"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46933F6" w14:textId="77777777" w:rsidR="00566A68" w:rsidRPr="0021208A" w:rsidRDefault="00566A68" w:rsidP="00A94DDC">
            <w:pPr>
              <w:pStyle w:val="FRABodyText"/>
            </w:pPr>
            <w:r w:rsidRPr="0021208A">
              <w:lastRenderedPageBreak/>
              <w:t>Are all persons with disabilities legally able to access complaints mechanisms if they have not been able to exercise the right to political participation?</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2FB6878" w14:textId="40C26C1A" w:rsidR="00566A68" w:rsidRPr="00902E78" w:rsidRDefault="00566A68" w:rsidP="00A94DDC">
            <w:pPr>
              <w:pStyle w:val="FRABodyText"/>
            </w:pPr>
            <w:r w:rsidRPr="00902E78">
              <w:t>Yes, all persons with disabilities</w:t>
            </w:r>
            <w:r w:rsidR="00A13ECB" w:rsidRPr="00902E78">
              <w:t>.</w:t>
            </w:r>
            <w:r w:rsidRPr="00902E78">
              <w:t xml:space="preserve"> </w:t>
            </w:r>
          </w:p>
          <w:p w14:paraId="01E38011" w14:textId="4D316403" w:rsidR="00566A68" w:rsidRPr="00902E78"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B4AFB3" w14:textId="39D02EF7" w:rsidR="00A13ECB" w:rsidRPr="005F1DAF" w:rsidRDefault="00A13ECB" w:rsidP="005F1DAF">
            <w:pPr>
              <w:spacing w:before="240"/>
              <w:contextualSpacing/>
              <w:rPr>
                <w:rFonts w:ascii="Verdana" w:eastAsia="Calibri" w:hAnsi="Verdana"/>
                <w:sz w:val="20"/>
              </w:rPr>
            </w:pPr>
            <w:r w:rsidRPr="00EC5D13">
              <w:rPr>
                <w:rFonts w:ascii="Verdana" w:eastAsia="Calibri" w:hAnsi="Verdana"/>
                <w:sz w:val="20"/>
              </w:rPr>
              <w:t xml:space="preserve">All complaint procedures and redress mechanisms </w:t>
            </w:r>
            <w:r w:rsidR="005E7E37" w:rsidRPr="00EC5D13">
              <w:rPr>
                <w:rFonts w:ascii="Verdana" w:eastAsia="Calibri" w:hAnsi="Verdana"/>
                <w:sz w:val="20"/>
              </w:rPr>
              <w:t>u</w:t>
            </w:r>
            <w:r w:rsidRPr="00EC5D13">
              <w:rPr>
                <w:rFonts w:ascii="Verdana" w:eastAsia="Calibri" w:hAnsi="Verdana"/>
                <w:sz w:val="20"/>
              </w:rPr>
              <w:t>nder the Electoral Act are available to persons with disabilities (with or without legal capacity)</w:t>
            </w:r>
            <w:r w:rsidR="006264CB">
              <w:rPr>
                <w:rFonts w:ascii="Verdana" w:eastAsia="Calibri" w:hAnsi="Verdana"/>
                <w:sz w:val="20"/>
              </w:rPr>
              <w:t>.</w:t>
            </w:r>
            <w:r w:rsidRPr="00EC5D13">
              <w:rPr>
                <w:rFonts w:ascii="Verdana" w:eastAsia="Calibri" w:hAnsi="Verdana"/>
                <w:sz w:val="20"/>
              </w:rPr>
              <w:t xml:space="preserve"> Depending on the nature of the complaint, this can be addressed to the municipality, to a polling station in question</w:t>
            </w:r>
            <w:r w:rsidR="00ED21F1" w:rsidRPr="00EC5D13">
              <w:rPr>
                <w:rStyle w:val="FootnoteReference"/>
                <w:rFonts w:ascii="Verdana" w:eastAsia="Calibri" w:hAnsi="Verdana"/>
                <w:sz w:val="20"/>
              </w:rPr>
              <w:footnoteReference w:id="18"/>
            </w:r>
            <w:r w:rsidRPr="00EC5D13">
              <w:rPr>
                <w:rFonts w:ascii="Verdana" w:eastAsia="Calibri" w:hAnsi="Verdana"/>
                <w:sz w:val="20"/>
              </w:rPr>
              <w:t>, to one of the major polling stations</w:t>
            </w:r>
            <w:r w:rsidR="005E7E37" w:rsidRPr="00EC5D13">
              <w:rPr>
                <w:rStyle w:val="FootnoteReference"/>
                <w:rFonts w:ascii="Verdana" w:eastAsia="Calibri" w:hAnsi="Verdana"/>
                <w:sz w:val="20"/>
              </w:rPr>
              <w:footnoteReference w:id="19"/>
            </w:r>
            <w:r w:rsidR="005E7E37" w:rsidRPr="00EC5D13">
              <w:rPr>
                <w:rFonts w:ascii="Verdana" w:hAnsi="Verdana" w:cstheme="minorHAnsi"/>
                <w:sz w:val="20"/>
              </w:rPr>
              <w:t xml:space="preserve"> </w:t>
            </w:r>
            <w:r w:rsidRPr="00EC5D13">
              <w:rPr>
                <w:rFonts w:ascii="Verdana" w:eastAsia="Calibri" w:hAnsi="Verdana"/>
                <w:sz w:val="20"/>
              </w:rPr>
              <w:t xml:space="preserve"> or to the Electoral Council (</w:t>
            </w:r>
            <w:proofErr w:type="spellStart"/>
            <w:r w:rsidRPr="00EC5D13">
              <w:rPr>
                <w:rFonts w:ascii="Verdana" w:eastAsia="Calibri" w:hAnsi="Verdana"/>
                <w:i/>
                <w:sz w:val="20"/>
              </w:rPr>
              <w:t>Kiesraad</w:t>
            </w:r>
            <w:proofErr w:type="spellEnd"/>
            <w:r w:rsidRPr="00EC5D13">
              <w:rPr>
                <w:rFonts w:ascii="Verdana" w:eastAsia="Calibri" w:hAnsi="Verdana"/>
                <w:sz w:val="20"/>
              </w:rPr>
              <w:t>)</w:t>
            </w:r>
            <w:r w:rsidR="003A442C" w:rsidRPr="00EC5D13">
              <w:rPr>
                <w:rStyle w:val="FootnoteReference"/>
                <w:rFonts w:ascii="Verdana" w:eastAsia="Calibri" w:hAnsi="Verdana"/>
                <w:sz w:val="20"/>
              </w:rPr>
              <w:footnoteReference w:id="20"/>
            </w:r>
            <w:r w:rsidRPr="00EC5D13">
              <w:rPr>
                <w:rFonts w:ascii="Verdana" w:eastAsia="Calibri" w:hAnsi="Verdana"/>
                <w:sz w:val="20"/>
              </w:rPr>
              <w:t xml:space="preserve">. </w:t>
            </w:r>
            <w:r w:rsidR="00E50047" w:rsidRPr="00EC5D13">
              <w:rPr>
                <w:rFonts w:ascii="Verdana" w:eastAsia="Calibri" w:hAnsi="Verdana"/>
                <w:sz w:val="20"/>
              </w:rPr>
              <w:t xml:space="preserve">if </w:t>
            </w:r>
            <w:r w:rsidR="00EC5D13" w:rsidRPr="00EC5D13">
              <w:rPr>
                <w:rFonts w:ascii="Verdana" w:eastAsia="Calibri" w:hAnsi="Verdana"/>
                <w:sz w:val="20"/>
              </w:rPr>
              <w:t>the complainant does not agree with the decision of the body to which he or she submitted the complaint, he or she can lodge an appeal with the Administrative Jurisdiction Division of the Council of State (</w:t>
            </w:r>
            <w:proofErr w:type="spellStart"/>
            <w:r w:rsidR="00EC5D13" w:rsidRPr="00EC5D13">
              <w:rPr>
                <w:rFonts w:ascii="Verdana" w:eastAsia="Calibri" w:hAnsi="Verdana"/>
                <w:i/>
                <w:iCs/>
                <w:sz w:val="20"/>
              </w:rPr>
              <w:t>Afdeling</w:t>
            </w:r>
            <w:proofErr w:type="spellEnd"/>
            <w:r w:rsidR="00EC5D13" w:rsidRPr="00EC5D13">
              <w:rPr>
                <w:rFonts w:ascii="Verdana" w:eastAsia="Calibri" w:hAnsi="Verdana"/>
                <w:i/>
                <w:iCs/>
                <w:sz w:val="20"/>
              </w:rPr>
              <w:t xml:space="preserve"> </w:t>
            </w:r>
            <w:proofErr w:type="spellStart"/>
            <w:r w:rsidR="00EC5D13" w:rsidRPr="00EC5D13">
              <w:rPr>
                <w:rFonts w:ascii="Verdana" w:eastAsia="Calibri" w:hAnsi="Verdana"/>
                <w:i/>
                <w:iCs/>
                <w:sz w:val="20"/>
              </w:rPr>
              <w:t>Bestuursrechtspraak</w:t>
            </w:r>
            <w:proofErr w:type="spellEnd"/>
            <w:r w:rsidR="00EC5D13" w:rsidRPr="00EC5D13">
              <w:rPr>
                <w:rFonts w:ascii="Verdana" w:eastAsia="Calibri" w:hAnsi="Verdana"/>
                <w:i/>
                <w:iCs/>
                <w:sz w:val="20"/>
              </w:rPr>
              <w:t xml:space="preserve"> Raad van State</w:t>
            </w:r>
            <w:r w:rsidR="00EC5D13" w:rsidRPr="00EC5D13">
              <w:rPr>
                <w:rFonts w:ascii="Verdana" w:eastAsia="Calibri" w:hAnsi="Verdana"/>
                <w:sz w:val="20"/>
              </w:rPr>
              <w:t>).</w:t>
            </w:r>
          </w:p>
        </w:tc>
      </w:tr>
      <w:tr w:rsidR="00CC2CCC" w:rsidRPr="002D76F6" w14:paraId="533AB954"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C0DD55" w14:textId="1B383141" w:rsidR="00566A68" w:rsidRPr="0021208A" w:rsidRDefault="00566A68" w:rsidP="00A94DDC">
            <w:pPr>
              <w:pStyle w:val="FRABodyText"/>
            </w:pPr>
            <w:r w:rsidRPr="0021208A">
              <w:t xml:space="preserve">Is information on complaints </w:t>
            </w:r>
            <w:r w:rsidRPr="0021208A">
              <w:lastRenderedPageBreak/>
              <w:t>mechanisms regarding political participation accessible to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636029" w14:textId="5E0E2215" w:rsidR="00CC6006" w:rsidRPr="00E94980" w:rsidRDefault="00566A68" w:rsidP="00A94DDC">
            <w:pPr>
              <w:pStyle w:val="FRABodyText"/>
            </w:pPr>
            <w:r w:rsidRPr="00E94980">
              <w:lastRenderedPageBreak/>
              <w:t xml:space="preserve">Partially – some accessibility measures are in place </w:t>
            </w:r>
          </w:p>
          <w:p w14:paraId="01E32163" w14:textId="35B43818" w:rsidR="00566A68" w:rsidRPr="00E94980" w:rsidRDefault="00566A68"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BA567EC" w14:textId="3266CB16" w:rsidR="00902ECC" w:rsidRPr="00E94980" w:rsidRDefault="00902ECC" w:rsidP="00A94DDC">
            <w:pPr>
              <w:pStyle w:val="FRABodyText"/>
            </w:pPr>
            <w:r w:rsidRPr="00E94980">
              <w:lastRenderedPageBreak/>
              <w:t xml:space="preserve">The complaints mechanism of the Electoral </w:t>
            </w:r>
            <w:r w:rsidR="00FA2D0A" w:rsidRPr="00E94980">
              <w:t>Council</w:t>
            </w:r>
            <w:r w:rsidR="007F6018" w:rsidRPr="00E94980">
              <w:t xml:space="preserve"> is available on its website.</w:t>
            </w:r>
            <w:r w:rsidR="00FA2D0A" w:rsidRPr="00E94980">
              <w:rPr>
                <w:rStyle w:val="FootnoteReference"/>
                <w:rFonts w:ascii="Verdana" w:hAnsi="Verdana"/>
                <w:sz w:val="20"/>
              </w:rPr>
              <w:t xml:space="preserve"> </w:t>
            </w:r>
            <w:r w:rsidR="00FA2D0A" w:rsidRPr="00E94980">
              <w:rPr>
                <w:rStyle w:val="FootnoteReference"/>
                <w:rFonts w:ascii="Verdana" w:hAnsi="Verdana"/>
                <w:sz w:val="20"/>
              </w:rPr>
              <w:footnoteReference w:id="21"/>
            </w:r>
          </w:p>
          <w:p w14:paraId="7DE7DC83" w14:textId="77777777" w:rsidR="00902ECC" w:rsidRPr="00E94980" w:rsidRDefault="00902ECC" w:rsidP="00A94DDC">
            <w:pPr>
              <w:pStyle w:val="FRABodyText"/>
            </w:pPr>
          </w:p>
          <w:p w14:paraId="0184804D" w14:textId="18CA8699" w:rsidR="00566A68" w:rsidRPr="00E94980" w:rsidRDefault="00CC6006" w:rsidP="00A94DDC">
            <w:pPr>
              <w:pStyle w:val="FRABodyText"/>
            </w:pPr>
            <w:r w:rsidRPr="00E94980">
              <w:lastRenderedPageBreak/>
              <w:t xml:space="preserve">A report by Cardan </w:t>
            </w:r>
            <w:proofErr w:type="spellStart"/>
            <w:r w:rsidRPr="00E94980">
              <w:t>Technobility</w:t>
            </w:r>
            <w:proofErr w:type="spellEnd"/>
            <w:r w:rsidRPr="00E94980">
              <w:t xml:space="preserve"> , an expertise centre on digital accessibility, assessed the accessibility of the content of the website </w:t>
            </w:r>
            <w:hyperlink r:id="rId18" w:history="1">
              <w:r w:rsidRPr="00E94980">
                <w:rPr>
                  <w:rStyle w:val="Hyperlink"/>
                </w:rPr>
                <w:t>www.kiesraad.nl</w:t>
              </w:r>
            </w:hyperlink>
            <w:r w:rsidRPr="00E94980">
              <w:t>.</w:t>
            </w:r>
            <w:r w:rsidRPr="00E94980">
              <w:rPr>
                <w:rStyle w:val="FootnoteReference"/>
              </w:rPr>
              <w:footnoteReference w:id="22"/>
            </w:r>
            <w:r w:rsidRPr="00E94980">
              <w:t xml:space="preserve"> It was completed on 28 September 2022. The standard used in this assessment was WCAG 2.1 level AA. The assessment report shows that the website content does fully meet all success criteria. Currently, the website meets 25 of the 30 success criteria applicable to the website's content.</w:t>
            </w:r>
            <w:r w:rsidR="003C6084">
              <w:t xml:space="preserve"> </w:t>
            </w:r>
          </w:p>
        </w:tc>
      </w:tr>
      <w:tr w:rsidR="00CC2CCC" w:rsidRPr="00E92EC5" w14:paraId="0ACA1222"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E4B490" w14:textId="77777777" w:rsidR="00566A68" w:rsidRPr="0021208A" w:rsidRDefault="00566A68" w:rsidP="00A94DDC">
            <w:pPr>
              <w:pStyle w:val="FRABodyText"/>
            </w:pPr>
            <w:r w:rsidRPr="0021208A">
              <w:lastRenderedPageBreak/>
              <w:t>Have national courts considered cases related to the right to political participation of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B8F137" w14:textId="33732121" w:rsidR="009C358F" w:rsidRPr="00E94980" w:rsidRDefault="009C358F" w:rsidP="009C358F">
            <w:pPr>
              <w:rPr>
                <w:rFonts w:ascii="Verdana" w:eastAsia="Calibri" w:hAnsi="Verdana" w:cstheme="minorBidi"/>
                <w:sz w:val="20"/>
                <w:szCs w:val="22"/>
                <w:lang w:eastAsia="en-IE" w:bidi="en-US"/>
              </w:rPr>
            </w:pPr>
            <w:r w:rsidRPr="00E94980">
              <w:rPr>
                <w:rFonts w:ascii="Verdana" w:eastAsia="Calibri" w:hAnsi="Verdana" w:cstheme="minorBidi"/>
                <w:sz w:val="20"/>
                <w:szCs w:val="22"/>
                <w:lang w:eastAsia="en-IE" w:bidi="en-US"/>
              </w:rPr>
              <w:t xml:space="preserve">No cases identified </w:t>
            </w:r>
          </w:p>
          <w:p w14:paraId="0860E57B" w14:textId="4AE0C4A8" w:rsidR="00566A68" w:rsidRPr="00934F66" w:rsidRDefault="00566A68" w:rsidP="00A94DDC">
            <w:pPr>
              <w:pStyle w:val="FRABodyText"/>
              <w:rPr>
                <w:highlight w:val="green"/>
              </w:rPr>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87D33F2" w14:textId="36D6C396" w:rsidR="009C358F" w:rsidRPr="002D4C98" w:rsidRDefault="009C358F" w:rsidP="00A94DDC">
            <w:pPr>
              <w:pStyle w:val="FRABodyText"/>
            </w:pPr>
            <w:r w:rsidRPr="002D4C98">
              <w:t>No case identified for the reference period of this report (January 2020 - 31 January 2024)</w:t>
            </w:r>
            <w:r w:rsidR="0044380B" w:rsidRPr="002D4C98">
              <w:t>. We have checked</w:t>
            </w:r>
            <w:r w:rsidR="00C64D8A" w:rsidRPr="002D4C98">
              <w:t xml:space="preserve"> the case law database on the website of the  Council for the Judiciary </w:t>
            </w:r>
            <w:r w:rsidR="00E94980">
              <w:t>(</w:t>
            </w:r>
            <w:r w:rsidR="00075A38" w:rsidRPr="002D4C98">
              <w:rPr>
                <w:i/>
                <w:iCs/>
              </w:rPr>
              <w:t xml:space="preserve">Raad </w:t>
            </w:r>
            <w:proofErr w:type="spellStart"/>
            <w:r w:rsidR="00075A38" w:rsidRPr="002D4C98">
              <w:rPr>
                <w:i/>
                <w:iCs/>
              </w:rPr>
              <w:t>voor</w:t>
            </w:r>
            <w:proofErr w:type="spellEnd"/>
            <w:r w:rsidR="00075A38" w:rsidRPr="002D4C98">
              <w:rPr>
                <w:i/>
                <w:iCs/>
              </w:rPr>
              <w:t xml:space="preserve"> de </w:t>
            </w:r>
            <w:proofErr w:type="spellStart"/>
            <w:r w:rsidR="00075A38" w:rsidRPr="002D4C98">
              <w:rPr>
                <w:i/>
                <w:iCs/>
              </w:rPr>
              <w:t>rechtspraa</w:t>
            </w:r>
            <w:r w:rsidR="00E94980">
              <w:rPr>
                <w:i/>
                <w:iCs/>
              </w:rPr>
              <w:t>k</w:t>
            </w:r>
            <w:proofErr w:type="spellEnd"/>
            <w:r w:rsidR="00C64D8A" w:rsidRPr="002D4C98">
              <w:t>)</w:t>
            </w:r>
            <w:r w:rsidR="0044380B" w:rsidRPr="002D4C98">
              <w:t>.</w:t>
            </w:r>
            <w:r w:rsidR="00075A38" w:rsidRPr="002D4C98">
              <w:rPr>
                <w:rStyle w:val="FootnoteReference"/>
              </w:rPr>
              <w:footnoteReference w:id="23"/>
            </w:r>
          </w:p>
          <w:p w14:paraId="2D0C88BC" w14:textId="1B868979" w:rsidR="009C358F" w:rsidRPr="002D4C98" w:rsidRDefault="009C358F" w:rsidP="00A94DDC">
            <w:pPr>
              <w:pStyle w:val="FRABodyText"/>
            </w:pPr>
          </w:p>
          <w:p w14:paraId="7D86F73D" w14:textId="77777777" w:rsidR="001A6E5D" w:rsidRPr="001A6E5D" w:rsidRDefault="001A6E5D" w:rsidP="00A94DDC">
            <w:pPr>
              <w:pStyle w:val="FRABodyText"/>
            </w:pPr>
            <w:r w:rsidRPr="002D4C98">
              <w:t>National courts have considered cases related to the right to political participation of persons with disabilities in the past.</w:t>
            </w:r>
          </w:p>
          <w:p w14:paraId="5062542B" w14:textId="77777777" w:rsidR="001A6E5D" w:rsidRDefault="001A6E5D" w:rsidP="00A94DDC">
            <w:pPr>
              <w:pStyle w:val="FRABodyText"/>
            </w:pPr>
          </w:p>
          <w:p w14:paraId="08504740" w14:textId="5538BD42" w:rsidR="00BD56E9" w:rsidRPr="00E92EC5" w:rsidRDefault="003B22F0" w:rsidP="00A94DDC">
            <w:pPr>
              <w:pStyle w:val="FRABodyText"/>
            </w:pPr>
            <w:r w:rsidRPr="00282B5B">
              <w:t>On 29</w:t>
            </w:r>
            <w:r w:rsidRPr="003B22F0">
              <w:t xml:space="preserve"> October 2003</w:t>
            </w:r>
            <w:r>
              <w:t xml:space="preserve">, the </w:t>
            </w:r>
            <w:r w:rsidRPr="003B22F0">
              <w:t>Administrative Jurisdiction Division of the Council of State (</w:t>
            </w:r>
            <w:proofErr w:type="spellStart"/>
            <w:r w:rsidRPr="003B22F0">
              <w:rPr>
                <w:i/>
                <w:iCs/>
              </w:rPr>
              <w:t>Afdeling</w:t>
            </w:r>
            <w:proofErr w:type="spellEnd"/>
            <w:r w:rsidRPr="003B22F0">
              <w:rPr>
                <w:i/>
                <w:iCs/>
              </w:rPr>
              <w:t xml:space="preserve"> </w:t>
            </w:r>
            <w:proofErr w:type="spellStart"/>
            <w:r w:rsidRPr="003B22F0">
              <w:rPr>
                <w:i/>
                <w:iCs/>
              </w:rPr>
              <w:t>Bestuursrechtspraak</w:t>
            </w:r>
            <w:proofErr w:type="spellEnd"/>
            <w:r w:rsidRPr="003B22F0">
              <w:rPr>
                <w:i/>
                <w:iCs/>
              </w:rPr>
              <w:t xml:space="preserve"> Raad van State</w:t>
            </w:r>
            <w:r w:rsidRPr="003B22F0">
              <w:t>)</w:t>
            </w:r>
            <w:r>
              <w:t xml:space="preserve"> ruled that the categorical exclusion </w:t>
            </w:r>
            <w:r w:rsidR="009C5899">
              <w:t xml:space="preserve">from the right to vote </w:t>
            </w:r>
            <w:r>
              <w:t xml:space="preserve">of </w:t>
            </w:r>
            <w:r w:rsidRPr="003B22F0">
              <w:t xml:space="preserve">persons placed under custodial care due to mental health problems or intellectual disabilities </w:t>
            </w:r>
            <w:r>
              <w:t xml:space="preserve">is  </w:t>
            </w:r>
            <w:r w:rsidRPr="003B22F0">
              <w:t xml:space="preserve">contrary to the International </w:t>
            </w:r>
            <w:r w:rsidRPr="003B22F0">
              <w:lastRenderedPageBreak/>
              <w:t>Covenant on Civil and Political Rights.</w:t>
            </w:r>
            <w:r>
              <w:rPr>
                <w:rStyle w:val="FootnoteReference"/>
              </w:rPr>
              <w:footnoteReference w:id="24"/>
            </w:r>
            <w:r>
              <w:t xml:space="preserve"> In 2008, this ruling led to the removal of the</w:t>
            </w:r>
            <w:r w:rsidRPr="003B22F0">
              <w:t xml:space="preserve"> provision in the Dutch Constitution which prohibited people who have been placed under curatorship to vote.</w:t>
            </w:r>
            <w:r w:rsidR="00FD3ABD">
              <w:rPr>
                <w:rStyle w:val="FootnoteReference"/>
              </w:rPr>
              <w:t xml:space="preserve"> </w:t>
            </w:r>
            <w:r w:rsidR="00FD3ABD">
              <w:rPr>
                <w:rStyle w:val="FootnoteReference"/>
              </w:rPr>
              <w:footnoteReference w:id="25"/>
            </w:r>
          </w:p>
        </w:tc>
      </w:tr>
      <w:tr w:rsidR="00CC2CCC" w:rsidRPr="00FC6971" w14:paraId="2DA61EC4"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5265874" w14:textId="77777777" w:rsidR="00566A68" w:rsidRPr="0021208A" w:rsidRDefault="00566A68" w:rsidP="00A94DDC">
            <w:pPr>
              <w:pStyle w:val="FRABodyText"/>
            </w:pPr>
            <w:r w:rsidRPr="0021208A">
              <w:lastRenderedPageBreak/>
              <w:t>Have non-judicial complaints mechanisms considered cases related to the right to political participation of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17EE7F" w14:textId="77777777" w:rsidR="00566A68" w:rsidRPr="00802C74" w:rsidRDefault="00566A68" w:rsidP="00A94DDC">
            <w:pPr>
              <w:pStyle w:val="FRABodyText"/>
            </w:pPr>
            <w:r w:rsidRPr="00E94980">
              <w:t>No, no cases identified</w:t>
            </w:r>
            <w:r w:rsidRPr="00802C74">
              <w:t xml:space="preserve"> </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257FD7" w14:textId="52965D34" w:rsidR="00566A68" w:rsidRPr="00FC6971" w:rsidRDefault="0079620B" w:rsidP="00A94DDC">
            <w:pPr>
              <w:pStyle w:val="FRABodyText"/>
            </w:pPr>
            <w:r>
              <w:t>No case</w:t>
            </w:r>
            <w:r w:rsidR="00A10566">
              <w:t>s</w:t>
            </w:r>
            <w:r>
              <w:t xml:space="preserve"> identified. The </w:t>
            </w:r>
            <w:r w:rsidR="00091AE6">
              <w:t xml:space="preserve">website of the Netherlands Institute for </w:t>
            </w:r>
            <w:r w:rsidR="001E4738">
              <w:t>Human Rights (</w:t>
            </w:r>
            <w:r w:rsidRPr="0079620B">
              <w:rPr>
                <w:i/>
                <w:iCs/>
              </w:rPr>
              <w:t xml:space="preserve">College </w:t>
            </w:r>
            <w:proofErr w:type="spellStart"/>
            <w:r w:rsidRPr="0079620B">
              <w:rPr>
                <w:i/>
                <w:iCs/>
              </w:rPr>
              <w:t>voor</w:t>
            </w:r>
            <w:proofErr w:type="spellEnd"/>
            <w:r w:rsidRPr="0079620B">
              <w:rPr>
                <w:i/>
                <w:iCs/>
              </w:rPr>
              <w:t xml:space="preserve"> de </w:t>
            </w:r>
            <w:proofErr w:type="spellStart"/>
            <w:r w:rsidRPr="0079620B">
              <w:rPr>
                <w:i/>
                <w:iCs/>
              </w:rPr>
              <w:t>Rechten</w:t>
            </w:r>
            <w:proofErr w:type="spellEnd"/>
            <w:r w:rsidRPr="0079620B">
              <w:rPr>
                <w:i/>
                <w:iCs/>
              </w:rPr>
              <w:t xml:space="preserve"> van de </w:t>
            </w:r>
            <w:proofErr w:type="spellStart"/>
            <w:r w:rsidRPr="0079620B">
              <w:rPr>
                <w:i/>
                <w:iCs/>
              </w:rPr>
              <w:t>Mens</w:t>
            </w:r>
            <w:proofErr w:type="spellEnd"/>
            <w:r w:rsidR="001E4738" w:rsidRPr="0079620B">
              <w:rPr>
                <w:i/>
                <w:iCs/>
              </w:rPr>
              <w:t>)</w:t>
            </w:r>
            <w:r w:rsidR="001E4738">
              <w:t xml:space="preserve"> </w:t>
            </w:r>
            <w:r w:rsidR="00744FED">
              <w:t>and the</w:t>
            </w:r>
            <w:r w:rsidR="00CA4621">
              <w:t xml:space="preserve"> N</w:t>
            </w:r>
            <w:r w:rsidR="00744FED" w:rsidRPr="00744FED">
              <w:t>ational Ombudsman of the Netherlands</w:t>
            </w:r>
            <w:r w:rsidR="00744FED">
              <w:t xml:space="preserve"> were checked. </w:t>
            </w:r>
            <w:r w:rsidR="001E4738">
              <w:t xml:space="preserve"> </w:t>
            </w:r>
          </w:p>
        </w:tc>
      </w:tr>
      <w:tr w:rsidR="00CC2CCC" w:rsidRPr="00D06FFD" w14:paraId="35CEA629"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8F71FDD" w14:textId="3C64D6FD" w:rsidR="00566A68" w:rsidRPr="0021208A" w:rsidRDefault="00566A68" w:rsidP="00A94DDC">
            <w:pPr>
              <w:pStyle w:val="FRABodyText"/>
            </w:pPr>
            <w:r w:rsidRPr="0021208A">
              <w:t xml:space="preserve">Are persons with disabilities members of </w:t>
            </w:r>
            <w:r w:rsidRPr="0021208A">
              <w:lastRenderedPageBreak/>
              <w:t>the current national parliament?</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199E10B" w14:textId="77777777" w:rsidR="00566A68" w:rsidRPr="00A10566" w:rsidRDefault="00566A68" w:rsidP="00A94DDC">
            <w:pPr>
              <w:pStyle w:val="FRABodyText"/>
            </w:pPr>
            <w:r w:rsidRPr="00A10566">
              <w:lastRenderedPageBreak/>
              <w:t>No data identified</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75B54BC" w14:textId="1C729EFB" w:rsidR="00566A68" w:rsidRPr="00D06FFD" w:rsidRDefault="00450778" w:rsidP="00A94DDC">
            <w:pPr>
              <w:pStyle w:val="FRABodyText"/>
            </w:pPr>
            <w:r>
              <w:t xml:space="preserve">The websites of </w:t>
            </w:r>
            <w:r w:rsidR="00DD7BA9">
              <w:t xml:space="preserve">both house of Dutch parliament, </w:t>
            </w:r>
            <w:r>
              <w:t>the House of Representatives (</w:t>
            </w:r>
            <w:r w:rsidRPr="00DD7BA9">
              <w:rPr>
                <w:i/>
                <w:iCs/>
              </w:rPr>
              <w:t>Tweede Kamer</w:t>
            </w:r>
            <w:r>
              <w:t>)</w:t>
            </w:r>
            <w:r w:rsidR="00802831">
              <w:rPr>
                <w:rStyle w:val="FootnoteReference"/>
              </w:rPr>
              <w:footnoteReference w:id="26"/>
            </w:r>
            <w:r>
              <w:t xml:space="preserve"> and the Senate </w:t>
            </w:r>
            <w:r w:rsidRPr="00802831">
              <w:rPr>
                <w:i/>
                <w:iCs/>
              </w:rPr>
              <w:t>(</w:t>
            </w:r>
            <w:proofErr w:type="spellStart"/>
            <w:r w:rsidRPr="00802831">
              <w:rPr>
                <w:i/>
                <w:iCs/>
              </w:rPr>
              <w:t>Eerste</w:t>
            </w:r>
            <w:proofErr w:type="spellEnd"/>
            <w:r w:rsidRPr="00802831">
              <w:rPr>
                <w:i/>
                <w:iCs/>
              </w:rPr>
              <w:t xml:space="preserve"> Kamer</w:t>
            </w:r>
            <w:r>
              <w:t>)</w:t>
            </w:r>
            <w:r w:rsidR="009C396B">
              <w:rPr>
                <w:rStyle w:val="FootnoteReference"/>
              </w:rPr>
              <w:t xml:space="preserve"> </w:t>
            </w:r>
            <w:r w:rsidR="009C396B">
              <w:rPr>
                <w:rStyle w:val="FootnoteReference"/>
              </w:rPr>
              <w:footnoteReference w:id="27"/>
            </w:r>
            <w:r w:rsidR="00DD7BA9">
              <w:t xml:space="preserve">, contain webpages with the </w:t>
            </w:r>
            <w:r w:rsidR="00DD7BA9">
              <w:lastRenderedPageBreak/>
              <w:t>personal details of all members. Having a disability is not included in the personal details.</w:t>
            </w:r>
          </w:p>
        </w:tc>
      </w:tr>
      <w:tr w:rsidR="00CC2CCC" w:rsidRPr="000963C4" w14:paraId="33D1B0E8"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53F6FC9" w14:textId="6423739D" w:rsidR="00566A68" w:rsidRPr="0021208A" w:rsidRDefault="00566A68" w:rsidP="00A94DDC">
            <w:pPr>
              <w:pStyle w:val="FRABodyText"/>
            </w:pPr>
            <w:r w:rsidRPr="0021208A">
              <w:lastRenderedPageBreak/>
              <w:t>Is data available on the number of members of municipal</w:t>
            </w:r>
            <w:r w:rsidR="00172528">
              <w:t>/regional</w:t>
            </w:r>
            <w:r w:rsidRPr="0021208A">
              <w:t xml:space="preserve"> governments who have a disability?</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503E10" w14:textId="79332E30" w:rsidR="00566A68" w:rsidRPr="00A10566" w:rsidRDefault="00400690" w:rsidP="00A94DDC">
            <w:pPr>
              <w:pStyle w:val="FRABodyText"/>
            </w:pPr>
            <w:r w:rsidRPr="00A10566">
              <w:t>Some</w:t>
            </w:r>
            <w:r w:rsidR="00566A68" w:rsidRPr="00A10566">
              <w:t xml:space="preserve"> official data available </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6996F8" w14:textId="7ED26900" w:rsidR="00566A68" w:rsidRPr="000963C4" w:rsidRDefault="00E40229" w:rsidP="00A94DDC">
            <w:pPr>
              <w:pStyle w:val="FRABodyText"/>
            </w:pPr>
            <w:r>
              <w:t xml:space="preserve">The only data about the </w:t>
            </w:r>
            <w:r w:rsidRPr="0021208A">
              <w:t>number of members of municipal</w:t>
            </w:r>
            <w:r>
              <w:t>/regional</w:t>
            </w:r>
            <w:r w:rsidRPr="0021208A">
              <w:t xml:space="preserve"> governments who have a disability</w:t>
            </w:r>
            <w:r>
              <w:t xml:space="preserve"> are from a study carried out by the Ministry of Interior and Kingdom Relations in 2019. The study estimates that the number of political and administrative positions (on national, regional and municipal level) filled by people with disabilities does not exceed 0.5%.</w:t>
            </w:r>
            <w:r w:rsidR="00BF76D3">
              <w:rPr>
                <w:rStyle w:val="FootnoteReference"/>
              </w:rPr>
              <w:footnoteReference w:id="28"/>
            </w:r>
            <w:r>
              <w:t xml:space="preserve"> </w:t>
            </w:r>
            <w:r w:rsidRPr="00E40229">
              <w:t xml:space="preserve">This </w:t>
            </w:r>
            <w:r w:rsidR="00101A13">
              <w:t xml:space="preserve">applies to </w:t>
            </w:r>
            <w:r w:rsidRPr="00E40229">
              <w:t>a total of about 12</w:t>
            </w:r>
            <w:r>
              <w:t>,</w:t>
            </w:r>
            <w:r w:rsidRPr="00E40229">
              <w:t>000 positions</w:t>
            </w:r>
            <w:r>
              <w:t>. Th</w:t>
            </w:r>
            <w:r w:rsidR="00400690">
              <w:t xml:space="preserve">e study is based </w:t>
            </w:r>
            <w:r>
              <w:t xml:space="preserve">on </w:t>
            </w:r>
            <w:r w:rsidR="00400690">
              <w:t>desk research and interviews</w:t>
            </w:r>
            <w:r w:rsidR="00EC2842">
              <w:t xml:space="preserve"> </w:t>
            </w:r>
            <w:r w:rsidR="002E6373">
              <w:t>or</w:t>
            </w:r>
            <w:r w:rsidR="00101A13">
              <w:t xml:space="preserve"> </w:t>
            </w:r>
            <w:r w:rsidR="00400690">
              <w:t xml:space="preserve">panel discussion with persons with a disability who are politically active. This study was </w:t>
            </w:r>
            <w:r w:rsidR="00EC2842">
              <w:t xml:space="preserve">the immediate cause </w:t>
            </w:r>
            <w:r w:rsidR="002E6373">
              <w:t xml:space="preserve">for the national government </w:t>
            </w:r>
            <w:r w:rsidR="00EC2842">
              <w:t>to launch an action programme</w:t>
            </w:r>
            <w:r w:rsidR="000F49FA">
              <w:rPr>
                <w:rStyle w:val="FootnoteReference"/>
              </w:rPr>
              <w:footnoteReference w:id="29"/>
            </w:r>
            <w:r w:rsidR="00C017EB">
              <w:t xml:space="preserve"> </w:t>
            </w:r>
            <w:r w:rsidR="00D93451">
              <w:t xml:space="preserve">containing </w:t>
            </w:r>
            <w:r w:rsidR="00D93451" w:rsidRPr="00D93451">
              <w:t xml:space="preserve"> measures to support people with disabilities who aspire to become politically active.</w:t>
            </w:r>
            <w:r w:rsidR="00C017EB">
              <w:t xml:space="preserve"> On 9 December 2020, the action was submitted to parliament.</w:t>
            </w:r>
            <w:r w:rsidR="00D93451">
              <w:rPr>
                <w:rStyle w:val="FootnoteReference"/>
              </w:rPr>
              <w:footnoteReference w:id="30"/>
            </w:r>
          </w:p>
        </w:tc>
      </w:tr>
      <w:tr w:rsidR="00834657" w:rsidRPr="00916267" w14:paraId="0D73E353"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FC1427" w14:textId="55EA3B26" w:rsidR="00834657" w:rsidRPr="0021208A" w:rsidRDefault="00834657" w:rsidP="00A94DDC">
            <w:pPr>
              <w:pStyle w:val="FRABodyText"/>
            </w:pPr>
            <w:r w:rsidRPr="0021208A">
              <w:lastRenderedPageBreak/>
              <w:t>Is training for election authorities and officials on non-discrimination on the grounds of disability, accessibility and accommodation required by law?</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F06277C" w14:textId="39D8F804" w:rsidR="00834657" w:rsidRPr="00802C74" w:rsidRDefault="002C797E" w:rsidP="00A94DDC">
            <w:pPr>
              <w:pStyle w:val="FRABodyText"/>
            </w:pPr>
            <w:r w:rsidRPr="004E0021">
              <w:t>Yes, training required by law</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02F60B" w14:textId="7FD65C00" w:rsidR="00316482" w:rsidRDefault="00316482" w:rsidP="00A94DDC">
            <w:pPr>
              <w:pStyle w:val="FRABodyText"/>
            </w:pPr>
            <w:r>
              <w:t>Article 4E of the Election Act (</w:t>
            </w:r>
            <w:proofErr w:type="spellStart"/>
            <w:r w:rsidRPr="00316482">
              <w:rPr>
                <w:i/>
                <w:iCs/>
              </w:rPr>
              <w:t>Kieswet</w:t>
            </w:r>
            <w:proofErr w:type="spellEnd"/>
            <w:r>
              <w:t>) stipulates that each polling station official must follow a training.</w:t>
            </w:r>
            <w:r w:rsidR="00E65BEB" w:rsidRPr="00BE6376">
              <w:rPr>
                <w:rStyle w:val="FootnoteReference"/>
                <w:rFonts w:cs="Times New Roman"/>
              </w:rPr>
              <w:footnoteReference w:id="31"/>
            </w:r>
            <w:r>
              <w:t xml:space="preserve"> The instruction by the National Government for </w:t>
            </w:r>
            <w:r w:rsidR="00E65BEB">
              <w:t>th</w:t>
            </w:r>
            <w:r w:rsidR="00FC74CC">
              <w:t xml:space="preserve">is </w:t>
            </w:r>
            <w:r w:rsidR="00E65BEB">
              <w:t xml:space="preserve">training </w:t>
            </w:r>
            <w:r w:rsidR="00606918">
              <w:t>includes information about</w:t>
            </w:r>
            <w:r w:rsidR="00FC74CC">
              <w:t xml:space="preserve"> how to make the polling station accessible for persons with a disability.</w:t>
            </w:r>
            <w:r w:rsidR="00FC74CC">
              <w:rPr>
                <w:rStyle w:val="FootnoteReference"/>
              </w:rPr>
              <w:footnoteReference w:id="32"/>
            </w:r>
            <w:r w:rsidR="00FC74CC">
              <w:t xml:space="preserve"> </w:t>
            </w:r>
          </w:p>
          <w:p w14:paraId="21BDDD9E" w14:textId="77777777" w:rsidR="00316482" w:rsidRDefault="00316482" w:rsidP="00A94DDC">
            <w:pPr>
              <w:pStyle w:val="FRABodyText"/>
            </w:pPr>
          </w:p>
          <w:p w14:paraId="7A258BDF" w14:textId="591B969C" w:rsidR="00834657" w:rsidRPr="00916267" w:rsidRDefault="00E65BEB" w:rsidP="00A94DDC">
            <w:pPr>
              <w:pStyle w:val="FRABodyText"/>
            </w:pPr>
            <w:r>
              <w:t>Besides the mandatory training</w:t>
            </w:r>
            <w:r w:rsidR="00635BFD">
              <w:t>,</w:t>
            </w:r>
            <w:r>
              <w:t xml:space="preserve"> officials of polling stations and municipal civil servants involved in the </w:t>
            </w:r>
            <w:r w:rsidR="00FC74CC">
              <w:t>el</w:t>
            </w:r>
            <w:r>
              <w:t>ectoral</w:t>
            </w:r>
            <w:r w:rsidR="00FC74CC">
              <w:t xml:space="preserve"> </w:t>
            </w:r>
            <w:r>
              <w:t>process can make use of  several guidelines</w:t>
            </w:r>
            <w:r w:rsidR="002C797E">
              <w:t xml:space="preserve">. </w:t>
            </w:r>
            <w:r w:rsidR="00834657">
              <w:t>In 2020</w:t>
            </w:r>
            <w:r w:rsidR="005F1E70">
              <w:t>,</w:t>
            </w:r>
            <w:r w:rsidR="00834657">
              <w:t xml:space="preserve"> the Ministry of the Interior and Kingdom Relations published a toolkit on its website containing several guidelines on how to make polling stations accessible. These guidelines </w:t>
            </w:r>
            <w:r w:rsidR="00635BFD">
              <w:t>consist of</w:t>
            </w:r>
            <w:r w:rsidR="00834657">
              <w:t xml:space="preserve"> a checklist for municipal civil servants </w:t>
            </w:r>
            <w:r w:rsidR="00834657">
              <w:rPr>
                <w:rStyle w:val="FootnoteReference"/>
              </w:rPr>
              <w:footnoteReference w:id="33"/>
            </w:r>
            <w:r w:rsidR="00834657">
              <w:t xml:space="preserve"> , a guideline for the managers of polling stations or site managers</w:t>
            </w:r>
            <w:r w:rsidR="00834657">
              <w:rPr>
                <w:rStyle w:val="FootnoteReference"/>
              </w:rPr>
              <w:footnoteReference w:id="34"/>
            </w:r>
            <w:r w:rsidR="00834657">
              <w:t xml:space="preserve">,  a reference work on the </w:t>
            </w:r>
            <w:r w:rsidR="00834657">
              <w:lastRenderedPageBreak/>
              <w:t>cr</w:t>
            </w:r>
            <w:r w:rsidR="00834657" w:rsidRPr="00952480">
              <w:t>iteria</w:t>
            </w:r>
            <w:r w:rsidR="00834657">
              <w:t xml:space="preserve"> for the in</w:t>
            </w:r>
            <w:r w:rsidR="00834657" w:rsidRPr="00952480">
              <w:t xml:space="preserve">tegral </w:t>
            </w:r>
            <w:r w:rsidR="00834657">
              <w:t>ac</w:t>
            </w:r>
            <w:r w:rsidR="00834657" w:rsidRPr="00952480">
              <w:t xml:space="preserve">cessibility </w:t>
            </w:r>
            <w:r w:rsidR="00834657">
              <w:t>of p</w:t>
            </w:r>
            <w:r w:rsidR="00834657" w:rsidRPr="00952480">
              <w:t>olling stations</w:t>
            </w:r>
            <w:r w:rsidR="00834657">
              <w:rPr>
                <w:rStyle w:val="FootnoteReference"/>
              </w:rPr>
              <w:footnoteReference w:id="35"/>
            </w:r>
            <w:r w:rsidR="00834657">
              <w:t>,</w:t>
            </w:r>
            <w:r w:rsidR="004E0021">
              <w:t xml:space="preserve"> a</w:t>
            </w:r>
            <w:r w:rsidR="00834657">
              <w:t xml:space="preserve"> guideline</w:t>
            </w:r>
            <w:r w:rsidR="004E0021">
              <w:t xml:space="preserve"> </w:t>
            </w:r>
            <w:r w:rsidR="00834657">
              <w:t>on how to design accessible polling stations</w:t>
            </w:r>
            <w:r w:rsidR="00834657">
              <w:rPr>
                <w:rStyle w:val="FootnoteReference"/>
              </w:rPr>
              <w:footnoteReference w:id="36"/>
            </w:r>
            <w:r w:rsidR="00834657">
              <w:t>.</w:t>
            </w:r>
          </w:p>
        </w:tc>
      </w:tr>
      <w:tr w:rsidR="00834657" w:rsidRPr="0005047A" w14:paraId="3FA1FA6E"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69A5DEA" w14:textId="15EBFAF2" w:rsidR="00834657" w:rsidRPr="0021208A" w:rsidRDefault="00834657" w:rsidP="00A94DDC">
            <w:pPr>
              <w:pStyle w:val="FRABodyText"/>
            </w:pPr>
            <w:r w:rsidRPr="003F149D">
              <w:lastRenderedPageBreak/>
              <w:t>Are there mechanisms in place to ensure consultation and involvement of DPOs in the development of laws and policies which affect them?</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9F5CC63" w14:textId="77777777" w:rsidR="00834657" w:rsidRPr="00802C74" w:rsidRDefault="00834657" w:rsidP="00A94DDC">
            <w:pPr>
              <w:pStyle w:val="FRABodyText"/>
            </w:pPr>
            <w:r w:rsidRPr="007D0811">
              <w:t>No mechanisms in place</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FCB9269" w14:textId="5C613505" w:rsidR="005F28E0" w:rsidRPr="00010053" w:rsidRDefault="005F28E0" w:rsidP="00A94DDC">
            <w:pPr>
              <w:pStyle w:val="FRABodyText"/>
            </w:pPr>
            <w:r w:rsidRPr="00010053">
              <w:t xml:space="preserve">In the Netherlands, there are no </w:t>
            </w:r>
            <w:r w:rsidR="000C600F">
              <w:t xml:space="preserve">structural or </w:t>
            </w:r>
            <w:r w:rsidRPr="00010053">
              <w:t>legally mandated mechanisms for consultation with DPOs in the development of laws and policies. DPOs can make use of the mechanisms in the development of laws and policies which are open for all societal actors</w:t>
            </w:r>
            <w:r w:rsidR="00744FED" w:rsidRPr="00010053">
              <w:t xml:space="preserve">: submitting </w:t>
            </w:r>
            <w:r w:rsidR="001607CC" w:rsidRPr="00010053">
              <w:t xml:space="preserve">contributions </w:t>
            </w:r>
            <w:r w:rsidR="00744FED" w:rsidRPr="00010053">
              <w:t xml:space="preserve">during the online consultation on a </w:t>
            </w:r>
            <w:r w:rsidR="00EC5D13" w:rsidRPr="00010053">
              <w:t xml:space="preserve">draft </w:t>
            </w:r>
            <w:r w:rsidR="00744FED" w:rsidRPr="00010053">
              <w:t xml:space="preserve">bill </w:t>
            </w:r>
            <w:r w:rsidR="001607CC" w:rsidRPr="00010053">
              <w:t xml:space="preserve">or submitting policy letters to parliament or </w:t>
            </w:r>
            <w:r w:rsidR="00EC5D13" w:rsidRPr="00010053">
              <w:t xml:space="preserve">to </w:t>
            </w:r>
            <w:r w:rsidR="001607CC" w:rsidRPr="00010053">
              <w:t xml:space="preserve">responsible </w:t>
            </w:r>
            <w:r w:rsidR="00EC5D13" w:rsidRPr="00010053">
              <w:t>ministers</w:t>
            </w:r>
            <w:r w:rsidR="001607CC" w:rsidRPr="00010053">
              <w:t>.</w:t>
            </w:r>
          </w:p>
          <w:p w14:paraId="0E85C629" w14:textId="49D33A1E" w:rsidR="00744FED" w:rsidRPr="00010053" w:rsidRDefault="0039179F" w:rsidP="00A94DDC">
            <w:pPr>
              <w:pStyle w:val="FRABodyText"/>
            </w:pPr>
            <w:r w:rsidRPr="00010053">
              <w:t xml:space="preserve">One of the </w:t>
            </w:r>
            <w:r w:rsidR="00EC5D13" w:rsidRPr="00010053">
              <w:t xml:space="preserve">biggest </w:t>
            </w:r>
            <w:r w:rsidR="00744FED" w:rsidRPr="00010053">
              <w:t>DPO</w:t>
            </w:r>
            <w:r w:rsidRPr="00010053">
              <w:t>s</w:t>
            </w:r>
            <w:r w:rsidR="00744FED" w:rsidRPr="00010053">
              <w:t xml:space="preserve"> </w:t>
            </w:r>
            <w:r w:rsidR="00CE7B28" w:rsidRPr="00010053">
              <w:t xml:space="preserve">is </w:t>
            </w:r>
            <w:proofErr w:type="spellStart"/>
            <w:r w:rsidR="00744FED" w:rsidRPr="00010053">
              <w:t>Ieder</w:t>
            </w:r>
            <w:proofErr w:type="spellEnd"/>
            <w:r w:rsidR="00744FED" w:rsidRPr="00010053">
              <w:t>(in)</w:t>
            </w:r>
            <w:r w:rsidR="00BE75EA" w:rsidRPr="00010053">
              <w:t xml:space="preserve">. </w:t>
            </w:r>
            <w:r w:rsidR="00744FED" w:rsidRPr="00010053">
              <w:t>It is an umbrella organisation for people with a disability in which 2</w:t>
            </w:r>
            <w:r w:rsidR="000C600F">
              <w:t>.</w:t>
            </w:r>
            <w:r w:rsidR="00010053" w:rsidRPr="00010053">
              <w:t>37</w:t>
            </w:r>
            <w:r w:rsidR="00744FED" w:rsidRPr="00010053">
              <w:t>2 organisations participate.</w:t>
            </w:r>
            <w:r w:rsidR="00BE75EA" w:rsidRPr="00010053">
              <w:rPr>
                <w:rStyle w:val="FootnoteReference"/>
              </w:rPr>
              <w:footnoteReference w:id="37"/>
            </w:r>
          </w:p>
          <w:p w14:paraId="25AED805" w14:textId="2CBEB7C9" w:rsidR="0039179F" w:rsidRPr="00010053" w:rsidRDefault="0039179F" w:rsidP="00A94DDC">
            <w:pPr>
              <w:pStyle w:val="FRABodyText"/>
            </w:pPr>
            <w:r w:rsidRPr="00010053">
              <w:t xml:space="preserve">Another important DPO </w:t>
            </w:r>
            <w:r w:rsidR="008E0DAD" w:rsidRPr="00010053">
              <w:t>i</w:t>
            </w:r>
            <w:r w:rsidRPr="00010053">
              <w:t>s the Netherlands Patients Federation that represents more than 200 patient organisations.</w:t>
            </w:r>
            <w:r w:rsidRPr="00010053">
              <w:rPr>
                <w:rStyle w:val="FootnoteReference"/>
              </w:rPr>
              <w:footnoteReference w:id="38"/>
            </w:r>
            <w:r w:rsidRPr="00010053">
              <w:t xml:space="preserve"> </w:t>
            </w:r>
          </w:p>
        </w:tc>
      </w:tr>
      <w:tr w:rsidR="00834657" w:rsidRPr="00715B41" w14:paraId="122691C6"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1113CB" w14:textId="066687EB" w:rsidR="00834657" w:rsidRPr="0021208A" w:rsidRDefault="00834657" w:rsidP="00A94DDC">
            <w:pPr>
              <w:pStyle w:val="FRABodyText"/>
            </w:pPr>
            <w:r w:rsidRPr="0021208A">
              <w:t xml:space="preserve">Do </w:t>
            </w:r>
            <w:r>
              <w:t>national authorities</w:t>
            </w:r>
            <w:r w:rsidRPr="0021208A">
              <w:t xml:space="preserve"> provide guidelines on </w:t>
            </w:r>
            <w:r w:rsidRPr="0021208A">
              <w:lastRenderedPageBreak/>
              <w:t>how to make polling stations accessible?</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AFA8478" w14:textId="010C3B4C" w:rsidR="00834657" w:rsidRPr="00802C74" w:rsidRDefault="00834657" w:rsidP="00A94DDC">
            <w:pPr>
              <w:pStyle w:val="FRABodyText"/>
            </w:pPr>
            <w:r w:rsidRPr="00010053">
              <w:lastRenderedPageBreak/>
              <w:t>Yes, detailed guidance available</w:t>
            </w:r>
            <w:r w:rsidRPr="00802C74">
              <w:t xml:space="preserve"> </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7B8A88A" w14:textId="63BF9642" w:rsidR="00834657" w:rsidRPr="00010053" w:rsidRDefault="00834657" w:rsidP="00A94DDC">
            <w:pPr>
              <w:pStyle w:val="FRABodyText"/>
            </w:pPr>
            <w:r w:rsidRPr="00010053">
              <w:t>In 2020</w:t>
            </w:r>
            <w:r w:rsidR="002F626D" w:rsidRPr="00010053">
              <w:t>,</w:t>
            </w:r>
            <w:r w:rsidRPr="00010053">
              <w:t xml:space="preserve"> the Ministry of the Interior and Kingdom Relations published a toolkit on its website containing several guidelines on how to make polling stations </w:t>
            </w:r>
            <w:r w:rsidRPr="00010053">
              <w:lastRenderedPageBreak/>
              <w:t xml:space="preserve">accessible. These guidelines </w:t>
            </w:r>
            <w:r w:rsidR="000C600F">
              <w:t>consist of</w:t>
            </w:r>
            <w:r w:rsidRPr="00010053">
              <w:t xml:space="preserve"> a checklist for municipal civil servants </w:t>
            </w:r>
            <w:r w:rsidRPr="00010053">
              <w:rPr>
                <w:rStyle w:val="FootnoteReference"/>
              </w:rPr>
              <w:footnoteReference w:id="39"/>
            </w:r>
            <w:r w:rsidRPr="00010053">
              <w:t xml:space="preserve">, a guideline for the managers of polling stations or site managers </w:t>
            </w:r>
            <w:r w:rsidRPr="00010053">
              <w:rPr>
                <w:rStyle w:val="FootnoteReference"/>
              </w:rPr>
              <w:footnoteReference w:id="40"/>
            </w:r>
            <w:r w:rsidRPr="00010053">
              <w:t xml:space="preserve">,  a reference work on the criteria for the integral accessibility of polling stations </w:t>
            </w:r>
            <w:r w:rsidRPr="00010053">
              <w:rPr>
                <w:rStyle w:val="FootnoteReference"/>
              </w:rPr>
              <w:footnoteReference w:id="41"/>
            </w:r>
            <w:r w:rsidRPr="00010053">
              <w:t xml:space="preserve">, guidelines on how to design accessible polling stations </w:t>
            </w:r>
            <w:r w:rsidRPr="00010053">
              <w:rPr>
                <w:rStyle w:val="FootnoteReference"/>
              </w:rPr>
              <w:footnoteReference w:id="42"/>
            </w:r>
            <w:r w:rsidRPr="00010053">
              <w:t>.</w:t>
            </w:r>
          </w:p>
        </w:tc>
      </w:tr>
      <w:tr w:rsidR="00834657" w:rsidRPr="00F97330" w14:paraId="27723614"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6CB1867" w14:textId="528C2461" w:rsidR="00834657" w:rsidRPr="0021208A" w:rsidRDefault="00834657" w:rsidP="00A94DDC">
            <w:pPr>
              <w:pStyle w:val="FRABodyText"/>
            </w:pPr>
            <w:r w:rsidRPr="0021208A">
              <w:lastRenderedPageBreak/>
              <w:t>Does the website which provides instructions for voting and information on candidates meet accessibility standards?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87418B5" w14:textId="7BFAC87F" w:rsidR="00834657" w:rsidRPr="00802C74" w:rsidRDefault="00834657" w:rsidP="00A94DDC">
            <w:pPr>
              <w:pStyle w:val="FRABodyText"/>
            </w:pPr>
          </w:p>
          <w:p w14:paraId="48E4CA2B" w14:textId="552006B8" w:rsidR="00834657" w:rsidRPr="00802C74" w:rsidRDefault="00834657" w:rsidP="00A94DDC">
            <w:pPr>
              <w:pStyle w:val="FRABodyText"/>
            </w:pPr>
            <w:r w:rsidRPr="00FA2D0A">
              <w:t>Partially, some accessibility measures are in place</w:t>
            </w:r>
            <w:r w:rsidRPr="00802C74">
              <w:t xml:space="preserve"> </w:t>
            </w:r>
          </w:p>
          <w:p w14:paraId="0C2CBB7A" w14:textId="5EEA9776"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2D12AB" w14:textId="2CBF39DB" w:rsidR="00834657" w:rsidRDefault="00834657" w:rsidP="00A94DDC">
            <w:pPr>
              <w:pStyle w:val="FRABodyText"/>
            </w:pPr>
            <w:r>
              <w:t>The website of the Electoral Council (</w:t>
            </w:r>
            <w:proofErr w:type="spellStart"/>
            <w:r w:rsidRPr="00B472D3">
              <w:rPr>
                <w:i/>
                <w:iCs/>
              </w:rPr>
              <w:t>Kiesraad</w:t>
            </w:r>
            <w:proofErr w:type="spellEnd"/>
            <w:r>
              <w:t xml:space="preserve">) , </w:t>
            </w:r>
            <w:hyperlink r:id="rId19" w:history="1">
              <w:r w:rsidRPr="002958B6">
                <w:rPr>
                  <w:rStyle w:val="Hyperlink"/>
                </w:rPr>
                <w:t>www.kiesraad.nl</w:t>
              </w:r>
            </w:hyperlink>
            <w:r>
              <w:t xml:space="preserve"> , provides information about the whole</w:t>
            </w:r>
            <w:r w:rsidR="00010053">
              <w:t xml:space="preserve"> </w:t>
            </w:r>
            <w:r>
              <w:t xml:space="preserve">electoral process (including information on instructions on how to vote and </w:t>
            </w:r>
            <w:r w:rsidR="00010053">
              <w:t xml:space="preserve">on </w:t>
            </w:r>
            <w:r>
              <w:t xml:space="preserve">available candidates).  </w:t>
            </w:r>
          </w:p>
          <w:p w14:paraId="697E49A8" w14:textId="77777777" w:rsidR="00834657" w:rsidRDefault="00834657" w:rsidP="00A94DDC">
            <w:pPr>
              <w:pStyle w:val="FRABodyText"/>
            </w:pPr>
          </w:p>
          <w:p w14:paraId="08B3C836" w14:textId="47F44E66" w:rsidR="00834657" w:rsidRDefault="00834657" w:rsidP="00A94DDC">
            <w:pPr>
              <w:pStyle w:val="FRABodyText"/>
            </w:pPr>
            <w:r>
              <w:t xml:space="preserve">A report by Cardan </w:t>
            </w:r>
            <w:proofErr w:type="spellStart"/>
            <w:r>
              <w:t>Technobility</w:t>
            </w:r>
            <w:proofErr w:type="spellEnd"/>
            <w:r>
              <w:t xml:space="preserve">, an expertise centre on digital accessibility, assessed the accessibility of the content of the website </w:t>
            </w:r>
            <w:hyperlink r:id="rId20" w:history="1">
              <w:r w:rsidRPr="002958B6">
                <w:rPr>
                  <w:rStyle w:val="Hyperlink"/>
                </w:rPr>
                <w:t>www.kiesraad.nl</w:t>
              </w:r>
            </w:hyperlink>
            <w:r>
              <w:t>.</w:t>
            </w:r>
            <w:r>
              <w:rPr>
                <w:rStyle w:val="FootnoteReference"/>
              </w:rPr>
              <w:footnoteReference w:id="43"/>
            </w:r>
            <w:r>
              <w:t xml:space="preserve"> It was </w:t>
            </w:r>
            <w:r>
              <w:lastRenderedPageBreak/>
              <w:t>completed on 28 September 2022. The standard used in this assessment was WCAG 2.1 level AA. The assessment report shows that the website content does fully meet all success criteria. Currently, the website meets 25 of the 30 success criteria applicable to the website's content.</w:t>
            </w:r>
            <w:r w:rsidR="00D02251">
              <w:t xml:space="preserve"> For a complete </w:t>
            </w:r>
            <w:r w:rsidR="0096069B">
              <w:t xml:space="preserve">overview of </w:t>
            </w:r>
            <w:r w:rsidR="00AF1DE9">
              <w:t xml:space="preserve">all 55 </w:t>
            </w:r>
            <w:r w:rsidR="008F7EA9">
              <w:t>success</w:t>
            </w:r>
            <w:r w:rsidR="00AF1DE9">
              <w:t xml:space="preserve"> criteria another sub-report has to be conducted.</w:t>
            </w:r>
          </w:p>
          <w:p w14:paraId="4C1645E6" w14:textId="77777777" w:rsidR="00834657" w:rsidRDefault="00834657" w:rsidP="00A94DDC">
            <w:pPr>
              <w:pStyle w:val="FRABodyText"/>
            </w:pPr>
          </w:p>
          <w:p w14:paraId="2B20E15B" w14:textId="3543BF67" w:rsidR="00834657" w:rsidRPr="00F97330" w:rsidRDefault="00834657" w:rsidP="00A94DDC">
            <w:pPr>
              <w:pStyle w:val="FRABodyText"/>
            </w:pPr>
            <w:r>
              <w:t xml:space="preserve">The </w:t>
            </w:r>
            <w:r w:rsidRPr="00443AB4">
              <w:t>accessibility statement</w:t>
            </w:r>
            <w:r>
              <w:t xml:space="preserve"> of the website of the Electoral Council states that its website (</w:t>
            </w:r>
            <w:hyperlink r:id="rId21" w:history="1">
              <w:r w:rsidRPr="002958B6">
                <w:rPr>
                  <w:rStyle w:val="Hyperlink"/>
                </w:rPr>
                <w:t>www.kiesraad.nl</w:t>
              </w:r>
            </w:hyperlink>
            <w:r>
              <w:t xml:space="preserve">) is partially </w:t>
            </w:r>
            <w:r w:rsidRPr="006A3E01">
              <w:t>EN 301 549 v3.2.1 (2021-03) compliant</w:t>
            </w:r>
            <w:r>
              <w:t>.</w:t>
            </w:r>
            <w:r>
              <w:rPr>
                <w:rStyle w:val="FootnoteReference"/>
              </w:rPr>
              <w:footnoteReference w:id="44"/>
            </w:r>
            <w:r>
              <w:t xml:space="preserve"> This statement was updated for the last time on 4 October 2022.</w:t>
            </w:r>
          </w:p>
        </w:tc>
      </w:tr>
      <w:tr w:rsidR="00834657" w:rsidRPr="006625A7" w14:paraId="2C6147D5"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39164D2" w14:textId="77777777" w:rsidR="00834657" w:rsidRPr="0021208A" w:rsidRDefault="00834657" w:rsidP="00A94DDC">
            <w:pPr>
              <w:pStyle w:val="FRABodyText"/>
            </w:pPr>
            <w:r w:rsidRPr="0021208A">
              <w:lastRenderedPageBreak/>
              <w:t>Are some television programmes providing instructions for voting and information on candidates subtitled?</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D5B809" w14:textId="6BD7ECCF" w:rsidR="00834657" w:rsidRPr="00802C74" w:rsidRDefault="00834657" w:rsidP="00A94DDC">
            <w:pPr>
              <w:pStyle w:val="FRABodyText"/>
            </w:pPr>
            <w:r w:rsidRPr="00010053">
              <w:t>Yes, some key programmes are subtitled</w:t>
            </w:r>
            <w:r w:rsidRPr="00802C74">
              <w:t xml:space="preserve">  </w:t>
            </w:r>
          </w:p>
          <w:p w14:paraId="379635A7" w14:textId="36E485B9"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89522B5" w14:textId="13B9EA8C" w:rsidR="00834657" w:rsidRPr="006625A7" w:rsidRDefault="00834657" w:rsidP="00A94DDC">
            <w:pPr>
              <w:pStyle w:val="FRABodyText"/>
            </w:pPr>
            <w:r>
              <w:t>In the Netherlands, most television programmes of the public broadcasting organisations</w:t>
            </w:r>
            <w:r>
              <w:rPr>
                <w:rStyle w:val="FootnoteReference"/>
              </w:rPr>
              <w:footnoteReference w:id="45"/>
            </w:r>
            <w:r>
              <w:t xml:space="preserve"> and major commercial broadcasting organisation</w:t>
            </w:r>
            <w:r>
              <w:rPr>
                <w:rStyle w:val="FootnoteReference"/>
              </w:rPr>
              <w:footnoteReference w:id="46"/>
            </w:r>
            <w:r>
              <w:t xml:space="preserve"> have subtitles available via teletext. </w:t>
            </w:r>
          </w:p>
        </w:tc>
      </w:tr>
      <w:tr w:rsidR="00834657" w:rsidRPr="0024322A" w14:paraId="277DD9EB"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B0D7432" w14:textId="77777777" w:rsidR="00834657" w:rsidRPr="0021208A" w:rsidRDefault="00834657" w:rsidP="00A94DDC">
            <w:pPr>
              <w:pStyle w:val="FRABodyText"/>
            </w:pPr>
            <w:r w:rsidRPr="0021208A">
              <w:t xml:space="preserve">Do some television programmes providing instructions for voting and information on </w:t>
            </w:r>
            <w:r w:rsidRPr="0021208A">
              <w:lastRenderedPageBreak/>
              <w:t>candidates have national sign language interpretation?</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E2F7662" w14:textId="2C87F1E0" w:rsidR="00F202AA" w:rsidRPr="00802C74" w:rsidRDefault="00834657" w:rsidP="00A94DDC">
            <w:pPr>
              <w:pStyle w:val="FRABodyText"/>
            </w:pPr>
            <w:r w:rsidRPr="00EA19AA">
              <w:lastRenderedPageBreak/>
              <w:t>Yes, some key programmes have sign language interpretation</w:t>
            </w:r>
          </w:p>
          <w:p w14:paraId="72C7A0DB" w14:textId="09922BD8"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2F069" w14:textId="3F1B48F2" w:rsidR="00834657" w:rsidRPr="0024322A" w:rsidRDefault="005574E1" w:rsidP="00A94DDC">
            <w:pPr>
              <w:pStyle w:val="FRABodyText"/>
            </w:pPr>
            <w:r w:rsidRPr="005574E1">
              <w:t xml:space="preserve">As part of the campaign for the House of Representatives elections of 22 November 2023, the Netherlands Public Broadcasting Corporation, or NPO, broadcast two election debates with a Dutch Sign Language interpreter: the youth news election broadcast on Sunday 19 November and the major election </w:t>
            </w:r>
            <w:r w:rsidRPr="005574E1">
              <w:lastRenderedPageBreak/>
              <w:t>debate on Tuesday 21 November. In addition, for the first time ever, the public television programme on election night could be watched with a Dutch Sign Language interpreter.</w:t>
            </w:r>
            <w:r>
              <w:rPr>
                <w:rStyle w:val="FootnoteReference"/>
              </w:rPr>
              <w:t xml:space="preserve"> </w:t>
            </w:r>
            <w:r>
              <w:rPr>
                <w:rStyle w:val="FootnoteReference"/>
              </w:rPr>
              <w:footnoteReference w:id="47"/>
            </w:r>
          </w:p>
        </w:tc>
      </w:tr>
      <w:tr w:rsidR="00834657" w:rsidRPr="00F13789" w14:paraId="3E04ECFB"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21DC3E5" w14:textId="77777777" w:rsidR="00834657" w:rsidRPr="0021208A" w:rsidRDefault="00834657" w:rsidP="00A94DDC">
            <w:pPr>
              <w:pStyle w:val="FRABodyText"/>
            </w:pPr>
            <w:r w:rsidRPr="0021208A">
              <w:lastRenderedPageBreak/>
              <w:t>Are some television programmes providing instructions for voting and information on candidates audio described?</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894B959" w14:textId="466306B4" w:rsidR="00EC6ECD" w:rsidRPr="00B85527" w:rsidRDefault="00834657" w:rsidP="00A94DDC">
            <w:pPr>
              <w:pStyle w:val="FRABodyText"/>
            </w:pPr>
            <w:r w:rsidRPr="00B85527">
              <w:t xml:space="preserve">No, key programmes do not have audio description </w:t>
            </w:r>
          </w:p>
          <w:p w14:paraId="185E8BA8" w14:textId="461FC478" w:rsidR="00834657" w:rsidRPr="00B85527"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E2073BC" w14:textId="02707287" w:rsidR="00834657" w:rsidRPr="00B85527" w:rsidRDefault="00E94980" w:rsidP="00A94DDC">
            <w:pPr>
              <w:pStyle w:val="FRABodyText"/>
            </w:pPr>
            <w:r w:rsidRPr="00B85527">
              <w:t>We have checked the website (</w:t>
            </w:r>
            <w:hyperlink r:id="rId22" w:history="1">
              <w:r w:rsidRPr="00B85527">
                <w:rPr>
                  <w:rStyle w:val="Hyperlink"/>
                </w:rPr>
                <w:t>www.allesoveraudiodescriptie.nl</w:t>
              </w:r>
            </w:hyperlink>
            <w:r w:rsidRPr="00B85527">
              <w:t>) containing information on all television programmes</w:t>
            </w:r>
            <w:r w:rsidR="00B3632A">
              <w:t xml:space="preserve"> that have audio description</w:t>
            </w:r>
            <w:r w:rsidRPr="00B85527">
              <w:t>.</w:t>
            </w:r>
            <w:r w:rsidRPr="00B85527">
              <w:rPr>
                <w:rStyle w:val="FootnoteReference"/>
              </w:rPr>
              <w:footnoteReference w:id="48"/>
            </w:r>
            <w:r w:rsidRPr="00B85527">
              <w:t xml:space="preserve"> No election programmes were found.</w:t>
            </w:r>
          </w:p>
        </w:tc>
      </w:tr>
      <w:tr w:rsidR="00834657" w:rsidRPr="00DC4544" w14:paraId="6D99824E"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E04326C" w14:textId="77777777" w:rsidR="00834657" w:rsidRPr="0021208A" w:rsidRDefault="00834657" w:rsidP="00A94DDC">
            <w:pPr>
              <w:pStyle w:val="FRABodyText"/>
            </w:pPr>
            <w:r w:rsidRPr="0021208A">
              <w:t>Were some political party manifestos provided in accessible formats during the most recent elections?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20F3FE2" w14:textId="2A778A8B" w:rsidR="00FD3ABD" w:rsidRPr="00EA19AA" w:rsidRDefault="00834657" w:rsidP="00A94DDC">
            <w:pPr>
              <w:pStyle w:val="FRABodyText"/>
            </w:pPr>
            <w:r w:rsidRPr="00EA19AA">
              <w:t xml:space="preserve">Some political parties provided accessible manifestos </w:t>
            </w:r>
          </w:p>
          <w:p w14:paraId="2FAE6919" w14:textId="1D7A97F6" w:rsidR="00834657" w:rsidRPr="00EA19AA"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5B39C14" w14:textId="77777777" w:rsidR="00B70454" w:rsidRDefault="00953219" w:rsidP="00A94DDC">
            <w:pPr>
              <w:pStyle w:val="FRABodyText"/>
            </w:pPr>
            <w:r>
              <w:t xml:space="preserve">The most recent elections are the elections for the House of Representatives held on </w:t>
            </w:r>
            <w:r w:rsidR="00432D7B">
              <w:t xml:space="preserve">22 November 2023. </w:t>
            </w:r>
          </w:p>
          <w:p w14:paraId="76E84FD6" w14:textId="436379A3" w:rsidR="00501DFB" w:rsidRDefault="00B70454" w:rsidP="00A94DDC">
            <w:pPr>
              <w:pStyle w:val="FRABodyText"/>
            </w:pPr>
            <w:r>
              <w:t>For these election</w:t>
            </w:r>
            <w:r w:rsidR="001607CC">
              <w:t>s</w:t>
            </w:r>
            <w:r w:rsidR="0037462C">
              <w:t xml:space="preserve">, </w:t>
            </w:r>
            <w:r w:rsidR="006D091F">
              <w:t>DPO</w:t>
            </w:r>
            <w:r w:rsidR="0037462C">
              <w:t xml:space="preserve"> </w:t>
            </w:r>
            <w:proofErr w:type="spellStart"/>
            <w:r w:rsidR="0037462C" w:rsidRPr="0037462C">
              <w:t>Ieder</w:t>
            </w:r>
            <w:proofErr w:type="spellEnd"/>
            <w:r w:rsidR="0037462C" w:rsidRPr="0037462C">
              <w:t xml:space="preserve">(in) </w:t>
            </w:r>
            <w:r w:rsidR="00501DFB">
              <w:t xml:space="preserve">screened </w:t>
            </w:r>
            <w:r w:rsidR="00855B44">
              <w:t xml:space="preserve"> the </w:t>
            </w:r>
            <w:r w:rsidR="0047252D">
              <w:t xml:space="preserve">availability of </w:t>
            </w:r>
            <w:r w:rsidR="00855B44">
              <w:t xml:space="preserve">election manifestos </w:t>
            </w:r>
            <w:r w:rsidR="0047252D">
              <w:t xml:space="preserve">in accessible formats </w:t>
            </w:r>
            <w:r w:rsidR="00855B44">
              <w:t>on the website</w:t>
            </w:r>
            <w:r w:rsidR="00F04EF2">
              <w:t>s</w:t>
            </w:r>
            <w:r w:rsidR="00855B44">
              <w:t xml:space="preserve"> of 1</w:t>
            </w:r>
            <w:r w:rsidR="009460C5">
              <w:t>8</w:t>
            </w:r>
            <w:r w:rsidR="00855B44">
              <w:t xml:space="preserve"> political parties.</w:t>
            </w:r>
            <w:r w:rsidR="006D644F">
              <w:rPr>
                <w:rStyle w:val="FootnoteReference"/>
              </w:rPr>
              <w:footnoteReference w:id="49"/>
            </w:r>
            <w:r w:rsidR="00855B44">
              <w:t xml:space="preserve"> </w:t>
            </w:r>
          </w:p>
          <w:p w14:paraId="5102A5A5" w14:textId="6C5578B5" w:rsidR="00834657" w:rsidRPr="00DC4544" w:rsidRDefault="00501DFB" w:rsidP="00A94DDC">
            <w:pPr>
              <w:pStyle w:val="FRABodyText"/>
            </w:pPr>
            <w:r>
              <w:t>The screen</w:t>
            </w:r>
            <w:r w:rsidR="009460C5">
              <w:t>ing</w:t>
            </w:r>
            <w:r w:rsidRPr="00501DFB">
              <w:t xml:space="preserve"> included </w:t>
            </w:r>
            <w:r w:rsidR="009460C5">
              <w:t xml:space="preserve">only </w:t>
            </w:r>
            <w:r w:rsidRPr="00501DFB">
              <w:t xml:space="preserve">the parties that </w:t>
            </w:r>
            <w:r w:rsidR="009460C5">
              <w:t xml:space="preserve">were in the House before </w:t>
            </w:r>
            <w:r w:rsidR="00010053">
              <w:t xml:space="preserve">the </w:t>
            </w:r>
            <w:r w:rsidR="009460C5">
              <w:t xml:space="preserve">elections </w:t>
            </w:r>
            <w:r w:rsidRPr="00501DFB">
              <w:t>and</w:t>
            </w:r>
            <w:r w:rsidR="00D86C96">
              <w:t>/</w:t>
            </w:r>
            <w:r w:rsidR="009460C5">
              <w:t>or</w:t>
            </w:r>
            <w:r w:rsidRPr="00501DFB">
              <w:t xml:space="preserve"> are projected to have a chance of winning House seats again.</w:t>
            </w:r>
            <w:r>
              <w:t xml:space="preserve"> During </w:t>
            </w:r>
            <w:r w:rsidR="009460C5">
              <w:t xml:space="preserve">the screening, </w:t>
            </w:r>
            <w:r>
              <w:t>the</w:t>
            </w:r>
            <w:r w:rsidRPr="00501DFB">
              <w:t xml:space="preserve"> quality of </w:t>
            </w:r>
            <w:r w:rsidR="00AD13F1">
              <w:t xml:space="preserve">the </w:t>
            </w:r>
            <w:r w:rsidRPr="00501DFB">
              <w:t>accessibility</w:t>
            </w:r>
            <w:r>
              <w:t xml:space="preserve"> </w:t>
            </w:r>
            <w:r w:rsidR="00AD13F1">
              <w:t xml:space="preserve">of the accessible documents (like the easy-to-read manifestos) </w:t>
            </w:r>
            <w:r>
              <w:t>was not checked</w:t>
            </w:r>
            <w:r w:rsidRPr="00501DFB">
              <w:t>.</w:t>
            </w:r>
            <w:r w:rsidR="009460C5">
              <w:t xml:space="preserve"> </w:t>
            </w:r>
            <w:r w:rsidR="009460C5" w:rsidRPr="009460C5">
              <w:t>All parties have their</w:t>
            </w:r>
            <w:r w:rsidR="009460C5">
              <w:t xml:space="preserve"> </w:t>
            </w:r>
            <w:r w:rsidR="009460C5">
              <w:lastRenderedPageBreak/>
              <w:t>manifesto in</w:t>
            </w:r>
            <w:r w:rsidR="009460C5" w:rsidRPr="009460C5">
              <w:t xml:space="preserve"> a downloadable</w:t>
            </w:r>
            <w:r w:rsidR="009460C5">
              <w:t xml:space="preserve"> pdf version</w:t>
            </w:r>
            <w:r w:rsidR="009460C5" w:rsidRPr="009460C5">
              <w:t xml:space="preserve"> on their websites</w:t>
            </w:r>
            <w:r w:rsidR="009460C5">
              <w:t>.</w:t>
            </w:r>
            <w:r w:rsidR="00ED33F5">
              <w:t xml:space="preserve"> </w:t>
            </w:r>
            <w:r>
              <w:t xml:space="preserve">11 parties had a </w:t>
            </w:r>
            <w:r w:rsidR="00EC6ECD">
              <w:t xml:space="preserve">website </w:t>
            </w:r>
            <w:r w:rsidR="00ED33F5">
              <w:t>version of their manifesto on their websites. 9 parties had a summary of their manifesto in easy-to-read language.</w:t>
            </w:r>
            <w:r w:rsidR="00855B44">
              <w:t xml:space="preserve"> </w:t>
            </w:r>
            <w:r w:rsidR="00544CCC">
              <w:t xml:space="preserve"> </w:t>
            </w:r>
            <w:r w:rsidR="006D644F">
              <w:t xml:space="preserve">2 </w:t>
            </w:r>
            <w:r w:rsidR="00DC49CD" w:rsidRPr="00DC49CD">
              <w:t xml:space="preserve">parties </w:t>
            </w:r>
            <w:r w:rsidR="00A13FC7">
              <w:t>made</w:t>
            </w:r>
            <w:r w:rsidR="00DC49CD" w:rsidRPr="00DC49CD">
              <w:t xml:space="preserve"> a short version of their </w:t>
            </w:r>
            <w:r w:rsidR="00F668E3">
              <w:t xml:space="preserve">manifesto </w:t>
            </w:r>
            <w:r w:rsidR="00DC49CD" w:rsidRPr="00DC49CD">
              <w:t xml:space="preserve">in Braille </w:t>
            </w:r>
            <w:r w:rsidR="00A13FC7">
              <w:t>available (</w:t>
            </w:r>
            <w:r w:rsidR="00961AEC">
              <w:t>on</w:t>
            </w:r>
            <w:r w:rsidR="00A13FC7">
              <w:t xml:space="preserve"> paper).</w:t>
            </w:r>
            <w:r w:rsidR="00F668E3">
              <w:t xml:space="preserve"> </w:t>
            </w:r>
            <w:r w:rsidR="00961AEC">
              <w:t>3</w:t>
            </w:r>
            <w:r w:rsidR="00F668E3" w:rsidRPr="00F668E3">
              <w:t xml:space="preserve"> parties have a short version of their </w:t>
            </w:r>
            <w:r w:rsidR="00F668E3">
              <w:t>manifesto</w:t>
            </w:r>
            <w:r w:rsidR="00F668E3" w:rsidRPr="00F668E3">
              <w:t xml:space="preserve"> in a spoken version on their website</w:t>
            </w:r>
            <w:r w:rsidR="00A13FC7">
              <w:t>. 4 parties have a short version of their manifesto in Dutch sign language.</w:t>
            </w:r>
            <w:r w:rsidR="000226F0">
              <w:t xml:space="preserve"> One party presented its election manifesto in short videos with subtitles.</w:t>
            </w:r>
          </w:p>
        </w:tc>
      </w:tr>
      <w:tr w:rsidR="00834657" w:rsidRPr="00464594" w14:paraId="2D55F7EF"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1956D43" w14:textId="4A5CBDB3" w:rsidR="00834657" w:rsidRPr="0021208A" w:rsidRDefault="00834657" w:rsidP="00A94DDC">
            <w:pPr>
              <w:pStyle w:val="FRABodyText"/>
            </w:pPr>
            <w:r w:rsidRPr="0021208A">
              <w:lastRenderedPageBreak/>
              <w:t>Are there legal accessibility standards for public and private providers of internet and web-based public information?</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C279274" w14:textId="6BA52C69" w:rsidR="001B1BB4" w:rsidRPr="00802C74" w:rsidRDefault="00834657" w:rsidP="00A94DDC">
            <w:pPr>
              <w:pStyle w:val="FRABodyText"/>
            </w:pPr>
            <w:r w:rsidRPr="00EA19AA">
              <w:t>Yes, covering public only</w:t>
            </w:r>
            <w:r w:rsidR="001B1BB4" w:rsidRPr="00EA19AA">
              <w:t>.</w:t>
            </w:r>
          </w:p>
          <w:p w14:paraId="652A2935" w14:textId="01538A7D"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4B8A3AD" w14:textId="2EE665DB" w:rsidR="00834657" w:rsidRDefault="001B1BB4" w:rsidP="00A94DDC">
            <w:pPr>
              <w:pStyle w:val="FRABodyText"/>
            </w:pPr>
            <w:r>
              <w:t xml:space="preserve">The </w:t>
            </w:r>
            <w:bookmarkStart w:id="2" w:name="_Hlk152074025"/>
            <w:r>
              <w:t>Temporary Digital Accessibility Decree (</w:t>
            </w:r>
            <w:proofErr w:type="spellStart"/>
            <w:r w:rsidRPr="001B1BB4">
              <w:rPr>
                <w:i/>
                <w:iCs/>
              </w:rPr>
              <w:t>Tijdelijk</w:t>
            </w:r>
            <w:proofErr w:type="spellEnd"/>
            <w:r w:rsidRPr="001B1BB4">
              <w:rPr>
                <w:i/>
                <w:iCs/>
              </w:rPr>
              <w:t xml:space="preserve"> </w:t>
            </w:r>
            <w:proofErr w:type="spellStart"/>
            <w:r w:rsidRPr="001B1BB4">
              <w:rPr>
                <w:i/>
                <w:iCs/>
              </w:rPr>
              <w:t>besluit</w:t>
            </w:r>
            <w:proofErr w:type="spellEnd"/>
            <w:r w:rsidRPr="001B1BB4">
              <w:rPr>
                <w:i/>
                <w:iCs/>
              </w:rPr>
              <w:t xml:space="preserve"> </w:t>
            </w:r>
            <w:proofErr w:type="spellStart"/>
            <w:r w:rsidRPr="001B1BB4">
              <w:rPr>
                <w:i/>
                <w:iCs/>
              </w:rPr>
              <w:t>digitale</w:t>
            </w:r>
            <w:proofErr w:type="spellEnd"/>
            <w:r w:rsidRPr="001B1BB4">
              <w:rPr>
                <w:i/>
                <w:iCs/>
              </w:rPr>
              <w:t xml:space="preserve"> </w:t>
            </w:r>
            <w:proofErr w:type="spellStart"/>
            <w:r w:rsidRPr="001B1BB4">
              <w:rPr>
                <w:i/>
                <w:iCs/>
              </w:rPr>
              <w:t>toegankelijkheid</w:t>
            </w:r>
            <w:proofErr w:type="spellEnd"/>
            <w:r w:rsidRPr="001B1BB4">
              <w:rPr>
                <w:i/>
                <w:iCs/>
              </w:rPr>
              <w:t xml:space="preserve"> </w:t>
            </w:r>
            <w:proofErr w:type="spellStart"/>
            <w:r w:rsidRPr="001B1BB4">
              <w:rPr>
                <w:i/>
                <w:iCs/>
              </w:rPr>
              <w:t>overheid</w:t>
            </w:r>
            <w:proofErr w:type="spellEnd"/>
            <w:r w:rsidRPr="001B1BB4">
              <w:t xml:space="preserve"> </w:t>
            </w:r>
            <w:r>
              <w:t xml:space="preserve"> </w:t>
            </w:r>
            <w:bookmarkEnd w:id="2"/>
            <w:r>
              <w:t>requires that websites, mobile apps</w:t>
            </w:r>
            <w:r w:rsidR="009D718A">
              <w:t xml:space="preserve">, </w:t>
            </w:r>
            <w:r>
              <w:t xml:space="preserve">and intra- and extranets of government bodies </w:t>
            </w:r>
            <w:r w:rsidR="009D718A">
              <w:t xml:space="preserve">to </w:t>
            </w:r>
            <w:r>
              <w:t>be made digitally accessible to people</w:t>
            </w:r>
            <w:r w:rsidR="009D718A">
              <w:t xml:space="preserve"> </w:t>
            </w:r>
            <w:r>
              <w:t>with disabilities.</w:t>
            </w:r>
            <w:r w:rsidR="009D718A">
              <w:rPr>
                <w:rStyle w:val="FootnoteReference"/>
              </w:rPr>
              <w:footnoteReference w:id="50"/>
            </w:r>
          </w:p>
          <w:p w14:paraId="2D7FA8A2" w14:textId="77777777" w:rsidR="00FA3335" w:rsidRDefault="00FA3335" w:rsidP="00A94DDC">
            <w:pPr>
              <w:pStyle w:val="FRABodyText"/>
            </w:pPr>
          </w:p>
          <w:p w14:paraId="77C6D684" w14:textId="57DE60F8" w:rsidR="00FA3335" w:rsidRDefault="00FA3335" w:rsidP="00A94DDC">
            <w:pPr>
              <w:pStyle w:val="FRABodyText"/>
            </w:pPr>
            <w:r w:rsidRPr="00E31745">
              <w:t xml:space="preserve">A report by Cardan </w:t>
            </w:r>
            <w:proofErr w:type="spellStart"/>
            <w:r w:rsidRPr="00E31745">
              <w:t>Technobility</w:t>
            </w:r>
            <w:proofErr w:type="spellEnd"/>
            <w:r w:rsidRPr="00E31745">
              <w:t xml:space="preserve">, an expertise centre on digital accessibility, concludes that </w:t>
            </w:r>
            <w:r w:rsidR="00E31745" w:rsidRPr="00E31745">
              <w:t>of the 4,416 government websites and apps registered, only 8.6% were found to be fully compliant with accessibility legislation.</w:t>
            </w:r>
            <w:r w:rsidR="001A0058">
              <w:rPr>
                <w:rStyle w:val="FootnoteReference"/>
              </w:rPr>
              <w:footnoteReference w:id="51"/>
            </w:r>
            <w:r w:rsidR="00E31745" w:rsidRPr="00E31745">
              <w:t xml:space="preserve"> While 37.5% are partially compliant and 23.3% have taken initial measures to comply, there is still a significant percentage (30.6%) that is currently not at all compliant.</w:t>
            </w:r>
          </w:p>
          <w:p w14:paraId="3DEFAB77" w14:textId="77777777" w:rsidR="00E15C85" w:rsidRDefault="00E15C85" w:rsidP="00A94DDC">
            <w:pPr>
              <w:pStyle w:val="FRABodyText"/>
            </w:pPr>
          </w:p>
          <w:p w14:paraId="1D7BB185" w14:textId="61ACCEA7" w:rsidR="00E15C85" w:rsidRPr="0096468D" w:rsidRDefault="00E15C85" w:rsidP="00A94DDC">
            <w:pPr>
              <w:pStyle w:val="FRABodyText"/>
            </w:pPr>
            <w:r>
              <w:lastRenderedPageBreak/>
              <w:t>The</w:t>
            </w:r>
            <w:r w:rsidR="002F1297">
              <w:t xml:space="preserve"> Dutch</w:t>
            </w:r>
            <w:r>
              <w:t xml:space="preserve"> Accessib</w:t>
            </w:r>
            <w:r w:rsidR="005E2361">
              <w:t>ility</w:t>
            </w:r>
            <w:r>
              <w:t xml:space="preserve"> Dashboard (</w:t>
            </w:r>
            <w:hyperlink r:id="rId23" w:history="1">
              <w:r w:rsidR="002F1297" w:rsidRPr="00093FB5">
                <w:rPr>
                  <w:rStyle w:val="Hyperlink"/>
                </w:rPr>
                <w:t>www.dashboard.digitoegankelijk.nl</w:t>
              </w:r>
            </w:hyperlink>
            <w:r w:rsidR="002F1297">
              <w:t xml:space="preserve">) gives an overview of the </w:t>
            </w:r>
            <w:r w:rsidR="007624A8">
              <w:t>accessibility</w:t>
            </w:r>
            <w:r w:rsidR="002F1297">
              <w:t xml:space="preserve"> of the websites and mobile applications of governmental organisations.</w:t>
            </w:r>
            <w:r w:rsidR="002F1297">
              <w:rPr>
                <w:rStyle w:val="FootnoteReference"/>
              </w:rPr>
              <w:footnoteReference w:id="52"/>
            </w:r>
            <w:r w:rsidR="002F1297">
              <w:t xml:space="preserve"> On the </w:t>
            </w:r>
            <w:r w:rsidR="00A043FC">
              <w:t xml:space="preserve">12 </w:t>
            </w:r>
            <w:r w:rsidR="002F1297">
              <w:t>February 12,</w:t>
            </w:r>
            <w:r w:rsidR="00A043FC">
              <w:t xml:space="preserve"> </w:t>
            </w:r>
            <w:r w:rsidR="002F1297">
              <w:t>2024, 9170 websites and apps were registere</w:t>
            </w:r>
            <w:r w:rsidR="00A45CB6">
              <w:t>d in the Dashboard, from which 40% met the legal requirements of the Temporary Digital Accessibility Decree.</w:t>
            </w:r>
          </w:p>
        </w:tc>
      </w:tr>
      <w:tr w:rsidR="00834657" w:rsidRPr="00464594" w14:paraId="6696DCE9"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1563A4" w14:textId="62E64E26" w:rsidR="00834657" w:rsidRPr="0021208A" w:rsidRDefault="00834657" w:rsidP="00A94DDC">
            <w:pPr>
              <w:pStyle w:val="FRABodyText"/>
            </w:pPr>
            <w:r w:rsidRPr="0021208A">
              <w:lastRenderedPageBreak/>
              <w:t>Are there legal accessibility standards for public and private providers of media?</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D9C5FED" w14:textId="71078C65" w:rsidR="00834657" w:rsidRPr="00802C74" w:rsidRDefault="00834657" w:rsidP="00A94DDC">
            <w:pPr>
              <w:pStyle w:val="FRABodyText"/>
            </w:pPr>
            <w:r w:rsidRPr="00EA19AA">
              <w:t>Yes, covering public and private</w:t>
            </w:r>
            <w:r w:rsidR="00041C27" w:rsidRPr="00EA19AA">
              <w:t>.</w:t>
            </w:r>
            <w:r w:rsidRPr="00802C74">
              <w:t xml:space="preserve"> </w:t>
            </w:r>
          </w:p>
          <w:p w14:paraId="26169273" w14:textId="6417414A"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D8E4F6B" w14:textId="45807912" w:rsidR="0059639D" w:rsidRDefault="00041C27" w:rsidP="00041C27">
            <w:pPr>
              <w:jc w:val="both"/>
              <w:rPr>
                <w:rFonts w:ascii="Verdana" w:eastAsia="Calibri" w:hAnsi="Verdana"/>
                <w:sz w:val="20"/>
              </w:rPr>
            </w:pPr>
            <w:r w:rsidRPr="00BE6376">
              <w:rPr>
                <w:rFonts w:ascii="Verdana" w:eastAsia="Calibri" w:hAnsi="Verdana"/>
                <w:sz w:val="20"/>
              </w:rPr>
              <w:t xml:space="preserve">The existing </w:t>
            </w:r>
            <w:r w:rsidR="00B45EA8">
              <w:rPr>
                <w:rFonts w:ascii="Verdana" w:eastAsia="Calibri" w:hAnsi="Verdana"/>
                <w:sz w:val="20"/>
              </w:rPr>
              <w:t xml:space="preserve">legal </w:t>
            </w:r>
            <w:r>
              <w:rPr>
                <w:rFonts w:ascii="Verdana" w:eastAsia="Calibri" w:hAnsi="Verdana"/>
                <w:sz w:val="20"/>
              </w:rPr>
              <w:t xml:space="preserve">accessibility standards </w:t>
            </w:r>
            <w:r w:rsidRPr="00BE6376">
              <w:rPr>
                <w:rFonts w:ascii="Verdana" w:eastAsia="Calibri" w:hAnsi="Verdana"/>
                <w:sz w:val="20"/>
              </w:rPr>
              <w:t xml:space="preserve">for media providers pertain to public and private television </w:t>
            </w:r>
            <w:r w:rsidR="0059639D">
              <w:rPr>
                <w:rFonts w:ascii="Verdana" w:eastAsia="Calibri" w:hAnsi="Verdana"/>
                <w:sz w:val="20"/>
              </w:rPr>
              <w:t>broadcasting organisations</w:t>
            </w:r>
            <w:r w:rsidRPr="00BE6376">
              <w:rPr>
                <w:rFonts w:ascii="Verdana" w:eastAsia="Calibri" w:hAnsi="Verdana"/>
                <w:sz w:val="20"/>
              </w:rPr>
              <w:t xml:space="preserve">, and </w:t>
            </w:r>
            <w:r>
              <w:rPr>
                <w:rFonts w:ascii="Verdana" w:eastAsia="Calibri" w:hAnsi="Verdana"/>
                <w:sz w:val="20"/>
              </w:rPr>
              <w:t xml:space="preserve">are </w:t>
            </w:r>
            <w:r w:rsidRPr="00BE6376">
              <w:rPr>
                <w:rFonts w:ascii="Verdana" w:eastAsia="Calibri" w:hAnsi="Verdana"/>
                <w:sz w:val="20"/>
              </w:rPr>
              <w:t xml:space="preserve">specifically </w:t>
            </w:r>
            <w:r>
              <w:rPr>
                <w:rFonts w:ascii="Verdana" w:eastAsia="Calibri" w:hAnsi="Verdana"/>
                <w:sz w:val="20"/>
              </w:rPr>
              <w:t>related to</w:t>
            </w:r>
            <w:r w:rsidRPr="00BE6376">
              <w:rPr>
                <w:rFonts w:ascii="Verdana" w:eastAsia="Calibri" w:hAnsi="Verdana"/>
                <w:sz w:val="20"/>
              </w:rPr>
              <w:t xml:space="preserve"> the provision of subtitles</w:t>
            </w:r>
            <w:r w:rsidR="0059639D">
              <w:rPr>
                <w:rFonts w:ascii="Verdana" w:eastAsia="Calibri" w:hAnsi="Verdana"/>
                <w:sz w:val="20"/>
              </w:rPr>
              <w:t xml:space="preserve"> </w:t>
            </w:r>
            <w:r w:rsidR="000F38BE">
              <w:rPr>
                <w:rFonts w:ascii="Verdana" w:eastAsia="Calibri" w:hAnsi="Verdana"/>
                <w:sz w:val="20"/>
              </w:rPr>
              <w:t>to</w:t>
            </w:r>
            <w:r w:rsidR="0059639D">
              <w:rPr>
                <w:rFonts w:ascii="Verdana" w:eastAsia="Calibri" w:hAnsi="Verdana"/>
                <w:sz w:val="20"/>
              </w:rPr>
              <w:t xml:space="preserve"> </w:t>
            </w:r>
            <w:r w:rsidR="0059639D" w:rsidRPr="0059639D">
              <w:rPr>
                <w:rFonts w:ascii="Verdana" w:eastAsia="Calibri" w:hAnsi="Verdana"/>
                <w:sz w:val="20"/>
              </w:rPr>
              <w:t>the benefit of people with a hearing impairment.</w:t>
            </w:r>
          </w:p>
          <w:p w14:paraId="2C87B7FD" w14:textId="3DB93F17" w:rsidR="00041C27" w:rsidRDefault="00041C27" w:rsidP="00041C27">
            <w:pPr>
              <w:jc w:val="both"/>
              <w:rPr>
                <w:rFonts w:ascii="Verdana" w:eastAsia="Calibri" w:hAnsi="Verdana"/>
                <w:sz w:val="20"/>
              </w:rPr>
            </w:pPr>
            <w:r w:rsidRPr="00BE6376">
              <w:rPr>
                <w:rFonts w:ascii="Verdana" w:eastAsia="Calibri" w:hAnsi="Verdana"/>
                <w:sz w:val="20"/>
              </w:rPr>
              <w:t xml:space="preserve"> </w:t>
            </w:r>
          </w:p>
          <w:p w14:paraId="6DAA2E6A" w14:textId="154CB353" w:rsidR="00041C27" w:rsidRDefault="00041C27" w:rsidP="00041C27">
            <w:pPr>
              <w:jc w:val="both"/>
              <w:rPr>
                <w:rFonts w:ascii="Verdana" w:eastAsia="Calibri" w:hAnsi="Verdana"/>
                <w:sz w:val="20"/>
              </w:rPr>
            </w:pPr>
            <w:r>
              <w:rPr>
                <w:rFonts w:ascii="Verdana" w:eastAsia="Calibri" w:hAnsi="Verdana"/>
                <w:sz w:val="20"/>
              </w:rPr>
              <w:t>A</w:t>
            </w:r>
            <w:r w:rsidRPr="00BE6376">
              <w:rPr>
                <w:rFonts w:ascii="Verdana" w:eastAsia="Calibri" w:hAnsi="Verdana"/>
                <w:sz w:val="20"/>
              </w:rPr>
              <w:t>rticle 15 of the Media Dec</w:t>
            </w:r>
            <w:r>
              <w:rPr>
                <w:rFonts w:ascii="Verdana" w:eastAsia="Calibri" w:hAnsi="Verdana"/>
                <w:sz w:val="20"/>
              </w:rPr>
              <w:t>ree</w:t>
            </w:r>
            <w:r w:rsidRPr="00BE6376">
              <w:rPr>
                <w:rFonts w:ascii="Verdana" w:eastAsia="Calibri" w:hAnsi="Verdana"/>
                <w:sz w:val="20"/>
              </w:rPr>
              <w:t xml:space="preserve"> (</w:t>
            </w:r>
            <w:proofErr w:type="spellStart"/>
            <w:r>
              <w:rPr>
                <w:rFonts w:ascii="Verdana" w:eastAsia="Calibri" w:hAnsi="Verdana"/>
                <w:i/>
                <w:sz w:val="20"/>
              </w:rPr>
              <w:t>M</w:t>
            </w:r>
            <w:r w:rsidRPr="00BE6376">
              <w:rPr>
                <w:rFonts w:ascii="Verdana" w:eastAsia="Calibri" w:hAnsi="Verdana"/>
                <w:i/>
                <w:sz w:val="20"/>
              </w:rPr>
              <w:t>ediabesluit</w:t>
            </w:r>
            <w:proofErr w:type="spellEnd"/>
            <w:r w:rsidRPr="00BE6376">
              <w:rPr>
                <w:rFonts w:ascii="Verdana" w:eastAsia="Calibri" w:hAnsi="Verdana"/>
                <w:sz w:val="20"/>
              </w:rPr>
              <w:t xml:space="preserve">) stipulates that public television </w:t>
            </w:r>
            <w:r w:rsidR="000F38BE">
              <w:rPr>
                <w:rFonts w:ascii="Verdana" w:eastAsia="Calibri" w:hAnsi="Verdana"/>
                <w:sz w:val="20"/>
              </w:rPr>
              <w:t>broadcasting organisations are obliged</w:t>
            </w:r>
            <w:r w:rsidRPr="00BE6376">
              <w:rPr>
                <w:rFonts w:ascii="Verdana" w:eastAsia="Calibri" w:hAnsi="Verdana"/>
                <w:sz w:val="20"/>
              </w:rPr>
              <w:t xml:space="preserve"> to provide subtitles to 95% of their </w:t>
            </w:r>
            <w:r w:rsidR="005F6889">
              <w:rPr>
                <w:rFonts w:ascii="Verdana" w:eastAsia="Calibri" w:hAnsi="Verdana"/>
                <w:sz w:val="20"/>
              </w:rPr>
              <w:t xml:space="preserve">Dutch language </w:t>
            </w:r>
            <w:r w:rsidRPr="00BE6376">
              <w:rPr>
                <w:rFonts w:ascii="Verdana" w:eastAsia="Calibri" w:hAnsi="Verdana"/>
                <w:sz w:val="20"/>
              </w:rPr>
              <w:t>programmes</w:t>
            </w:r>
            <w:r w:rsidR="005F6889">
              <w:rPr>
                <w:rFonts w:ascii="Verdana" w:eastAsia="Calibri" w:hAnsi="Verdana"/>
                <w:sz w:val="20"/>
              </w:rPr>
              <w:t xml:space="preserve"> to make these programmes accessible (</w:t>
            </w:r>
            <w:r w:rsidRPr="00BE6376">
              <w:rPr>
                <w:rFonts w:ascii="Verdana" w:eastAsia="Calibri" w:hAnsi="Verdana"/>
                <w:sz w:val="20"/>
              </w:rPr>
              <w:t>advertisements</w:t>
            </w:r>
            <w:r w:rsidR="005F6889">
              <w:rPr>
                <w:rFonts w:ascii="Verdana" w:eastAsia="Calibri" w:hAnsi="Verdana"/>
                <w:sz w:val="20"/>
              </w:rPr>
              <w:t xml:space="preserve"> excluded).</w:t>
            </w:r>
            <w:r w:rsidR="000F38BE" w:rsidRPr="00BE6376">
              <w:rPr>
                <w:rStyle w:val="FootnoteReference"/>
                <w:rFonts w:ascii="Verdana" w:eastAsia="Calibri" w:hAnsi="Verdana"/>
                <w:sz w:val="20"/>
              </w:rPr>
              <w:t xml:space="preserve"> </w:t>
            </w:r>
            <w:r w:rsidR="000F38BE" w:rsidRPr="00BE6376">
              <w:rPr>
                <w:rStyle w:val="FootnoteReference"/>
                <w:rFonts w:ascii="Verdana" w:eastAsia="Calibri" w:hAnsi="Verdana"/>
                <w:sz w:val="20"/>
              </w:rPr>
              <w:footnoteReference w:id="53"/>
            </w:r>
          </w:p>
          <w:p w14:paraId="4AFCFD86" w14:textId="50F91B68" w:rsidR="00041C27" w:rsidRPr="00464594" w:rsidRDefault="00041C27" w:rsidP="00A94DDC">
            <w:pPr>
              <w:pStyle w:val="FRABodyText"/>
            </w:pPr>
            <w:r w:rsidRPr="00BE6376">
              <w:t>Article 17 of the Media Dec</w:t>
            </w:r>
            <w:r w:rsidR="0059639D">
              <w:t>ree</w:t>
            </w:r>
            <w:r w:rsidR="00B22CF6">
              <w:t xml:space="preserve"> </w:t>
            </w:r>
            <w:r w:rsidR="0059639D">
              <w:t>(</w:t>
            </w:r>
            <w:proofErr w:type="spellStart"/>
            <w:r w:rsidR="0059639D" w:rsidRPr="0059639D">
              <w:rPr>
                <w:i/>
                <w:iCs/>
              </w:rPr>
              <w:t>Mediabeslui</w:t>
            </w:r>
            <w:r w:rsidR="0059639D">
              <w:t>t</w:t>
            </w:r>
            <w:proofErr w:type="spellEnd"/>
            <w:r w:rsidR="0059639D">
              <w:t xml:space="preserve">) </w:t>
            </w:r>
            <w:r w:rsidRPr="00BE6376">
              <w:t xml:space="preserve">stipulates that </w:t>
            </w:r>
            <w:r w:rsidR="000F38BE">
              <w:t>p</w:t>
            </w:r>
            <w:r w:rsidR="00CE0BF3">
              <w:t>rivate</w:t>
            </w:r>
            <w:r w:rsidR="000F38BE">
              <w:t xml:space="preserve"> broadcasting organisations </w:t>
            </w:r>
            <w:r w:rsidRPr="00BE6376">
              <w:t xml:space="preserve">based in the Netherlands, </w:t>
            </w:r>
            <w:r w:rsidR="000F38BE">
              <w:t xml:space="preserve">are obliged to </w:t>
            </w:r>
            <w:r w:rsidRPr="00BE6376">
              <w:t xml:space="preserve">provide subtitles to </w:t>
            </w:r>
            <w:r w:rsidR="000F38BE">
              <w:t>75</w:t>
            </w:r>
            <w:r w:rsidRPr="00BE6376">
              <w:t xml:space="preserve">% of their </w:t>
            </w:r>
            <w:r w:rsidR="000F38BE">
              <w:t xml:space="preserve">Dutch language </w:t>
            </w:r>
            <w:r w:rsidRPr="00BE6376">
              <w:t>programmes</w:t>
            </w:r>
            <w:r w:rsidR="000F38BE">
              <w:t xml:space="preserve"> (</w:t>
            </w:r>
            <w:r w:rsidR="000F38BE" w:rsidRPr="00BE6376">
              <w:t>advertisements</w:t>
            </w:r>
            <w:r w:rsidR="000F38BE">
              <w:t xml:space="preserve"> excluded).</w:t>
            </w:r>
            <w:r w:rsidRPr="00BE6376">
              <w:rPr>
                <w:rStyle w:val="FootnoteReference"/>
                <w:rFonts w:cs="Times New Roman"/>
              </w:rPr>
              <w:footnoteReference w:id="54"/>
            </w:r>
          </w:p>
        </w:tc>
      </w:tr>
      <w:tr w:rsidR="00834657" w14:paraId="519C0F3A"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A5D1AD" w14:textId="00389646" w:rsidR="00834657" w:rsidRPr="00EA19AA" w:rsidRDefault="00834657" w:rsidP="00A94DDC">
            <w:pPr>
              <w:pStyle w:val="FRABodyText"/>
            </w:pPr>
            <w:r w:rsidRPr="00EA19AA">
              <w:lastRenderedPageBreak/>
              <w:t>Are there mandatory accessibility standards for national and local authority buildings in the election context?</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2869BD6E" w14:textId="62C6A28D" w:rsidR="00834657" w:rsidRPr="00EA19AA" w:rsidRDefault="00834657" w:rsidP="00A94DDC">
            <w:pPr>
              <w:pStyle w:val="FRABodyText"/>
            </w:pPr>
          </w:p>
          <w:p w14:paraId="7B94E7CB" w14:textId="62B885FA" w:rsidR="00834657" w:rsidRPr="00EA19AA" w:rsidRDefault="00AA325F" w:rsidP="00A94DDC">
            <w:pPr>
              <w:pStyle w:val="FRABodyText"/>
            </w:pPr>
            <w:r w:rsidRPr="00EA19AA">
              <w:t>Yes</w:t>
            </w:r>
            <w:r w:rsidR="0039179F" w:rsidRPr="00EA19AA">
              <w:t>.</w:t>
            </w:r>
          </w:p>
          <w:p w14:paraId="1A8D57DA" w14:textId="7956D8BB" w:rsidR="00834657" w:rsidRPr="00EA19AA"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2846950" w14:textId="5B60D89F" w:rsidR="00834657" w:rsidRDefault="00A251D6" w:rsidP="00A94DDC">
            <w:pPr>
              <w:pStyle w:val="FRABodyText"/>
            </w:pPr>
            <w:r w:rsidRPr="00A251D6">
              <w:t>Section 4.6 of the Dutch Building Decree (</w:t>
            </w:r>
            <w:proofErr w:type="spellStart"/>
            <w:r w:rsidRPr="005E2361">
              <w:rPr>
                <w:i/>
                <w:iCs/>
              </w:rPr>
              <w:t>Besluit</w:t>
            </w:r>
            <w:proofErr w:type="spellEnd"/>
            <w:r w:rsidRPr="005E2361">
              <w:rPr>
                <w:i/>
                <w:iCs/>
              </w:rPr>
              <w:t xml:space="preserve"> </w:t>
            </w:r>
            <w:proofErr w:type="spellStart"/>
            <w:r w:rsidRPr="005E2361">
              <w:rPr>
                <w:i/>
                <w:iCs/>
              </w:rPr>
              <w:t>bouwwerken</w:t>
            </w:r>
            <w:proofErr w:type="spellEnd"/>
            <w:r w:rsidRPr="005E2361">
              <w:rPr>
                <w:i/>
                <w:iCs/>
              </w:rPr>
              <w:t xml:space="preserve"> </w:t>
            </w:r>
            <w:proofErr w:type="spellStart"/>
            <w:r w:rsidRPr="005E2361">
              <w:rPr>
                <w:i/>
                <w:iCs/>
              </w:rPr>
              <w:t>leefomgeving</w:t>
            </w:r>
            <w:proofErr w:type="spellEnd"/>
            <w:r w:rsidRPr="00A251D6">
              <w:t xml:space="preserve">) </w:t>
            </w:r>
            <w:r w:rsidR="00654D2D" w:rsidRPr="005E2361">
              <w:t xml:space="preserve">lays down </w:t>
            </w:r>
            <w:r w:rsidRPr="005E2361">
              <w:t xml:space="preserve">requirements with regard to the accessibility of new buildings in the Netherlands. </w:t>
            </w:r>
          </w:p>
          <w:p w14:paraId="04410C6F" w14:textId="77777777" w:rsidR="00A251D6" w:rsidRDefault="00A251D6" w:rsidP="00A94DDC">
            <w:pPr>
              <w:pStyle w:val="FRABodyText"/>
            </w:pPr>
          </w:p>
          <w:p w14:paraId="43C8745C" w14:textId="4E5C5D6E" w:rsidR="00A251D6" w:rsidRDefault="00A251D6" w:rsidP="00A94DDC">
            <w:pPr>
              <w:pStyle w:val="FRABodyText"/>
            </w:pPr>
            <w:r>
              <w:t xml:space="preserve">In </w:t>
            </w:r>
            <w:r w:rsidR="00E2580B">
              <w:t>2024</w:t>
            </w:r>
            <w:r w:rsidR="008F7EA9">
              <w:t>,</w:t>
            </w:r>
            <w:r>
              <w:t xml:space="preserve"> </w:t>
            </w:r>
            <w:r w:rsidR="00E2580B">
              <w:t xml:space="preserve">the </w:t>
            </w:r>
            <w:r>
              <w:t>NEN 9120</w:t>
            </w:r>
            <w:r w:rsidR="00E2580B">
              <w:t xml:space="preserve">,  a </w:t>
            </w:r>
            <w:r w:rsidR="009F265B">
              <w:t xml:space="preserve">new </w:t>
            </w:r>
            <w:r w:rsidR="00E2580B">
              <w:t xml:space="preserve">standard </w:t>
            </w:r>
            <w:r w:rsidR="009F265B">
              <w:t xml:space="preserve">on accessibility, </w:t>
            </w:r>
            <w:r w:rsidR="00E2580B">
              <w:t xml:space="preserve"> </w:t>
            </w:r>
            <w:r>
              <w:t>will be published</w:t>
            </w:r>
            <w:r w:rsidR="009F265B">
              <w:t xml:space="preserve">. </w:t>
            </w:r>
            <w:r w:rsidR="008F7EA9">
              <w:t>This will, initially, be a standard that can voluntarily be used by the construction sector.</w:t>
            </w:r>
          </w:p>
          <w:p w14:paraId="701CF8D0" w14:textId="77777777" w:rsidR="00A251D6" w:rsidRDefault="00A251D6" w:rsidP="00A94DDC">
            <w:pPr>
              <w:pStyle w:val="FRABodyText"/>
            </w:pPr>
          </w:p>
          <w:p w14:paraId="3B6FF879" w14:textId="093AF5D8" w:rsidR="00A251D6" w:rsidRDefault="00A251D6" w:rsidP="00A94DDC">
            <w:pPr>
              <w:pStyle w:val="FRABodyText"/>
            </w:pPr>
          </w:p>
        </w:tc>
      </w:tr>
      <w:tr w:rsidR="00834657" w:rsidRPr="00DE61F4" w14:paraId="41AD407C"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B00F2AB" w14:textId="15E9AE02" w:rsidR="00834657" w:rsidRPr="0021208A" w:rsidRDefault="00834657" w:rsidP="00A94DDC">
            <w:pPr>
              <w:pStyle w:val="FRABodyText"/>
            </w:pPr>
            <w:r w:rsidRPr="0021208A">
              <w:t>Are there legal accessibility standards for polling stations in place?</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E6A78B8" w14:textId="72A40E66" w:rsidR="00834657" w:rsidRPr="00802C74" w:rsidRDefault="00834657" w:rsidP="00A94DDC">
            <w:pPr>
              <w:pStyle w:val="FRABodyText"/>
            </w:pPr>
            <w:r w:rsidRPr="00EA19AA">
              <w:t>Yes, for all polling stations</w:t>
            </w:r>
            <w:r w:rsidRPr="00802C74">
              <w:t xml:space="preserve">  </w:t>
            </w:r>
          </w:p>
          <w:p w14:paraId="09AE27BA" w14:textId="3654EA0F" w:rsidR="00834657" w:rsidRPr="00802C74" w:rsidRDefault="00834657" w:rsidP="00A94DDC">
            <w:pPr>
              <w:pStyle w:val="FRABodyText"/>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7936AD8F" w14:textId="280E759B" w:rsidR="00834657" w:rsidRPr="00DE61F4" w:rsidRDefault="00BC13DD" w:rsidP="00A94DDC">
            <w:pPr>
              <w:pStyle w:val="FRABodyText"/>
            </w:pPr>
            <w:r w:rsidRPr="00BC13DD">
              <w:t>The Elect</w:t>
            </w:r>
            <w:r w:rsidR="00B22CF6">
              <w:t xml:space="preserve">oral </w:t>
            </w:r>
            <w:r w:rsidRPr="00BC13DD">
              <w:t>Act provides in article J4 that each municipal government must ensure that all polling stations are located and equipped in such a way that voters with physical disabilities can cast their votes independently as much as possible.</w:t>
            </w:r>
            <w:r w:rsidRPr="00BE6376">
              <w:rPr>
                <w:rStyle w:val="FootnoteReference"/>
              </w:rPr>
              <w:footnoteReference w:id="55"/>
            </w:r>
            <w:r w:rsidRPr="00BE6376">
              <w:t xml:space="preserve"> </w:t>
            </w:r>
            <w:r>
              <w:t>W</w:t>
            </w:r>
            <w:r w:rsidRPr="00BC13DD">
              <w:t xml:space="preserve">here polling stations do not comply with this, </w:t>
            </w:r>
            <w:r>
              <w:t>the municipal government</w:t>
            </w:r>
            <w:r w:rsidRPr="00BC13DD">
              <w:t xml:space="preserve"> must inform the municipal council of the reasons for this.</w:t>
            </w:r>
          </w:p>
        </w:tc>
      </w:tr>
      <w:tr w:rsidR="00834657" w:rsidRPr="00D91219" w14:paraId="77507614"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E969F77" w14:textId="1310B884" w:rsidR="00834657" w:rsidRPr="0021208A" w:rsidRDefault="00834657" w:rsidP="00A94DDC">
            <w:pPr>
              <w:pStyle w:val="FRABodyText"/>
            </w:pPr>
            <w:r w:rsidRPr="0021208A">
              <w:t>Is data available on the proportion of polling stations that are accessible to persons with disabilities?</w:t>
            </w:r>
          </w:p>
          <w:p w14:paraId="4370427D" w14:textId="77777777" w:rsidR="00834657" w:rsidRPr="0021208A" w:rsidRDefault="00834657" w:rsidP="00A94DDC">
            <w:pPr>
              <w:pStyle w:val="FRABodyText"/>
            </w:pP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4B3A055" w14:textId="297A9FC4" w:rsidR="00834657" w:rsidRPr="00EA19AA" w:rsidRDefault="00834657" w:rsidP="00A94DDC">
            <w:pPr>
              <w:pStyle w:val="FRABodyText"/>
            </w:pPr>
            <w:r w:rsidRPr="00EA19AA">
              <w:lastRenderedPageBreak/>
              <w:t>Some official data available</w:t>
            </w:r>
            <w:r w:rsidR="00E13214" w:rsidRPr="00EA19AA">
              <w:t>.</w:t>
            </w:r>
          </w:p>
          <w:p w14:paraId="3A1ABE70" w14:textId="604FEB68" w:rsidR="00834657" w:rsidRPr="007811E4" w:rsidRDefault="00834657" w:rsidP="00A94DDC">
            <w:pPr>
              <w:pStyle w:val="FRABodyText"/>
              <w:rPr>
                <w:highlight w:val="green"/>
              </w:rPr>
            </w:pP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F79660A" w14:textId="5105755D" w:rsidR="00834657" w:rsidRDefault="00185298" w:rsidP="00A94DDC">
            <w:pPr>
              <w:pStyle w:val="FRABodyText"/>
            </w:pPr>
            <w:r>
              <w:t>Official d</w:t>
            </w:r>
            <w:r w:rsidR="00756CC9">
              <w:t>ata are available for the e</w:t>
            </w:r>
            <w:r w:rsidR="00756CC9" w:rsidRPr="00756CC9">
              <w:t>lections for the Provincial Council</w:t>
            </w:r>
            <w:r w:rsidR="00010053">
              <w:t>s</w:t>
            </w:r>
            <w:r w:rsidR="00756CC9" w:rsidRPr="00756CC9">
              <w:t xml:space="preserve"> and Water Boards</w:t>
            </w:r>
            <w:r w:rsidR="005D5337">
              <w:t xml:space="preserve"> </w:t>
            </w:r>
            <w:r w:rsidR="00826E6F">
              <w:t>e</w:t>
            </w:r>
            <w:r w:rsidR="005D5337">
              <w:t>lections</w:t>
            </w:r>
            <w:r w:rsidR="00756CC9">
              <w:t xml:space="preserve"> that took place on 15 March 2023.</w:t>
            </w:r>
          </w:p>
          <w:p w14:paraId="1F7DA112" w14:textId="2CC02B0C" w:rsidR="00B064B9" w:rsidRDefault="00756CC9" w:rsidP="00A94DDC">
            <w:pPr>
              <w:pStyle w:val="FRABodyText"/>
            </w:pPr>
            <w:r>
              <w:t xml:space="preserve">Under </w:t>
            </w:r>
            <w:r w:rsidR="00077386">
              <w:t xml:space="preserve">article J4 of </w:t>
            </w:r>
            <w:r>
              <w:t>the</w:t>
            </w:r>
            <w:r w:rsidR="00077386" w:rsidRPr="00BC13DD">
              <w:t xml:space="preserve"> Elect</w:t>
            </w:r>
            <w:r w:rsidR="00077386">
              <w:t xml:space="preserve">oral </w:t>
            </w:r>
            <w:r w:rsidR="00077386" w:rsidRPr="00BC13DD">
              <w:t>Act each municipal government must ensure that all polling stations are located and equipped in such a way that voters with physical disabilities can cast their votes independently as much as possible.</w:t>
            </w:r>
            <w:r w:rsidR="00077386" w:rsidRPr="00BE6376">
              <w:rPr>
                <w:rStyle w:val="FootnoteReference"/>
              </w:rPr>
              <w:footnoteReference w:id="56"/>
            </w:r>
            <w:r w:rsidR="00077386" w:rsidRPr="00BE6376">
              <w:t xml:space="preserve"> </w:t>
            </w:r>
            <w:r w:rsidR="00077386">
              <w:lastRenderedPageBreak/>
              <w:t>W</w:t>
            </w:r>
            <w:r w:rsidR="00077386" w:rsidRPr="00BC13DD">
              <w:t xml:space="preserve">here polling stations do not comply with this, </w:t>
            </w:r>
            <w:r w:rsidR="00077386">
              <w:t>the municipal government</w:t>
            </w:r>
            <w:r w:rsidR="00077386" w:rsidRPr="00BC13DD">
              <w:t xml:space="preserve"> must inform the municipal council of the reasons for this</w:t>
            </w:r>
            <w:r w:rsidR="00077386">
              <w:t xml:space="preserve">. </w:t>
            </w:r>
          </w:p>
          <w:p w14:paraId="783992BF" w14:textId="35F61A97" w:rsidR="00756CC9" w:rsidRDefault="00077386" w:rsidP="00A94DDC">
            <w:pPr>
              <w:pStyle w:val="FRABodyText"/>
            </w:pPr>
            <w:bookmarkStart w:id="3" w:name="_Hlk153468400"/>
            <w:r>
              <w:t xml:space="preserve">The official </w:t>
            </w:r>
            <w:r w:rsidR="00BC1A73">
              <w:t>evaluation r</w:t>
            </w:r>
            <w:r>
              <w:t xml:space="preserve">eport of the </w:t>
            </w:r>
            <w:r w:rsidR="00B064B9">
              <w:t xml:space="preserve">15 march 2023 </w:t>
            </w:r>
            <w:r w:rsidR="00C71676">
              <w:t>P</w:t>
            </w:r>
            <w:r w:rsidR="00B064B9">
              <w:t>rovincial</w:t>
            </w:r>
            <w:r w:rsidR="00C71676">
              <w:t xml:space="preserve"> Council </w:t>
            </w:r>
            <w:r w:rsidR="00B064B9">
              <w:t xml:space="preserve"> and </w:t>
            </w:r>
            <w:r w:rsidR="00C71676" w:rsidRPr="001737B3">
              <w:t>W</w:t>
            </w:r>
            <w:r w:rsidR="00B064B9" w:rsidRPr="001737B3">
              <w:t xml:space="preserve">ater </w:t>
            </w:r>
            <w:r w:rsidR="00C71676" w:rsidRPr="001737B3">
              <w:t>B</w:t>
            </w:r>
            <w:r w:rsidR="00B064B9" w:rsidRPr="001737B3">
              <w:t>oard elections</w:t>
            </w:r>
            <w:r w:rsidR="00415348">
              <w:t xml:space="preserve"> </w:t>
            </w:r>
            <w:r>
              <w:t>indicate</w:t>
            </w:r>
            <w:r w:rsidR="0088567B">
              <w:t>s</w:t>
            </w:r>
            <w:r>
              <w:t xml:space="preserve"> that 19% </w:t>
            </w:r>
            <w:r w:rsidRPr="00077386">
              <w:t>of the</w:t>
            </w:r>
            <w:r w:rsidR="00415348">
              <w:t xml:space="preserve"> 268</w:t>
            </w:r>
            <w:r w:rsidRPr="00077386">
              <w:t xml:space="preserve"> municipalities</w:t>
            </w:r>
            <w:r w:rsidR="00437F0D">
              <w:t xml:space="preserve"> in the evaluation</w:t>
            </w:r>
            <w:r w:rsidR="007811E4">
              <w:t xml:space="preserve"> (</w:t>
            </w:r>
            <w:r w:rsidR="00415348">
              <w:t xml:space="preserve">there are </w:t>
            </w:r>
            <w:r w:rsidR="007811E4">
              <w:t>343 municipalities in the Netherlands)</w:t>
            </w:r>
            <w:r w:rsidRPr="00077386">
              <w:t xml:space="preserve"> ma</w:t>
            </w:r>
            <w:bookmarkEnd w:id="3"/>
            <w:r w:rsidRPr="00077386">
              <w:t>de a report about non-</w:t>
            </w:r>
            <w:r w:rsidR="007811E4" w:rsidRPr="00077386">
              <w:t>accessible</w:t>
            </w:r>
            <w:r w:rsidRPr="00077386">
              <w:t xml:space="preserve"> polling stations.</w:t>
            </w:r>
            <w:r w:rsidR="007811E4">
              <w:rPr>
                <w:rStyle w:val="FootnoteReference"/>
              </w:rPr>
              <w:footnoteReference w:id="57"/>
            </w:r>
            <w:r w:rsidRPr="00077386">
              <w:t xml:space="preserve"> The municipalities that made a report</w:t>
            </w:r>
            <w:r w:rsidR="00415348">
              <w:t xml:space="preserve"> </w:t>
            </w:r>
            <w:r w:rsidRPr="00077386">
              <w:t>did so on average about 4.1 non-accessible polling stations.</w:t>
            </w:r>
            <w:r>
              <w:t xml:space="preserve"> </w:t>
            </w:r>
          </w:p>
          <w:p w14:paraId="1A7699FB" w14:textId="504E1E5C" w:rsidR="00600213" w:rsidRDefault="00514A3C" w:rsidP="00A94DDC">
            <w:pPr>
              <w:pStyle w:val="FRABodyText"/>
            </w:pPr>
            <w:r>
              <w:t>A sample of 120 polling stations during the</w:t>
            </w:r>
            <w:r w:rsidR="00437F0D">
              <w:t xml:space="preserve"> </w:t>
            </w:r>
            <w:r>
              <w:t xml:space="preserve">15 March 2023 </w:t>
            </w:r>
            <w:r w:rsidR="00437F0D">
              <w:t>e</w:t>
            </w:r>
            <w:r w:rsidR="00437F0D" w:rsidRPr="00756CC9">
              <w:t>lections</w:t>
            </w:r>
            <w:r>
              <w:t xml:space="preserve"> for</w:t>
            </w:r>
            <w:r w:rsidR="00437F0D" w:rsidRPr="00756CC9">
              <w:t xml:space="preserve"> the Provincial Council</w:t>
            </w:r>
            <w:r w:rsidR="00010053">
              <w:t>s</w:t>
            </w:r>
            <w:r w:rsidR="00437F0D" w:rsidRPr="00756CC9">
              <w:t xml:space="preserve"> and Water Boards</w:t>
            </w:r>
            <w:r w:rsidR="00437F0D">
              <w:t xml:space="preserve"> w</w:t>
            </w:r>
            <w:r>
              <w:t xml:space="preserve">as assessed by a </w:t>
            </w:r>
            <w:r w:rsidR="00437F0D">
              <w:t>specialised</w:t>
            </w:r>
            <w:r>
              <w:t xml:space="preserve"> agency on commission of the national government.</w:t>
            </w:r>
            <w:r w:rsidR="00185298">
              <w:rPr>
                <w:rStyle w:val="FootnoteReference"/>
              </w:rPr>
              <w:footnoteReference w:id="58"/>
            </w:r>
            <w:r>
              <w:t xml:space="preserve"> All 120 polling stations </w:t>
            </w:r>
            <w:r w:rsidR="00185298">
              <w:t xml:space="preserve">in this sample </w:t>
            </w:r>
            <w:r>
              <w:t xml:space="preserve">were designated by the responsible municipality as being accessible. </w:t>
            </w:r>
            <w:r w:rsidR="00600213">
              <w:t>This assessment show that 79% of the</w:t>
            </w:r>
            <w:r w:rsidR="00431A16">
              <w:t>se ‘accessible’</w:t>
            </w:r>
            <w:r w:rsidR="00600213">
              <w:t xml:space="preserve"> polling stations</w:t>
            </w:r>
            <w:r w:rsidR="00185298">
              <w:t xml:space="preserve"> in the sample</w:t>
            </w:r>
            <w:r w:rsidR="00600213">
              <w:t xml:space="preserve"> </w:t>
            </w:r>
            <w:r w:rsidR="00431A16">
              <w:t xml:space="preserve">did </w:t>
            </w:r>
            <w:r w:rsidR="00600213">
              <w:t xml:space="preserve">not meet all accessibility criteria. </w:t>
            </w:r>
          </w:p>
          <w:p w14:paraId="29B3C007" w14:textId="77777777" w:rsidR="00431A16" w:rsidRDefault="00431A16" w:rsidP="00A94DDC">
            <w:pPr>
              <w:pStyle w:val="FRABodyText"/>
            </w:pPr>
          </w:p>
          <w:p w14:paraId="2F089532" w14:textId="7C31CC18" w:rsidR="007811E4" w:rsidRPr="00D91219" w:rsidRDefault="00757FD9" w:rsidP="00A94DDC">
            <w:pPr>
              <w:pStyle w:val="FRABodyText"/>
            </w:pPr>
            <w:r>
              <w:t xml:space="preserve">The official evaluation report of these elections contained also the results of a survey held among </w:t>
            </w:r>
            <w:r w:rsidR="00B064B9">
              <w:t>voters</w:t>
            </w:r>
            <w:r w:rsidR="00010053">
              <w:t xml:space="preserve"> (with and without a disability)</w:t>
            </w:r>
            <w:r w:rsidR="005F4897">
              <w:t>. These results show</w:t>
            </w:r>
            <w:r>
              <w:t xml:space="preserve"> that 3% of voters experienced problems with the</w:t>
            </w:r>
            <w:r w:rsidR="005F4897">
              <w:t xml:space="preserve"> </w:t>
            </w:r>
            <w:r>
              <w:t xml:space="preserve">accessibility of the polling place (2% </w:t>
            </w:r>
            <w:r>
              <w:lastRenderedPageBreak/>
              <w:t>experienced minor problems and 1% experienced major problems).</w:t>
            </w:r>
            <w:r w:rsidR="005F4897">
              <w:t xml:space="preserve"> </w:t>
            </w:r>
            <w:r>
              <w:t>The most frequently mentioned problems were related to the ambiguity of the walking route, the width</w:t>
            </w:r>
            <w:r w:rsidR="005F4897">
              <w:t xml:space="preserve"> </w:t>
            </w:r>
            <w:r>
              <w:t xml:space="preserve">of the walking route and lack of clarity about where the entrance to the polling </w:t>
            </w:r>
            <w:r w:rsidR="005F4897">
              <w:t>stations</w:t>
            </w:r>
            <w:r w:rsidR="00431A16">
              <w:t xml:space="preserve"> was</w:t>
            </w:r>
            <w:r w:rsidRPr="00077386">
              <w:t>.</w:t>
            </w:r>
            <w:r>
              <w:rPr>
                <w:rStyle w:val="FootnoteReference"/>
              </w:rPr>
              <w:footnoteReference w:id="59"/>
            </w:r>
            <w:r w:rsidRPr="00077386">
              <w:t xml:space="preserve"> </w:t>
            </w:r>
          </w:p>
        </w:tc>
      </w:tr>
      <w:tr w:rsidR="00834657" w:rsidRPr="00D91219" w14:paraId="67249585" w14:textId="77777777" w:rsidTr="00902ECC">
        <w:tc>
          <w:tcPr>
            <w:tcW w:w="255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CED214" w14:textId="03835E73" w:rsidR="00834657" w:rsidRPr="0021208A" w:rsidRDefault="00834657" w:rsidP="00A94DDC">
            <w:pPr>
              <w:pStyle w:val="FRABodyText"/>
            </w:pPr>
            <w:r w:rsidRPr="0021208A">
              <w:lastRenderedPageBreak/>
              <w:t>Is data available on the proportion of public buildings that are accessible for persons with disabilities?</w:t>
            </w:r>
          </w:p>
        </w:tc>
        <w:tc>
          <w:tcPr>
            <w:tcW w:w="34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07E0895" w14:textId="77777777" w:rsidR="00834657" w:rsidRPr="00EA19AA" w:rsidRDefault="00834657" w:rsidP="00A94DDC">
            <w:pPr>
              <w:pStyle w:val="FRABodyText"/>
              <w:rPr>
                <w:bCs/>
              </w:rPr>
            </w:pPr>
            <w:r w:rsidRPr="00EA19AA">
              <w:t>No data identified</w:t>
            </w:r>
          </w:p>
        </w:tc>
        <w:tc>
          <w:tcPr>
            <w:tcW w:w="822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03FBEFD" w14:textId="7815D798" w:rsidR="00C92A47" w:rsidRPr="00EA19AA" w:rsidRDefault="00C92A47" w:rsidP="00A94DDC">
            <w:pPr>
              <w:pStyle w:val="FRABodyText"/>
            </w:pPr>
            <w:r w:rsidRPr="00EA19AA">
              <w:t xml:space="preserve">No data available. </w:t>
            </w:r>
          </w:p>
          <w:p w14:paraId="35694441" w14:textId="77777777" w:rsidR="00C92A47" w:rsidRPr="00EA19AA" w:rsidRDefault="00C92A47" w:rsidP="00A94DDC">
            <w:pPr>
              <w:pStyle w:val="FRABodyText"/>
            </w:pPr>
          </w:p>
          <w:p w14:paraId="2F5BB737" w14:textId="1D6FB12D" w:rsidR="00C92A47" w:rsidRPr="00EA19AA" w:rsidRDefault="00C92A47" w:rsidP="00A94DDC">
            <w:pPr>
              <w:pStyle w:val="FRABodyText"/>
            </w:pPr>
            <w:r w:rsidRPr="00EA19AA">
              <w:t>On its website, the</w:t>
            </w:r>
            <w:r w:rsidR="008E0DAD" w:rsidRPr="00EA19AA">
              <w:t xml:space="preserve"> Netherlands Patients Federation </w:t>
            </w:r>
            <w:r w:rsidRPr="00EA19AA">
              <w:t>states, that not all buildings are yet properly accessible, despite current legislation.</w:t>
            </w:r>
            <w:r w:rsidRPr="00EA19AA">
              <w:rPr>
                <w:rStyle w:val="FootnoteReference"/>
              </w:rPr>
              <w:t xml:space="preserve"> </w:t>
            </w:r>
            <w:r w:rsidRPr="00EA19AA">
              <w:rPr>
                <w:rStyle w:val="FootnoteReference"/>
              </w:rPr>
              <w:footnoteReference w:id="60"/>
            </w:r>
            <w:r w:rsidRPr="00EA19AA">
              <w:t xml:space="preserve"> All persons with a disability should check the website of the venue </w:t>
            </w:r>
            <w:r w:rsidR="00431A16">
              <w:t>they</w:t>
            </w:r>
            <w:r w:rsidR="00431A16" w:rsidRPr="00EA19AA">
              <w:t xml:space="preserve"> </w:t>
            </w:r>
            <w:r w:rsidRPr="00EA19AA">
              <w:t xml:space="preserve">are going to </w:t>
            </w:r>
            <w:r w:rsidR="00431A16">
              <w:t xml:space="preserve">beforehand for information </w:t>
            </w:r>
            <w:r w:rsidRPr="00EA19AA">
              <w:t>on facilities and accessibility.</w:t>
            </w:r>
          </w:p>
          <w:p w14:paraId="7D32E3F0" w14:textId="77777777" w:rsidR="00C92A47" w:rsidRPr="00EA19AA" w:rsidRDefault="00C92A47" w:rsidP="00A94DDC">
            <w:pPr>
              <w:pStyle w:val="FRABodyText"/>
            </w:pPr>
          </w:p>
          <w:p w14:paraId="7B34CE6B" w14:textId="77777777" w:rsidR="00C92A47" w:rsidRPr="00EA19AA" w:rsidRDefault="00C92A47" w:rsidP="00A94DDC">
            <w:pPr>
              <w:pStyle w:val="FRABodyText"/>
            </w:pPr>
          </w:p>
          <w:p w14:paraId="0E1C1A2B" w14:textId="1E3EE47D" w:rsidR="00834657" w:rsidRPr="00EA19AA" w:rsidRDefault="00834657" w:rsidP="00A94DDC">
            <w:pPr>
              <w:pStyle w:val="FRABodyText"/>
            </w:pPr>
          </w:p>
        </w:tc>
      </w:tr>
    </w:tbl>
    <w:p w14:paraId="372A1A60" w14:textId="49233046" w:rsidR="00F64505" w:rsidRDefault="00F64505" w:rsidP="00F64505">
      <w:pPr>
        <w:tabs>
          <w:tab w:val="left" w:pos="4584"/>
        </w:tabs>
        <w:rPr>
          <w:b/>
          <w:color w:val="006FB4"/>
          <w:kern w:val="24"/>
          <w:sz w:val="52"/>
        </w:rPr>
      </w:pPr>
    </w:p>
    <w:p w14:paraId="17C860E5" w14:textId="0D36F70A" w:rsidR="00F64505" w:rsidRPr="00F64505" w:rsidRDefault="00F64505" w:rsidP="00F64505">
      <w:pPr>
        <w:tabs>
          <w:tab w:val="left" w:pos="4584"/>
        </w:tabs>
        <w:sectPr w:rsidR="00F64505" w:rsidRPr="00F64505" w:rsidSect="00F3472C">
          <w:pgSz w:w="16838" w:h="11906" w:orient="landscape" w:code="9"/>
          <w:pgMar w:top="1701" w:right="1701" w:bottom="1701" w:left="1134" w:header="851" w:footer="567" w:gutter="0"/>
          <w:cols w:space="708"/>
          <w:docGrid w:linePitch="360"/>
        </w:sectPr>
      </w:pPr>
      <w:r>
        <w:lastRenderedPageBreak/>
        <w:tab/>
      </w:r>
    </w:p>
    <w:p w14:paraId="2C3CD295" w14:textId="70413A82" w:rsidR="00713152" w:rsidRPr="00713152" w:rsidRDefault="00713152" w:rsidP="00713152">
      <w:pPr>
        <w:pStyle w:val="HeadingNumbered1"/>
      </w:pPr>
      <w:bookmarkStart w:id="4" w:name="_Toc1607741523"/>
      <w:r>
        <w:lastRenderedPageBreak/>
        <w:t xml:space="preserve">Political participation of persons with disabilities </w:t>
      </w:r>
      <w:r w:rsidR="00A652A4">
        <w:t>in practice</w:t>
      </w:r>
      <w:bookmarkEnd w:id="4"/>
    </w:p>
    <w:p w14:paraId="629878B7" w14:textId="248A0E7B" w:rsidR="007361B4" w:rsidRDefault="007361B4" w:rsidP="0074155B">
      <w:pPr>
        <w:pStyle w:val="HeadingNumbered2"/>
      </w:pPr>
      <w:bookmarkStart w:id="5" w:name="_Toc1363565999"/>
      <w:r w:rsidRPr="007361B4">
        <w:t>Positive and negative key development as regards political participation of persons with disabilities</w:t>
      </w:r>
      <w:bookmarkEnd w:id="5"/>
    </w:p>
    <w:p w14:paraId="328EFB38" w14:textId="3BA2AD30" w:rsidR="00AB2D31" w:rsidRPr="00071927" w:rsidRDefault="00AB2D31" w:rsidP="00A94DDC">
      <w:pPr>
        <w:pStyle w:val="FRABodyText"/>
      </w:pPr>
      <w:r w:rsidRPr="00071927">
        <w:t>Positive key development</w:t>
      </w:r>
    </w:p>
    <w:p w14:paraId="1E46E49F" w14:textId="77777777" w:rsidR="00AB2D31" w:rsidRDefault="00AB2D31" w:rsidP="00A94DDC">
      <w:pPr>
        <w:pStyle w:val="FRABodyText"/>
      </w:pPr>
    </w:p>
    <w:p w14:paraId="1A85699B" w14:textId="32486491" w:rsidR="005A72B7" w:rsidRPr="00D26B98" w:rsidRDefault="005A72B7" w:rsidP="00A94DDC">
      <w:pPr>
        <w:pStyle w:val="FRABodyText"/>
      </w:pPr>
      <w:r w:rsidRPr="00D26B98">
        <w:t xml:space="preserve">A positive development during the reporting period is the effort made by the national government to make the elections more accessible. </w:t>
      </w:r>
    </w:p>
    <w:p w14:paraId="0B3128E4" w14:textId="77A73C98" w:rsidR="005A72B7" w:rsidRPr="00D26B98" w:rsidRDefault="005A72B7" w:rsidP="00A94DDC">
      <w:pPr>
        <w:pStyle w:val="FRABodyText"/>
      </w:pPr>
      <w:r w:rsidRPr="00D26B98">
        <w:t xml:space="preserve">In 2021, the Ministry of Interior and Kingdom Relations launched an action programme to make all polling stations during the </w:t>
      </w:r>
      <w:r w:rsidR="00EF0837">
        <w:t>M</w:t>
      </w:r>
      <w:r w:rsidRPr="00D26B98">
        <w:t xml:space="preserve">unicipal </w:t>
      </w:r>
      <w:r w:rsidR="00EF0837">
        <w:t>C</w:t>
      </w:r>
      <w:r w:rsidRPr="00D26B98">
        <w:t>ouncil elections of 16 March 2022 (and other future elections) more accessible.</w:t>
      </w:r>
      <w:r w:rsidRPr="00D26B98">
        <w:rPr>
          <w:rStyle w:val="FootnoteReference"/>
        </w:rPr>
        <w:footnoteReference w:id="61"/>
      </w:r>
      <w:r w:rsidRPr="00D26B98">
        <w:t xml:space="preserve"> The plan ran until the end of 2022. The plan consisted of 11 action</w:t>
      </w:r>
      <w:r w:rsidR="0016276C">
        <w:t>s</w:t>
      </w:r>
      <w:r w:rsidRPr="00D26B98">
        <w:t>. The evaluation shows that most of the action</w:t>
      </w:r>
      <w:r w:rsidR="0016276C">
        <w:t xml:space="preserve">s </w:t>
      </w:r>
      <w:r w:rsidRPr="00D26B98">
        <w:t>have been realized.</w:t>
      </w:r>
      <w:r w:rsidRPr="00D26B98">
        <w:rPr>
          <w:rStyle w:val="FootnoteReference"/>
        </w:rPr>
        <w:footnoteReference w:id="62"/>
      </w:r>
      <w:r w:rsidRPr="00D26B98">
        <w:t xml:space="preserve"> </w:t>
      </w:r>
      <w:r w:rsidR="00C34BE6" w:rsidRPr="00D26B98">
        <w:t>Onl</w:t>
      </w:r>
      <w:r w:rsidRPr="00D26B98">
        <w:t>y action 2 was not realised.</w:t>
      </w:r>
    </w:p>
    <w:p w14:paraId="77FA748A" w14:textId="3300FCCE" w:rsidR="005A72B7" w:rsidRPr="00D26B98" w:rsidRDefault="005A72B7" w:rsidP="00A94DDC">
      <w:pPr>
        <w:pStyle w:val="FRABodyText"/>
      </w:pPr>
      <w:r w:rsidRPr="00D26B98">
        <w:t xml:space="preserve">Action item 1 </w:t>
      </w:r>
      <w:r w:rsidR="0036718D">
        <w:t>was</w:t>
      </w:r>
      <w:r w:rsidRPr="00D26B98">
        <w:t xml:space="preserve"> the creation of a checklist with which municipalities can check the accessibility of their polling stations.</w:t>
      </w:r>
    </w:p>
    <w:p w14:paraId="5E55B76F" w14:textId="65CC8EC6" w:rsidR="005A72B7" w:rsidRPr="00D26B98" w:rsidRDefault="005A72B7" w:rsidP="00A94DDC">
      <w:pPr>
        <w:pStyle w:val="FRABodyText"/>
      </w:pPr>
      <w:r w:rsidRPr="00D26B98">
        <w:t xml:space="preserve">Action item 2 </w:t>
      </w:r>
      <w:r w:rsidR="0036718D">
        <w:t>was</w:t>
      </w:r>
      <w:r w:rsidRPr="00D26B98">
        <w:t xml:space="preserve"> to organize a simulation of an election day with people with a disability</w:t>
      </w:r>
      <w:r w:rsidR="00010053">
        <w:t xml:space="preserve">. </w:t>
      </w:r>
      <w:r w:rsidRPr="00D26B98">
        <w:t>This did not go ahead due to covid</w:t>
      </w:r>
      <w:r w:rsidR="00071927">
        <w:t xml:space="preserve"> restrictions</w:t>
      </w:r>
      <w:r w:rsidRPr="00D26B98">
        <w:t>. Instead, a webinar was organi</w:t>
      </w:r>
      <w:r w:rsidR="0088567B">
        <w:t>s</w:t>
      </w:r>
      <w:r w:rsidRPr="00D26B98">
        <w:t>ed.</w:t>
      </w:r>
    </w:p>
    <w:p w14:paraId="196B0D58" w14:textId="20D7DC1E" w:rsidR="005A72B7" w:rsidRPr="00D26B98" w:rsidRDefault="005A72B7" w:rsidP="00A94DDC">
      <w:pPr>
        <w:pStyle w:val="FRABodyText"/>
      </w:pPr>
      <w:r w:rsidRPr="00D26B98">
        <w:t xml:space="preserve">Action item 3 </w:t>
      </w:r>
      <w:r w:rsidR="0036718D">
        <w:t>was</w:t>
      </w:r>
      <w:r w:rsidRPr="00D26B98">
        <w:t xml:space="preserve"> to give municipalities the opportunity to share knowledge and pr</w:t>
      </w:r>
      <w:r w:rsidR="00226D94" w:rsidRPr="00D26B98">
        <w:t>omising practices</w:t>
      </w:r>
      <w:r w:rsidRPr="00D26B98">
        <w:t xml:space="preserve"> on making the election process more accessible. This was done through an update of the ‘</w:t>
      </w:r>
      <w:r w:rsidR="0036718D">
        <w:t>A</w:t>
      </w:r>
      <w:r w:rsidRPr="00D26B98">
        <w:t>ccessible voting</w:t>
      </w:r>
      <w:r w:rsidR="0036718D">
        <w:t xml:space="preserve"> manual</w:t>
      </w:r>
      <w:r w:rsidRPr="00D26B98">
        <w:t>’ published by the Association of Netherlands Municipalities (</w:t>
      </w:r>
      <w:r w:rsidRPr="00D26B98">
        <w:rPr>
          <w:i/>
          <w:iCs/>
        </w:rPr>
        <w:t>Ver</w:t>
      </w:r>
      <w:r w:rsidR="00367DDC" w:rsidRPr="00D26B98">
        <w:rPr>
          <w:i/>
          <w:iCs/>
        </w:rPr>
        <w:t>e</w:t>
      </w:r>
      <w:r w:rsidRPr="00D26B98">
        <w:rPr>
          <w:i/>
          <w:iCs/>
        </w:rPr>
        <w:t xml:space="preserve">niging van </w:t>
      </w:r>
      <w:proofErr w:type="spellStart"/>
      <w:r w:rsidRPr="00D26B98">
        <w:rPr>
          <w:i/>
          <w:iCs/>
        </w:rPr>
        <w:t>Nederlandse</w:t>
      </w:r>
      <w:proofErr w:type="spellEnd"/>
      <w:r w:rsidRPr="00D26B98">
        <w:rPr>
          <w:i/>
          <w:iCs/>
        </w:rPr>
        <w:t xml:space="preserve"> </w:t>
      </w:r>
      <w:proofErr w:type="spellStart"/>
      <w:r w:rsidRPr="00D26B98">
        <w:rPr>
          <w:i/>
          <w:iCs/>
        </w:rPr>
        <w:t>Gemeenten</w:t>
      </w:r>
      <w:proofErr w:type="spellEnd"/>
      <w:r w:rsidRPr="00D26B98">
        <w:t>).</w:t>
      </w:r>
      <w:r w:rsidRPr="00D26B98">
        <w:rPr>
          <w:rStyle w:val="FootnoteReference"/>
        </w:rPr>
        <w:footnoteReference w:id="63"/>
      </w:r>
      <w:r w:rsidRPr="00D26B98">
        <w:t xml:space="preserve"> </w:t>
      </w:r>
    </w:p>
    <w:p w14:paraId="3AEBB1A6" w14:textId="11DE0DC0" w:rsidR="005A72B7" w:rsidRPr="00D26B98" w:rsidRDefault="005A72B7" w:rsidP="00A94DDC">
      <w:pPr>
        <w:pStyle w:val="FRABodyText"/>
      </w:pPr>
      <w:r w:rsidRPr="00D26B98">
        <w:lastRenderedPageBreak/>
        <w:t xml:space="preserve">Action item 4 </w:t>
      </w:r>
      <w:r w:rsidR="0036718D">
        <w:t>was</w:t>
      </w:r>
      <w:r w:rsidRPr="00D26B98">
        <w:t xml:space="preserve"> </w:t>
      </w:r>
      <w:r w:rsidR="0036718D">
        <w:t>to enable voters</w:t>
      </w:r>
      <w:r w:rsidRPr="00D26B98">
        <w:t xml:space="preserve"> to find information about the elections and the election results at a central location on the Internet. This has been achieved by putting that information on </w:t>
      </w:r>
      <w:r w:rsidR="0036718D">
        <w:t>the website</w:t>
      </w:r>
      <w:r w:rsidRPr="00D26B98">
        <w:t xml:space="preserve"> of the Electoral Council</w:t>
      </w:r>
      <w:r w:rsidRPr="00D26B98">
        <w:rPr>
          <w:rStyle w:val="FootnoteReference"/>
        </w:rPr>
        <w:footnoteReference w:id="64"/>
      </w:r>
      <w:r w:rsidRPr="00D26B98">
        <w:t xml:space="preserve"> and </w:t>
      </w:r>
      <w:r w:rsidR="0036718D">
        <w:t>on a</w:t>
      </w:r>
      <w:r w:rsidRPr="00D26B98">
        <w:t xml:space="preserve"> part of the national government's site </w:t>
      </w:r>
      <w:r w:rsidRPr="00D26B98">
        <w:rPr>
          <w:rStyle w:val="FootnoteReference"/>
        </w:rPr>
        <w:footnoteReference w:id="65"/>
      </w:r>
      <w:r w:rsidRPr="00D26B98">
        <w:t xml:space="preserve"> that contains the election results.</w:t>
      </w:r>
    </w:p>
    <w:p w14:paraId="7F0B0E7C" w14:textId="097B5E51" w:rsidR="005A72B7" w:rsidRPr="00D26B98" w:rsidRDefault="005A72B7" w:rsidP="00A94DDC">
      <w:pPr>
        <w:pStyle w:val="FRABodyText"/>
      </w:pPr>
      <w:r w:rsidRPr="00D26B98">
        <w:t xml:space="preserve">Action </w:t>
      </w:r>
      <w:r w:rsidR="0036718D">
        <w:t>item</w:t>
      </w:r>
      <w:r w:rsidRPr="00D26B98">
        <w:t xml:space="preserve"> 5 </w:t>
      </w:r>
      <w:r w:rsidR="0036718D">
        <w:t>was</w:t>
      </w:r>
      <w:r w:rsidRPr="00D26B98">
        <w:t xml:space="preserve"> the realisation of the platform www.waarismijnstemlokaal.nl that helps voters find a polling stations near them and provides information on the accessibility of polling station.</w:t>
      </w:r>
      <w:r w:rsidRPr="00D26B98">
        <w:rPr>
          <w:rStyle w:val="FootnoteReference"/>
        </w:rPr>
        <w:t xml:space="preserve"> </w:t>
      </w:r>
      <w:r w:rsidRPr="00D26B98">
        <w:rPr>
          <w:rStyle w:val="FootnoteReference"/>
        </w:rPr>
        <w:footnoteReference w:id="66"/>
      </w:r>
    </w:p>
    <w:p w14:paraId="66379B70" w14:textId="2C88B4B3" w:rsidR="005A72B7" w:rsidRPr="00D26B98" w:rsidRDefault="005A72B7" w:rsidP="00A94DDC">
      <w:pPr>
        <w:pStyle w:val="FRABodyText"/>
      </w:pPr>
      <w:r w:rsidRPr="00D26B98">
        <w:t xml:space="preserve">Action item 6 </w:t>
      </w:r>
      <w:r w:rsidR="0036718D">
        <w:t>was</w:t>
      </w:r>
      <w:r w:rsidRPr="00D26B98">
        <w:t xml:space="preserve"> </w:t>
      </w:r>
      <w:r w:rsidR="0036718D">
        <w:t>to enable</w:t>
      </w:r>
      <w:r w:rsidRPr="00D26B98">
        <w:t xml:space="preserve"> voters </w:t>
      </w:r>
      <w:r w:rsidR="0036718D">
        <w:t>to</w:t>
      </w:r>
      <w:r w:rsidRPr="00D26B98">
        <w:t xml:space="preserve"> request a replacement voting card or written proxy </w:t>
      </w:r>
      <w:r w:rsidR="0036718D" w:rsidRPr="00D26B98">
        <w:t xml:space="preserve">from their municipality </w:t>
      </w:r>
      <w:r w:rsidRPr="00D26B98">
        <w:t xml:space="preserve">online. </w:t>
      </w:r>
    </w:p>
    <w:p w14:paraId="7E530335" w14:textId="10A8E0FC" w:rsidR="005A72B7" w:rsidRPr="00D26B98" w:rsidRDefault="005A72B7" w:rsidP="00A94DDC">
      <w:pPr>
        <w:pStyle w:val="FRABodyText"/>
      </w:pPr>
      <w:r w:rsidRPr="00D26B98">
        <w:t xml:space="preserve">Action item 7 </w:t>
      </w:r>
      <w:r w:rsidR="0036718D">
        <w:t>was</w:t>
      </w:r>
      <w:r w:rsidRPr="00D26B98">
        <w:t xml:space="preserve"> to develop sample letters for municipalities in easy-to-understand language with information about elections. In addition to sample letters and infographics, images, banners, advertorials, videos, frequently asked questions and answers and ready-to-use texts for social media </w:t>
      </w:r>
      <w:r w:rsidR="0036718D">
        <w:t>were also</w:t>
      </w:r>
      <w:r w:rsidRPr="00D26B98">
        <w:t xml:space="preserve"> made available</w:t>
      </w:r>
      <w:r w:rsidR="0036718D">
        <w:t>.</w:t>
      </w:r>
    </w:p>
    <w:p w14:paraId="51AEFB31" w14:textId="2F7FB17A" w:rsidR="005A72B7" w:rsidRPr="00D26B98" w:rsidRDefault="005A72B7" w:rsidP="00A94DDC">
      <w:pPr>
        <w:pStyle w:val="FRABodyText"/>
      </w:pPr>
      <w:r w:rsidRPr="00D26B98">
        <w:t xml:space="preserve">Action point 8 </w:t>
      </w:r>
      <w:r w:rsidR="0036718D">
        <w:t>was</w:t>
      </w:r>
      <w:r w:rsidRPr="00D26B98">
        <w:t xml:space="preserve"> to work with DPOs to reach as many voters and to ensure that the information from action point 7 </w:t>
      </w:r>
      <w:r w:rsidR="0036718D">
        <w:t>was</w:t>
      </w:r>
      <w:r w:rsidRPr="00D26B98">
        <w:t xml:space="preserve"> made available in an accessible way.</w:t>
      </w:r>
    </w:p>
    <w:p w14:paraId="40E77937" w14:textId="7B7D2E9E" w:rsidR="005A72B7" w:rsidRPr="00D26B98" w:rsidRDefault="005A72B7" w:rsidP="00A94DDC">
      <w:pPr>
        <w:pStyle w:val="FRABodyText"/>
      </w:pPr>
      <w:r w:rsidRPr="00D26B98">
        <w:t xml:space="preserve">Action item 10 </w:t>
      </w:r>
      <w:r w:rsidR="0036718D">
        <w:t>was</w:t>
      </w:r>
      <w:r w:rsidRPr="00D26B98">
        <w:t xml:space="preserve"> to make a short action list on accessibility for polling station workers</w:t>
      </w:r>
      <w:r w:rsidR="0036718D" w:rsidRPr="0036718D">
        <w:t xml:space="preserve"> </w:t>
      </w:r>
      <w:r w:rsidR="0036718D" w:rsidRPr="00D26B98">
        <w:t>available</w:t>
      </w:r>
      <w:r w:rsidRPr="00D26B98">
        <w:t>.</w:t>
      </w:r>
      <w:r w:rsidRPr="00D26B98">
        <w:rPr>
          <w:rStyle w:val="FootnoteReference"/>
        </w:rPr>
        <w:footnoteReference w:id="67"/>
      </w:r>
      <w:r w:rsidRPr="00D26B98">
        <w:t xml:space="preserve"> This list contains concise information on what to do to ensure that their polling station is accessible. </w:t>
      </w:r>
    </w:p>
    <w:p w14:paraId="0B221AD6" w14:textId="025B3E5F" w:rsidR="005A72B7" w:rsidRDefault="005A72B7" w:rsidP="00A94DDC">
      <w:pPr>
        <w:pStyle w:val="FRABodyText"/>
      </w:pPr>
      <w:r w:rsidRPr="00D26B98">
        <w:t xml:space="preserve">Action item 11 </w:t>
      </w:r>
      <w:r w:rsidR="0036718D">
        <w:t>was</w:t>
      </w:r>
      <w:r w:rsidRPr="00D26B98">
        <w:t xml:space="preserve"> </w:t>
      </w:r>
      <w:r w:rsidR="00415348">
        <w:t xml:space="preserve">a </w:t>
      </w:r>
      <w:r w:rsidRPr="00D26B98">
        <w:t>c</w:t>
      </w:r>
      <w:r w:rsidR="00415348">
        <w:t>a</w:t>
      </w:r>
      <w:r w:rsidRPr="00D26B98">
        <w:t xml:space="preserve">ll on </w:t>
      </w:r>
      <w:r w:rsidR="00415348">
        <w:t xml:space="preserve">the </w:t>
      </w:r>
      <w:r w:rsidRPr="00D26B98">
        <w:t xml:space="preserve">political parties </w:t>
      </w:r>
      <w:r w:rsidR="00415348">
        <w:t xml:space="preserve">that participated in the elections </w:t>
      </w:r>
      <w:r w:rsidRPr="00D26B98">
        <w:t>to communicate in an</w:t>
      </w:r>
      <w:r w:rsidR="00415348">
        <w:t xml:space="preserve"> </w:t>
      </w:r>
      <w:r w:rsidRPr="00D26B98">
        <w:t xml:space="preserve"> accessible way. To this end, a guide with clear tips for creating accessible election information </w:t>
      </w:r>
      <w:r w:rsidR="0036718D">
        <w:t>was</w:t>
      </w:r>
      <w:r w:rsidRPr="00D26B98">
        <w:t xml:space="preserve"> commissioned by the national government.</w:t>
      </w:r>
      <w:r w:rsidRPr="00D26B98">
        <w:rPr>
          <w:rStyle w:val="FootnoteReference"/>
        </w:rPr>
        <w:footnoteReference w:id="68"/>
      </w:r>
    </w:p>
    <w:p w14:paraId="0B5358FB" w14:textId="77777777" w:rsidR="004875CB" w:rsidRDefault="004875CB" w:rsidP="00A94DDC">
      <w:pPr>
        <w:pStyle w:val="FRABodyText"/>
      </w:pPr>
    </w:p>
    <w:p w14:paraId="4FE98E78" w14:textId="0D47DCD2" w:rsidR="00AB2D31" w:rsidRPr="00AB2D31" w:rsidRDefault="00AB2D31" w:rsidP="0074155B">
      <w:pPr>
        <w:rPr>
          <w:b/>
          <w:bCs/>
        </w:rPr>
      </w:pPr>
      <w:r>
        <w:rPr>
          <w:b/>
          <w:bCs/>
        </w:rPr>
        <w:t>Negative key development</w:t>
      </w:r>
    </w:p>
    <w:p w14:paraId="25461163" w14:textId="0BD6B683" w:rsidR="0077464A" w:rsidRDefault="00D05153" w:rsidP="00A94DDC">
      <w:pPr>
        <w:pStyle w:val="FRABodyText"/>
      </w:pPr>
      <w:r w:rsidRPr="00481619">
        <w:t xml:space="preserve">A negative development is that despite all efforts by the </w:t>
      </w:r>
      <w:r w:rsidR="00484361" w:rsidRPr="00481619">
        <w:t xml:space="preserve">national government </w:t>
      </w:r>
      <w:r w:rsidR="0077464A" w:rsidRPr="00481619">
        <w:t xml:space="preserve">to improve the accessibility of the electoral process </w:t>
      </w:r>
      <w:r w:rsidR="00484361" w:rsidRPr="00481619">
        <w:t>accessibility</w:t>
      </w:r>
      <w:r w:rsidRPr="00481619">
        <w:t xml:space="preserve"> issues</w:t>
      </w:r>
      <w:r w:rsidR="00484361" w:rsidRPr="00481619">
        <w:t xml:space="preserve"> during the electoral process</w:t>
      </w:r>
      <w:r w:rsidR="0036718D">
        <w:t xml:space="preserve"> have not been resolved</w:t>
      </w:r>
      <w:r w:rsidR="00484361" w:rsidRPr="00481619">
        <w:t>.</w:t>
      </w:r>
      <w:r w:rsidR="00484361" w:rsidRPr="00D26B98">
        <w:t xml:space="preserve"> </w:t>
      </w:r>
      <w:r w:rsidR="00BF5540">
        <w:t xml:space="preserve">               </w:t>
      </w:r>
    </w:p>
    <w:p w14:paraId="6F14FA53" w14:textId="77777777" w:rsidR="00CC6E05" w:rsidRDefault="00CC6E05" w:rsidP="00A94DDC">
      <w:pPr>
        <w:pStyle w:val="FRABodyText"/>
      </w:pPr>
    </w:p>
    <w:p w14:paraId="3484ED0C" w14:textId="7C337765" w:rsidR="00D05153" w:rsidRDefault="00484361" w:rsidP="00A94DDC">
      <w:pPr>
        <w:pStyle w:val="FRABodyText"/>
      </w:pPr>
      <w:r w:rsidRPr="00D26B98">
        <w:t xml:space="preserve">One </w:t>
      </w:r>
      <w:r w:rsidR="005A4A47" w:rsidRPr="00D26B98">
        <w:t>of these issues is that under</w:t>
      </w:r>
      <w:r w:rsidR="00FF08E8" w:rsidRPr="00D26B98">
        <w:t xml:space="preserve"> the Election Act</w:t>
      </w:r>
      <w:r w:rsidR="005A4A47" w:rsidRPr="00D26B98">
        <w:t>, only voters who are unable to vote independently due to a physical disability can get assistance at the polling booth.</w:t>
      </w:r>
      <w:r w:rsidR="00FF08E8" w:rsidRPr="00D26B98">
        <w:t xml:space="preserve"> Voters with intellectual disabilities or those who are low-literate are not entitled to assistance. To rem</w:t>
      </w:r>
      <w:r w:rsidR="00746EFF" w:rsidRPr="00D26B98">
        <w:t>e</w:t>
      </w:r>
      <w:r w:rsidR="00FF08E8" w:rsidRPr="00D26B98">
        <w:t>dy</w:t>
      </w:r>
      <w:r w:rsidR="00746EFF" w:rsidRPr="00D26B98">
        <w:t xml:space="preserve"> this situation the national government initiated a bill for </w:t>
      </w:r>
      <w:r w:rsidR="00DA5137">
        <w:t xml:space="preserve">a </w:t>
      </w:r>
      <w:r w:rsidR="00E86044">
        <w:t>Temporary Experiments Act</w:t>
      </w:r>
      <w:r w:rsidR="00BF5540">
        <w:t xml:space="preserve"> </w:t>
      </w:r>
      <w:r w:rsidR="00DA5137">
        <w:t xml:space="preserve">on </w:t>
      </w:r>
      <w:r w:rsidR="00E86044">
        <w:t>voting assistance (</w:t>
      </w:r>
      <w:proofErr w:type="spellStart"/>
      <w:r w:rsidR="00E86044" w:rsidRPr="00E86044">
        <w:rPr>
          <w:i/>
          <w:iCs/>
        </w:rPr>
        <w:t>Tijdelijke</w:t>
      </w:r>
      <w:proofErr w:type="spellEnd"/>
      <w:r w:rsidR="00E86044" w:rsidRPr="00E86044">
        <w:rPr>
          <w:i/>
          <w:iCs/>
        </w:rPr>
        <w:t xml:space="preserve"> </w:t>
      </w:r>
      <w:proofErr w:type="spellStart"/>
      <w:r w:rsidR="00E86044" w:rsidRPr="00E86044">
        <w:rPr>
          <w:i/>
          <w:iCs/>
        </w:rPr>
        <w:t>experimentenwet</w:t>
      </w:r>
      <w:proofErr w:type="spellEnd"/>
      <w:r w:rsidR="00E86044" w:rsidRPr="00E86044">
        <w:rPr>
          <w:i/>
          <w:iCs/>
        </w:rPr>
        <w:t xml:space="preserve"> </w:t>
      </w:r>
      <w:proofErr w:type="spellStart"/>
      <w:r w:rsidR="00E86044" w:rsidRPr="00E86044">
        <w:rPr>
          <w:i/>
          <w:iCs/>
        </w:rPr>
        <w:lastRenderedPageBreak/>
        <w:t>assistentie</w:t>
      </w:r>
      <w:proofErr w:type="spellEnd"/>
      <w:r w:rsidR="00E86044" w:rsidRPr="00E86044">
        <w:rPr>
          <w:i/>
          <w:iCs/>
        </w:rPr>
        <w:t xml:space="preserve"> </w:t>
      </w:r>
      <w:proofErr w:type="spellStart"/>
      <w:r w:rsidR="00E86044" w:rsidRPr="00E86044">
        <w:rPr>
          <w:i/>
          <w:iCs/>
        </w:rPr>
        <w:t>bij</w:t>
      </w:r>
      <w:proofErr w:type="spellEnd"/>
      <w:r w:rsidR="00E86044" w:rsidRPr="00E86044">
        <w:rPr>
          <w:i/>
          <w:iCs/>
        </w:rPr>
        <w:t xml:space="preserve"> het </w:t>
      </w:r>
      <w:proofErr w:type="spellStart"/>
      <w:r w:rsidR="00E86044" w:rsidRPr="00E86044">
        <w:rPr>
          <w:i/>
          <w:iCs/>
        </w:rPr>
        <w:t>stemmen</w:t>
      </w:r>
      <w:proofErr w:type="spellEnd"/>
      <w:r w:rsidR="00E86044">
        <w:t xml:space="preserve"> </w:t>
      </w:r>
      <w:r w:rsidR="00746EFF" w:rsidRPr="00D26B98">
        <w:t>.</w:t>
      </w:r>
      <w:r w:rsidR="00D26B98" w:rsidRPr="00D26B98">
        <w:rPr>
          <w:rStyle w:val="FootnoteReference"/>
        </w:rPr>
        <w:t xml:space="preserve"> </w:t>
      </w:r>
      <w:r w:rsidR="00D26B98" w:rsidRPr="00D26B98">
        <w:rPr>
          <w:rStyle w:val="FootnoteReference"/>
        </w:rPr>
        <w:footnoteReference w:id="69"/>
      </w:r>
      <w:r w:rsidR="00746EFF" w:rsidRPr="00D26B98">
        <w:t xml:space="preserve"> </w:t>
      </w:r>
      <w:r w:rsidR="00481619" w:rsidRPr="00481619">
        <w:t xml:space="preserve">This bill allows for a 5-year experiment in elections with providing assistance at the polling booth to all voters who request it. </w:t>
      </w:r>
      <w:r w:rsidR="00746EFF" w:rsidRPr="00D26B98">
        <w:t>The bill has yet to be submitted to parliament.</w:t>
      </w:r>
    </w:p>
    <w:p w14:paraId="7333781D" w14:textId="77777777" w:rsidR="00CC6E05" w:rsidRDefault="00CC6E05" w:rsidP="00A94DDC">
      <w:pPr>
        <w:pStyle w:val="FRABodyText"/>
      </w:pPr>
    </w:p>
    <w:p w14:paraId="7352BF2C" w14:textId="107B5DE9" w:rsidR="00C71676" w:rsidRDefault="00C71676" w:rsidP="00A94DDC">
      <w:pPr>
        <w:pStyle w:val="FRABodyText"/>
      </w:pPr>
      <w:r>
        <w:t xml:space="preserve">During the </w:t>
      </w:r>
      <w:r w:rsidRPr="00194EB2">
        <w:t>Provincial Council and Water Boar</w:t>
      </w:r>
      <w:r>
        <w:t>d elections o</w:t>
      </w:r>
      <w:r w:rsidR="00EF0837">
        <w:t>f</w:t>
      </w:r>
      <w:r>
        <w:t xml:space="preserve"> 15 March  2023, a study was conducted </w:t>
      </w:r>
      <w:r w:rsidR="00AA2772">
        <w:t>by a</w:t>
      </w:r>
      <w:r w:rsidR="0093779A">
        <w:t xml:space="preserve"> research </w:t>
      </w:r>
      <w:r w:rsidR="0093779A" w:rsidRPr="0093779A">
        <w:t xml:space="preserve">agency </w:t>
      </w:r>
      <w:r w:rsidR="0093779A">
        <w:t>specialised in assessing accessibility</w:t>
      </w:r>
      <w:bookmarkStart w:id="7" w:name="_Hlk152839895"/>
      <w:r>
        <w:t xml:space="preserve">. </w:t>
      </w:r>
      <w:r>
        <w:rPr>
          <w:rStyle w:val="FootnoteReference"/>
        </w:rPr>
        <w:footnoteReference w:id="70"/>
      </w:r>
      <w:r>
        <w:t xml:space="preserve"> This study </w:t>
      </w:r>
      <w:r w:rsidR="00194EB2">
        <w:t>c</w:t>
      </w:r>
      <w:bookmarkEnd w:id="7"/>
      <w:r w:rsidR="00194EB2">
        <w:t xml:space="preserve">oncluded that </w:t>
      </w:r>
      <w:r w:rsidR="0093779A" w:rsidRPr="0093779A">
        <w:t xml:space="preserve">79% of the polling stations in </w:t>
      </w:r>
      <w:r w:rsidR="00194EB2">
        <w:t xml:space="preserve">a </w:t>
      </w:r>
      <w:r w:rsidR="0093779A" w:rsidRPr="0093779A">
        <w:t>sample</w:t>
      </w:r>
      <w:r w:rsidR="00194EB2">
        <w:t xml:space="preserve"> of 120</w:t>
      </w:r>
      <w:r w:rsidR="0093779A" w:rsidRPr="0093779A">
        <w:t xml:space="preserve"> d</w:t>
      </w:r>
      <w:r w:rsidR="00194EB2">
        <w:t>id</w:t>
      </w:r>
      <w:r w:rsidR="0093779A" w:rsidRPr="0093779A">
        <w:t xml:space="preserve"> not meet all accessibility criteria.</w:t>
      </w:r>
      <w:r w:rsidR="00194EB2">
        <w:t xml:space="preserve"> At the same</w:t>
      </w:r>
      <w:r w:rsidR="00257068">
        <w:t xml:space="preserve"> time the official</w:t>
      </w:r>
      <w:r>
        <w:t xml:space="preserve"> evaluation indicates </w:t>
      </w:r>
      <w:r w:rsidR="0088567B">
        <w:t xml:space="preserve">that 19% </w:t>
      </w:r>
      <w:r w:rsidR="0088567B" w:rsidRPr="00077386">
        <w:t>of the</w:t>
      </w:r>
      <w:r w:rsidR="0088567B">
        <w:t xml:space="preserve"> 268</w:t>
      </w:r>
      <w:r w:rsidR="0088567B" w:rsidRPr="00077386">
        <w:t xml:space="preserve"> municipalities</w:t>
      </w:r>
      <w:r w:rsidR="0088567B">
        <w:t xml:space="preserve"> in the evaluation (there are 343 municipalities in the Netherlands)</w:t>
      </w:r>
      <w:r w:rsidR="0088567B" w:rsidRPr="00077386">
        <w:t xml:space="preserve"> ma</w:t>
      </w:r>
      <w:r w:rsidRPr="00077386">
        <w:t>de a report about non-accessible polling stations.</w:t>
      </w:r>
      <w:r>
        <w:rPr>
          <w:rStyle w:val="FootnoteReference"/>
        </w:rPr>
        <w:footnoteReference w:id="71"/>
      </w:r>
      <w:r>
        <w:t xml:space="preserve"> This gap between the assessment by the research agency and the official evaluation indicates a knowledge gap between the authorities on the one side and </w:t>
      </w:r>
      <w:r w:rsidR="00FE1950">
        <w:t>specialised research agencies concerning the assessment of accessibility of polling stations</w:t>
      </w:r>
      <w:r w:rsidR="00114AAC">
        <w:t xml:space="preserve"> on the other side</w:t>
      </w:r>
      <w:r w:rsidR="00FE1950">
        <w:t>.</w:t>
      </w:r>
    </w:p>
    <w:p w14:paraId="7DFA7AD1" w14:textId="77777777" w:rsidR="00CC6E05" w:rsidRDefault="00CC6E05" w:rsidP="00A94DDC">
      <w:pPr>
        <w:pStyle w:val="FRABodyText"/>
      </w:pPr>
    </w:p>
    <w:p w14:paraId="757C89F1" w14:textId="355F6681" w:rsidR="007F0228" w:rsidRDefault="00EC3445" w:rsidP="00A94DDC">
      <w:pPr>
        <w:pStyle w:val="FRABodyText"/>
      </w:pPr>
      <w:r w:rsidRPr="00EF0837">
        <w:t xml:space="preserve">DPO </w:t>
      </w:r>
      <w:proofErr w:type="spellStart"/>
      <w:r w:rsidRPr="00EF0837">
        <w:t>Ieder</w:t>
      </w:r>
      <w:proofErr w:type="spellEnd"/>
      <w:r w:rsidRPr="00EF0837">
        <w:t xml:space="preserve">(in) opened a </w:t>
      </w:r>
      <w:r w:rsidR="00EF0837" w:rsidRPr="00EF0837">
        <w:t xml:space="preserve">special </w:t>
      </w:r>
      <w:r w:rsidRPr="00EF0837">
        <w:t xml:space="preserve">hotline </w:t>
      </w:r>
      <w:r w:rsidR="00114AAC">
        <w:t>in</w:t>
      </w:r>
      <w:r w:rsidR="00EF0837" w:rsidRPr="00EF0837">
        <w:t xml:space="preserve"> the week after the Municipal Council elections of 16 March 2022 and </w:t>
      </w:r>
      <w:r w:rsidR="00114AAC">
        <w:t>in</w:t>
      </w:r>
      <w:r w:rsidR="00EF0837" w:rsidRPr="00EF0837">
        <w:t xml:space="preserve"> the week after the</w:t>
      </w:r>
      <w:r w:rsidRPr="00EF0837">
        <w:t xml:space="preserve"> Provincial Council and Water Board elections o</w:t>
      </w:r>
      <w:r w:rsidR="00EF0837" w:rsidRPr="00EF0837">
        <w:t>f</w:t>
      </w:r>
      <w:r w:rsidRPr="00EF0837">
        <w:t xml:space="preserve"> 15 March 2023</w:t>
      </w:r>
      <w:r w:rsidR="00EF0837">
        <w:t xml:space="preserve">. The reports of both these hotlines </w:t>
      </w:r>
      <w:r w:rsidR="000B6D21">
        <w:t xml:space="preserve">indicate that a substantial number of people with a disability faced problems during the elections. </w:t>
      </w:r>
    </w:p>
    <w:p w14:paraId="7B22756F" w14:textId="45E94527" w:rsidR="00EC3445" w:rsidRDefault="000B6D21" w:rsidP="00A94DDC">
      <w:pPr>
        <w:pStyle w:val="FRABodyText"/>
      </w:pPr>
      <w:r>
        <w:t>The</w:t>
      </w:r>
      <w:r w:rsidR="00927805" w:rsidRPr="00927805">
        <w:t xml:space="preserve"> </w:t>
      </w:r>
      <w:r w:rsidR="00927805">
        <w:t xml:space="preserve">hotline on the </w:t>
      </w:r>
      <w:r w:rsidR="00927805" w:rsidRPr="00EF0837">
        <w:t xml:space="preserve">Municipal Council elections of 16 March 2022 </w:t>
      </w:r>
      <w:r w:rsidR="00927805">
        <w:t xml:space="preserve">handled </w:t>
      </w:r>
      <w:r w:rsidR="005246D0">
        <w:t>145</w:t>
      </w:r>
      <w:r w:rsidR="00927805">
        <w:t xml:space="preserve"> </w:t>
      </w:r>
      <w:r>
        <w:t>report</w:t>
      </w:r>
      <w:r w:rsidR="00927805">
        <w:t>s.</w:t>
      </w:r>
      <w:r w:rsidR="00EC3445" w:rsidRPr="00EF0837">
        <w:rPr>
          <w:rStyle w:val="FootnoteReference"/>
        </w:rPr>
        <w:footnoteReference w:id="72"/>
      </w:r>
      <w:r w:rsidR="005246D0">
        <w:t xml:space="preserve"> 48%</w:t>
      </w:r>
      <w:r w:rsidR="005246D0" w:rsidRPr="005246D0">
        <w:t xml:space="preserve"> of the reports </w:t>
      </w:r>
      <w:r w:rsidR="0069048C">
        <w:t>were</w:t>
      </w:r>
      <w:r w:rsidR="005246D0" w:rsidRPr="005246D0">
        <w:t xml:space="preserve"> about a positive experience, </w:t>
      </w:r>
      <w:r w:rsidR="00FA627C">
        <w:t>34</w:t>
      </w:r>
      <w:r w:rsidR="00FA627C" w:rsidRPr="005246D0">
        <w:t>%</w:t>
      </w:r>
      <w:r w:rsidR="00FA627C">
        <w:t xml:space="preserve"> </w:t>
      </w:r>
      <w:r w:rsidR="00114AAC">
        <w:t>were</w:t>
      </w:r>
      <w:r w:rsidR="00FA627C">
        <w:t xml:space="preserve"> about</w:t>
      </w:r>
      <w:r w:rsidR="005246D0" w:rsidRPr="005246D0">
        <w:t xml:space="preserve"> a negative experience and 19%</w:t>
      </w:r>
      <w:r w:rsidR="00FA627C">
        <w:t xml:space="preserve"> </w:t>
      </w:r>
      <w:r w:rsidR="00114AAC">
        <w:t>were</w:t>
      </w:r>
      <w:r w:rsidR="005246D0" w:rsidRPr="005246D0">
        <w:t xml:space="preserve"> neutral.</w:t>
      </w:r>
    </w:p>
    <w:p w14:paraId="5D9E615E" w14:textId="5E0B1098" w:rsidR="000B2D49" w:rsidRPr="009D0A43" w:rsidRDefault="00E03F98" w:rsidP="00A94DDC">
      <w:pPr>
        <w:pStyle w:val="FRABodyText"/>
      </w:pPr>
      <w:r>
        <w:t>The</w:t>
      </w:r>
      <w:r w:rsidRPr="00927805">
        <w:t xml:space="preserve"> </w:t>
      </w:r>
      <w:r>
        <w:t xml:space="preserve">hotline on the </w:t>
      </w:r>
      <w:r w:rsidR="004E42A0" w:rsidRPr="00194EB2">
        <w:t>Provincial Council and Water Boar</w:t>
      </w:r>
      <w:r w:rsidR="004E42A0">
        <w:t xml:space="preserve">d elections </w:t>
      </w:r>
      <w:r w:rsidRPr="00EF0837">
        <w:t>of 1</w:t>
      </w:r>
      <w:r w:rsidR="00EC6ECD">
        <w:t>5</w:t>
      </w:r>
      <w:r w:rsidRPr="00EF0837">
        <w:t xml:space="preserve"> March 202</w:t>
      </w:r>
      <w:r w:rsidR="00EC6ECD">
        <w:t>3</w:t>
      </w:r>
      <w:r w:rsidRPr="00EF0837">
        <w:t xml:space="preserve"> </w:t>
      </w:r>
      <w:r>
        <w:t xml:space="preserve"> handled</w:t>
      </w:r>
      <w:r w:rsidR="004E42A0">
        <w:t xml:space="preserve"> </w:t>
      </w:r>
      <w:r w:rsidR="007F0228">
        <w:t>123</w:t>
      </w:r>
      <w:r>
        <w:t xml:space="preserve"> reports.</w:t>
      </w:r>
      <w:r w:rsidRPr="00EF0837">
        <w:rPr>
          <w:rStyle w:val="FootnoteReference"/>
        </w:rPr>
        <w:footnoteReference w:id="73"/>
      </w:r>
      <w:r w:rsidR="00BF567D">
        <w:t xml:space="preserve">  </w:t>
      </w:r>
      <w:r w:rsidR="003978BD">
        <w:t>38</w:t>
      </w:r>
      <w:r w:rsidR="007F0228">
        <w:t>%</w:t>
      </w:r>
      <w:r w:rsidR="007F0228" w:rsidRPr="005246D0">
        <w:t xml:space="preserve"> of the reports </w:t>
      </w:r>
      <w:r w:rsidR="00114AAC">
        <w:t>were</w:t>
      </w:r>
      <w:r w:rsidR="007F0228" w:rsidRPr="005246D0">
        <w:t xml:space="preserve"> about a positive experience, </w:t>
      </w:r>
      <w:r w:rsidR="003978BD">
        <w:t>46</w:t>
      </w:r>
      <w:r w:rsidR="007F0228" w:rsidRPr="005246D0">
        <w:t>%</w:t>
      </w:r>
      <w:r w:rsidR="007F0228">
        <w:t xml:space="preserve"> </w:t>
      </w:r>
      <w:r w:rsidR="00114AAC">
        <w:t>were</w:t>
      </w:r>
      <w:r w:rsidR="007F0228">
        <w:t xml:space="preserve"> about</w:t>
      </w:r>
      <w:r w:rsidR="007F0228" w:rsidRPr="005246D0">
        <w:t xml:space="preserve"> a negative experience and 1</w:t>
      </w:r>
      <w:r w:rsidR="003978BD">
        <w:t>6</w:t>
      </w:r>
      <w:r w:rsidR="007F0228" w:rsidRPr="005246D0">
        <w:t>%</w:t>
      </w:r>
      <w:r w:rsidR="007F0228">
        <w:t xml:space="preserve"> </w:t>
      </w:r>
      <w:r w:rsidR="007F0228" w:rsidRPr="005246D0">
        <w:t xml:space="preserve"> </w:t>
      </w:r>
      <w:r w:rsidR="00114AAC">
        <w:t>were</w:t>
      </w:r>
      <w:r w:rsidR="007F0228" w:rsidRPr="005246D0">
        <w:t xml:space="preserve"> neutral</w:t>
      </w:r>
      <w:r w:rsidR="00AB2D31">
        <w:t>.</w:t>
      </w:r>
      <w:r w:rsidR="00F95372">
        <w:t xml:space="preserve"> </w:t>
      </w:r>
      <w:r w:rsidR="00B346D9">
        <w:rPr>
          <w:lang w:val="en-US"/>
        </w:rPr>
        <w:t xml:space="preserve"> </w:t>
      </w:r>
      <w:r w:rsidR="00BF567D">
        <w:t>M</w:t>
      </w:r>
      <w:r w:rsidR="007F0228">
        <w:t>a</w:t>
      </w:r>
      <w:r w:rsidR="00BF567D" w:rsidRPr="00BF567D">
        <w:t xml:space="preserve">ny reports </w:t>
      </w:r>
      <w:r w:rsidR="00EC6ECD">
        <w:t>to both hot</w:t>
      </w:r>
      <w:r w:rsidR="000B2D49">
        <w:t>l</w:t>
      </w:r>
      <w:r w:rsidR="00EC6ECD">
        <w:t xml:space="preserve">ines </w:t>
      </w:r>
      <w:r w:rsidR="0069048C">
        <w:t>were</w:t>
      </w:r>
      <w:r w:rsidR="00BF567D" w:rsidRPr="00BF567D">
        <w:t xml:space="preserve"> about the accessibility of the polling </w:t>
      </w:r>
      <w:r w:rsidR="00BF567D">
        <w:t>stations.</w:t>
      </w:r>
      <w:r w:rsidR="00BF567D" w:rsidRPr="00BF567D">
        <w:t xml:space="preserve"> Not all polling </w:t>
      </w:r>
      <w:r w:rsidR="003978BD">
        <w:t xml:space="preserve">stations for voters with a disability in a </w:t>
      </w:r>
      <w:r w:rsidR="00BF567D" w:rsidRPr="00BF567D">
        <w:t xml:space="preserve">wheelchair or </w:t>
      </w:r>
      <w:r w:rsidR="003978BD">
        <w:t xml:space="preserve">voters with a disability who were </w:t>
      </w:r>
      <w:r w:rsidR="00BF567D">
        <w:t>pedestrian</w:t>
      </w:r>
      <w:r w:rsidR="003978BD">
        <w:t>s were accessible</w:t>
      </w:r>
      <w:r w:rsidR="00BF567D" w:rsidRPr="00BF567D">
        <w:t>. This often involve</w:t>
      </w:r>
      <w:r w:rsidR="003978BD">
        <w:t>d</w:t>
      </w:r>
      <w:r w:rsidR="00BF567D" w:rsidRPr="00BF567D">
        <w:t xml:space="preserve"> entrance doors that people </w:t>
      </w:r>
      <w:r w:rsidR="00114AAC">
        <w:t>could not</w:t>
      </w:r>
      <w:r w:rsidR="00BF567D" w:rsidRPr="00BF567D">
        <w:t xml:space="preserve"> open themselves, </w:t>
      </w:r>
      <w:r w:rsidR="00BF567D" w:rsidRPr="00BF567D">
        <w:lastRenderedPageBreak/>
        <w:t xml:space="preserve">as well as thresholds and ramps. A large distance to the polling station </w:t>
      </w:r>
      <w:r w:rsidR="003978BD">
        <w:t>was</w:t>
      </w:r>
      <w:r w:rsidR="00BF567D" w:rsidRPr="00BF567D">
        <w:t xml:space="preserve"> also a barrier for several people. Several mobility scooter users report</w:t>
      </w:r>
      <w:r w:rsidR="003978BD">
        <w:t>ed</w:t>
      </w:r>
      <w:r w:rsidR="00BF567D" w:rsidRPr="00BF567D">
        <w:t xml:space="preserve"> that they c</w:t>
      </w:r>
      <w:r w:rsidR="003978BD">
        <w:t xml:space="preserve">ould not </w:t>
      </w:r>
      <w:r w:rsidR="00BF567D" w:rsidRPr="00BF567D">
        <w:t>use the polling booth with their mobility scooter.</w:t>
      </w:r>
    </w:p>
    <w:p w14:paraId="037265B6" w14:textId="594682E0" w:rsidR="00BF5540" w:rsidRDefault="000B2D49" w:rsidP="00A94DDC">
      <w:pPr>
        <w:pStyle w:val="FRABodyText"/>
      </w:pPr>
      <w:r>
        <w:t xml:space="preserve">For the </w:t>
      </w:r>
      <w:r w:rsidR="00D372B5">
        <w:t>House of Representatives election of 22 November 2023</w:t>
      </w:r>
      <w:r>
        <w:t xml:space="preserve">, </w:t>
      </w:r>
      <w:r w:rsidR="002E77F2">
        <w:t>DPO</w:t>
      </w:r>
      <w:r>
        <w:t xml:space="preserve"> </w:t>
      </w:r>
      <w:proofErr w:type="spellStart"/>
      <w:r w:rsidRPr="0037462C">
        <w:t>Ieder</w:t>
      </w:r>
      <w:proofErr w:type="spellEnd"/>
      <w:r w:rsidRPr="0037462C">
        <w:t xml:space="preserve">(in) </w:t>
      </w:r>
      <w:r w:rsidR="006F6594">
        <w:t xml:space="preserve">availability of  election manifestos in accessible formats on the websites of 18 political parties </w:t>
      </w:r>
      <w:r>
        <w:rPr>
          <w:rStyle w:val="FootnoteReference"/>
        </w:rPr>
        <w:footnoteReference w:id="74"/>
      </w:r>
      <w:r>
        <w:t xml:space="preserve"> The screening</w:t>
      </w:r>
      <w:r w:rsidRPr="00501DFB">
        <w:t xml:space="preserve"> included </w:t>
      </w:r>
      <w:r>
        <w:t xml:space="preserve">only </w:t>
      </w:r>
      <w:r w:rsidRPr="00501DFB">
        <w:t xml:space="preserve">the parties that </w:t>
      </w:r>
      <w:r>
        <w:t xml:space="preserve">were in the House before elections </w:t>
      </w:r>
      <w:r w:rsidRPr="00501DFB">
        <w:t>and</w:t>
      </w:r>
      <w:r>
        <w:t>/or</w:t>
      </w:r>
      <w:r w:rsidRPr="00501DFB">
        <w:t xml:space="preserve"> </w:t>
      </w:r>
      <w:r w:rsidR="002E77F2">
        <w:t>were</w:t>
      </w:r>
      <w:r w:rsidRPr="00501DFB">
        <w:t xml:space="preserve"> projected to have a chance of winning House seats again.</w:t>
      </w:r>
      <w:r>
        <w:t xml:space="preserve"> </w:t>
      </w:r>
      <w:r w:rsidR="006F6594">
        <w:t xml:space="preserve">During the screening, the quality of the accessibility of the accessible documents (like the easy-to-read manifestos) was not checked. </w:t>
      </w:r>
      <w:r>
        <w:t>During the screening, the</w:t>
      </w:r>
      <w:r w:rsidRPr="00501DFB">
        <w:t xml:space="preserve"> quality of accessibility</w:t>
      </w:r>
      <w:r>
        <w:t xml:space="preserve"> was not checked</w:t>
      </w:r>
      <w:r w:rsidRPr="00501DFB">
        <w:t>.</w:t>
      </w:r>
      <w:r>
        <w:t xml:space="preserve"> The screening shows that only a small number of parties made their election manifestos </w:t>
      </w:r>
      <w:r w:rsidR="00D372B5">
        <w:t>accessible</w:t>
      </w:r>
      <w:r>
        <w:t xml:space="preserve">. 9 parties had a summary of their manifesto in easy-to-read language.  2 </w:t>
      </w:r>
      <w:r w:rsidRPr="00DC49CD">
        <w:t xml:space="preserve">parties </w:t>
      </w:r>
      <w:r>
        <w:t>made</w:t>
      </w:r>
      <w:r w:rsidRPr="00DC49CD">
        <w:t xml:space="preserve"> a short version of their </w:t>
      </w:r>
      <w:r>
        <w:t xml:space="preserve">manifesto </w:t>
      </w:r>
      <w:r w:rsidRPr="00DC49CD">
        <w:t xml:space="preserve">in Braille </w:t>
      </w:r>
      <w:r>
        <w:t>available (on paper). 3</w:t>
      </w:r>
      <w:r w:rsidRPr="00F668E3">
        <w:t xml:space="preserve"> parties have a short version of their </w:t>
      </w:r>
      <w:r>
        <w:t>manifesto</w:t>
      </w:r>
      <w:r w:rsidRPr="00F668E3">
        <w:t xml:space="preserve"> in a spoken version on their website</w:t>
      </w:r>
      <w:r>
        <w:t>. 4 parties have a short version of their manifesto in Dutch sign language. One party presented its election manifesto in short videos with subtitles.</w:t>
      </w:r>
    </w:p>
    <w:p w14:paraId="665A6ECE" w14:textId="77777777" w:rsidR="006F6594" w:rsidRDefault="006F6594" w:rsidP="00A94DDC">
      <w:pPr>
        <w:pStyle w:val="FRABodyText"/>
      </w:pPr>
    </w:p>
    <w:p w14:paraId="31D8A07E" w14:textId="251A5266" w:rsidR="6BE79646" w:rsidRDefault="00186B44" w:rsidP="2D031D61">
      <w:pPr>
        <w:pStyle w:val="HeadingNumbered2"/>
      </w:pPr>
      <w:bookmarkStart w:id="8" w:name="_Toc299275285"/>
      <w:r>
        <w:t>Political participation: Promising practices</w:t>
      </w:r>
      <w:bookmarkEnd w:id="8"/>
    </w:p>
    <w:p w14:paraId="175182BB" w14:textId="5A3917FD" w:rsidR="00367DDC" w:rsidRDefault="00367DDC" w:rsidP="00367DDC"/>
    <w:p w14:paraId="2D10F5F5" w14:textId="18E3DB4B" w:rsidR="00367DDC" w:rsidRDefault="00367DDC" w:rsidP="00367DDC">
      <w:pPr>
        <w:pStyle w:val="TableTitle"/>
      </w:pPr>
      <w:r>
        <w:t xml:space="preserve">Table </w:t>
      </w:r>
      <w:r>
        <w:fldChar w:fldCharType="begin"/>
      </w:r>
      <w:r>
        <w:instrText>SEQ Table \* ARABIC</w:instrText>
      </w:r>
      <w:r>
        <w:fldChar w:fldCharType="separate"/>
      </w:r>
      <w:r>
        <w:rPr>
          <w:noProof/>
        </w:rPr>
        <w:t>1</w:t>
      </w:r>
      <w:r>
        <w:fldChar w:fldCharType="end"/>
      </w:r>
      <w:r>
        <w:t xml:space="preserve"> – Promising practice 1</w:t>
      </w:r>
    </w:p>
    <w:tbl>
      <w:tblPr>
        <w:tblStyle w:val="TableGrid"/>
        <w:tblW w:w="0" w:type="auto"/>
        <w:tblLayout w:type="fixed"/>
        <w:tblLook w:val="04A0" w:firstRow="1" w:lastRow="0" w:firstColumn="1" w:lastColumn="0" w:noHBand="0" w:noVBand="1"/>
      </w:tblPr>
      <w:tblGrid>
        <w:gridCol w:w="2648"/>
        <w:gridCol w:w="5846"/>
      </w:tblGrid>
      <w:tr w:rsidR="00367DDC" w14:paraId="7159AB9E" w14:textId="77777777" w:rsidTr="00367DDC">
        <w:trPr>
          <w:cnfStyle w:val="100000000000" w:firstRow="1" w:lastRow="0" w:firstColumn="0" w:lastColumn="0" w:oddVBand="0" w:evenVBand="0" w:oddHBand="0" w:evenHBand="0" w:firstRowFirstColumn="0" w:firstRowLastColumn="0" w:lastRowFirstColumn="0" w:lastRowLastColumn="0"/>
          <w:cantSplit/>
          <w:tblHeader/>
        </w:trPr>
        <w:tc>
          <w:tcPr>
            <w:tcW w:w="2648" w:type="dxa"/>
            <w:tcBorders>
              <w:top w:val="single" w:sz="4" w:space="0" w:color="A4C4E6"/>
              <w:left w:val="single" w:sz="4" w:space="0" w:color="A4C4E6"/>
            </w:tcBorders>
            <w:hideMark/>
          </w:tcPr>
          <w:p w14:paraId="7EB8906A" w14:textId="77777777" w:rsidR="00367DDC" w:rsidRDefault="00367DDC">
            <w:r>
              <w:t>Promising practice</w:t>
            </w:r>
          </w:p>
        </w:tc>
        <w:tc>
          <w:tcPr>
            <w:tcW w:w="5846" w:type="dxa"/>
            <w:tcBorders>
              <w:top w:val="single" w:sz="4" w:space="0" w:color="A4C4E6"/>
              <w:right w:val="single" w:sz="4" w:space="0" w:color="A4C4E6"/>
            </w:tcBorders>
          </w:tcPr>
          <w:p w14:paraId="09893F9A" w14:textId="77777777" w:rsidR="00367DDC" w:rsidRDefault="00367DDC"/>
        </w:tc>
      </w:tr>
      <w:tr w:rsidR="00367DDC" w14:paraId="55E0B2B2"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819C0D7" w14:textId="77777777" w:rsidR="00367DDC" w:rsidRDefault="00367DDC">
            <w:r>
              <w:t>Title (original language) </w:t>
            </w:r>
          </w:p>
        </w:tc>
        <w:tc>
          <w:tcPr>
            <w:tcW w:w="5846" w:type="dxa"/>
            <w:tcBorders>
              <w:top w:val="single" w:sz="4" w:space="0" w:color="A4C4E6"/>
              <w:left w:val="single" w:sz="4" w:space="0" w:color="A4C4E6"/>
              <w:bottom w:val="single" w:sz="4" w:space="0" w:color="A4C4E6"/>
              <w:right w:val="single" w:sz="4" w:space="0" w:color="A4C4E6"/>
            </w:tcBorders>
          </w:tcPr>
          <w:p w14:paraId="2F07B613" w14:textId="2BA17CF4" w:rsidR="00367DDC" w:rsidRDefault="005322C9">
            <w:proofErr w:type="spellStart"/>
            <w:r>
              <w:t>Ste</w:t>
            </w:r>
            <w:r w:rsidR="00AF7EBD">
              <w:t>m</w:t>
            </w:r>
            <w:r>
              <w:t>mal</w:t>
            </w:r>
            <w:proofErr w:type="spellEnd"/>
          </w:p>
        </w:tc>
      </w:tr>
      <w:tr w:rsidR="00367DDC" w14:paraId="70B61E00"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28342E8F" w14:textId="77777777" w:rsidR="00367DDC" w:rsidRDefault="00367DDC">
            <w:r>
              <w:t>Title (EN) </w:t>
            </w:r>
          </w:p>
        </w:tc>
        <w:tc>
          <w:tcPr>
            <w:tcW w:w="5846" w:type="dxa"/>
            <w:tcBorders>
              <w:top w:val="single" w:sz="4" w:space="0" w:color="A4C4E6"/>
              <w:left w:val="single" w:sz="4" w:space="0" w:color="A4C4E6"/>
              <w:bottom w:val="single" w:sz="4" w:space="0" w:color="A4C4E6"/>
              <w:right w:val="single" w:sz="4" w:space="0" w:color="A4C4E6"/>
            </w:tcBorders>
          </w:tcPr>
          <w:p w14:paraId="74EAD9E5" w14:textId="3DF19904" w:rsidR="00367DDC" w:rsidRDefault="009D7E8E">
            <w:r>
              <w:t>Voting template</w:t>
            </w:r>
          </w:p>
        </w:tc>
      </w:tr>
      <w:tr w:rsidR="00367DDC" w14:paraId="35E016A0"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5A9D0ED" w14:textId="77777777" w:rsidR="00367DDC" w:rsidRDefault="00367DDC">
            <w:r>
              <w:t>Organisation (original language)</w:t>
            </w:r>
          </w:p>
        </w:tc>
        <w:tc>
          <w:tcPr>
            <w:tcW w:w="5846" w:type="dxa"/>
            <w:tcBorders>
              <w:top w:val="single" w:sz="4" w:space="0" w:color="A4C4E6"/>
              <w:left w:val="single" w:sz="4" w:space="0" w:color="A4C4E6"/>
              <w:bottom w:val="single" w:sz="4" w:space="0" w:color="A4C4E6"/>
              <w:right w:val="single" w:sz="4" w:space="0" w:color="A4C4E6"/>
            </w:tcBorders>
          </w:tcPr>
          <w:p w14:paraId="2EC0CF5E" w14:textId="4B8C2153" w:rsidR="00367DDC" w:rsidRPr="009927DA" w:rsidRDefault="009927DA">
            <w:r w:rsidRPr="009927DA">
              <w:t xml:space="preserve">Vereniging van </w:t>
            </w:r>
            <w:proofErr w:type="spellStart"/>
            <w:r w:rsidRPr="009927DA">
              <w:t>Nederlandse</w:t>
            </w:r>
            <w:proofErr w:type="spellEnd"/>
            <w:r w:rsidRPr="009927DA">
              <w:t xml:space="preserve"> </w:t>
            </w:r>
            <w:proofErr w:type="spellStart"/>
            <w:r w:rsidRPr="009927DA">
              <w:t>Gemeenten</w:t>
            </w:r>
            <w:proofErr w:type="spellEnd"/>
          </w:p>
        </w:tc>
      </w:tr>
      <w:tr w:rsidR="00367DDC" w14:paraId="113AE117"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0D0CAEB" w14:textId="77777777" w:rsidR="00367DDC" w:rsidRDefault="00367DDC">
            <w:r>
              <w:t>Organisation (EN) </w:t>
            </w:r>
          </w:p>
        </w:tc>
        <w:tc>
          <w:tcPr>
            <w:tcW w:w="5846" w:type="dxa"/>
            <w:tcBorders>
              <w:top w:val="single" w:sz="4" w:space="0" w:color="A4C4E6"/>
              <w:left w:val="single" w:sz="4" w:space="0" w:color="A4C4E6"/>
              <w:bottom w:val="single" w:sz="4" w:space="0" w:color="A4C4E6"/>
              <w:right w:val="single" w:sz="4" w:space="0" w:color="A4C4E6"/>
            </w:tcBorders>
          </w:tcPr>
          <w:p w14:paraId="15058E90" w14:textId="59E73B4D" w:rsidR="00367DDC" w:rsidRDefault="009927DA">
            <w:r w:rsidRPr="0025653C">
              <w:t xml:space="preserve">Association of </w:t>
            </w:r>
            <w:r>
              <w:t xml:space="preserve">Netherlands </w:t>
            </w:r>
            <w:r w:rsidRPr="0025653C">
              <w:t xml:space="preserve"> Municipalities</w:t>
            </w:r>
            <w:r>
              <w:t xml:space="preserve"> </w:t>
            </w:r>
          </w:p>
        </w:tc>
      </w:tr>
      <w:tr w:rsidR="00367DDC" w14:paraId="00352979"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AD9DA5E" w14:textId="77777777" w:rsidR="00367DDC" w:rsidRDefault="00367DDC">
            <w:r>
              <w:t>Government / Civil society </w:t>
            </w:r>
          </w:p>
        </w:tc>
        <w:tc>
          <w:tcPr>
            <w:tcW w:w="5846" w:type="dxa"/>
            <w:tcBorders>
              <w:top w:val="single" w:sz="4" w:space="0" w:color="A4C4E6"/>
              <w:left w:val="single" w:sz="4" w:space="0" w:color="A4C4E6"/>
              <w:bottom w:val="single" w:sz="4" w:space="0" w:color="A4C4E6"/>
              <w:right w:val="single" w:sz="4" w:space="0" w:color="A4C4E6"/>
            </w:tcBorders>
          </w:tcPr>
          <w:p w14:paraId="329B05AA" w14:textId="72893BD8" w:rsidR="00367DDC" w:rsidRDefault="00AF7EBD">
            <w:r>
              <w:t>Government</w:t>
            </w:r>
          </w:p>
        </w:tc>
      </w:tr>
      <w:tr w:rsidR="00367DDC" w14:paraId="0849E624"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284AADA" w14:textId="77777777" w:rsidR="00367DDC" w:rsidRDefault="00367DDC">
            <w:r>
              <w:t>Funding body</w:t>
            </w:r>
          </w:p>
        </w:tc>
        <w:tc>
          <w:tcPr>
            <w:tcW w:w="5846" w:type="dxa"/>
            <w:tcBorders>
              <w:top w:val="single" w:sz="4" w:space="0" w:color="A4C4E6"/>
              <w:left w:val="single" w:sz="4" w:space="0" w:color="A4C4E6"/>
              <w:bottom w:val="single" w:sz="4" w:space="0" w:color="A4C4E6"/>
              <w:right w:val="single" w:sz="4" w:space="0" w:color="A4C4E6"/>
            </w:tcBorders>
          </w:tcPr>
          <w:p w14:paraId="069B20E7" w14:textId="3F7DDA63" w:rsidR="00367DDC" w:rsidRDefault="00AF7EBD">
            <w:r>
              <w:t xml:space="preserve">National </w:t>
            </w:r>
          </w:p>
        </w:tc>
      </w:tr>
      <w:tr w:rsidR="00367DDC" w14:paraId="66EAC81B"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60E9CCC" w14:textId="77777777" w:rsidR="00367DDC" w:rsidRDefault="00367DDC">
            <w:r>
              <w:lastRenderedPageBreak/>
              <w:t>Reference (incl. URL, where available) </w:t>
            </w:r>
          </w:p>
        </w:tc>
        <w:tc>
          <w:tcPr>
            <w:tcW w:w="5846" w:type="dxa"/>
            <w:tcBorders>
              <w:top w:val="single" w:sz="4" w:space="0" w:color="A4C4E6"/>
              <w:left w:val="single" w:sz="4" w:space="0" w:color="A4C4E6"/>
              <w:bottom w:val="single" w:sz="4" w:space="0" w:color="A4C4E6"/>
              <w:right w:val="single" w:sz="4" w:space="0" w:color="A4C4E6"/>
            </w:tcBorders>
          </w:tcPr>
          <w:p w14:paraId="49A2001A" w14:textId="06A9A77E" w:rsidR="00367DDC" w:rsidRDefault="00EE7E01">
            <w:r>
              <w:t xml:space="preserve">The Netherlands, </w:t>
            </w:r>
            <w:r w:rsidRPr="0025653C">
              <w:t xml:space="preserve">Association of </w:t>
            </w:r>
            <w:r>
              <w:t xml:space="preserve">Netherlands </w:t>
            </w:r>
            <w:r w:rsidRPr="0025653C">
              <w:t xml:space="preserve"> Municipalities</w:t>
            </w:r>
            <w:r>
              <w:t xml:space="preserve"> (</w:t>
            </w:r>
            <w:r w:rsidRPr="000A645D">
              <w:rPr>
                <w:i/>
                <w:iCs/>
              </w:rPr>
              <w:t xml:space="preserve">Vereniging van </w:t>
            </w:r>
            <w:proofErr w:type="spellStart"/>
            <w:r w:rsidRPr="000A645D">
              <w:rPr>
                <w:i/>
                <w:iCs/>
              </w:rPr>
              <w:t>Nederlandse</w:t>
            </w:r>
            <w:proofErr w:type="spellEnd"/>
            <w:r w:rsidRPr="000A645D">
              <w:rPr>
                <w:i/>
                <w:iCs/>
              </w:rPr>
              <w:t xml:space="preserve"> </w:t>
            </w:r>
            <w:proofErr w:type="spellStart"/>
            <w:r w:rsidRPr="000A645D">
              <w:rPr>
                <w:i/>
                <w:iCs/>
              </w:rPr>
              <w:t>Gemeenten</w:t>
            </w:r>
            <w:proofErr w:type="spellEnd"/>
            <w:r>
              <w:t>) (2022),</w:t>
            </w:r>
            <w:r w:rsidR="000A645D">
              <w:t xml:space="preserve"> ‘</w:t>
            </w:r>
            <w:r w:rsidR="000A645D" w:rsidRPr="000A645D">
              <w:t>Voting template used more often for blind and visually impaired voters</w:t>
            </w:r>
            <w:r w:rsidR="000A645D">
              <w:t>’, (‘</w:t>
            </w:r>
            <w:proofErr w:type="spellStart"/>
            <w:r w:rsidR="0055530E">
              <w:fldChar w:fldCharType="begin"/>
            </w:r>
            <w:r w:rsidR="0055530E">
              <w:instrText>HYPERLINK "https://vng.nl/nieuws/stemmal-vaker-ingezet-voor-blinde-en-slechtziende-kiezers"</w:instrText>
            </w:r>
            <w:r w:rsidR="0055530E">
              <w:fldChar w:fldCharType="separate"/>
            </w:r>
            <w:r w:rsidR="000A645D" w:rsidRPr="000A645D">
              <w:rPr>
                <w:rStyle w:val="Hyperlink"/>
              </w:rPr>
              <w:t>Stemmal</w:t>
            </w:r>
            <w:proofErr w:type="spellEnd"/>
            <w:r w:rsidR="000A645D" w:rsidRPr="000A645D">
              <w:rPr>
                <w:rStyle w:val="Hyperlink"/>
              </w:rPr>
              <w:t xml:space="preserve"> </w:t>
            </w:r>
            <w:proofErr w:type="spellStart"/>
            <w:r w:rsidR="000A645D" w:rsidRPr="000A645D">
              <w:rPr>
                <w:rStyle w:val="Hyperlink"/>
              </w:rPr>
              <w:t>vaker</w:t>
            </w:r>
            <w:proofErr w:type="spellEnd"/>
            <w:r w:rsidR="000A645D" w:rsidRPr="000A645D">
              <w:rPr>
                <w:rStyle w:val="Hyperlink"/>
              </w:rPr>
              <w:t xml:space="preserve"> </w:t>
            </w:r>
            <w:proofErr w:type="spellStart"/>
            <w:r w:rsidR="000A645D" w:rsidRPr="000A645D">
              <w:rPr>
                <w:rStyle w:val="Hyperlink"/>
              </w:rPr>
              <w:t>ingezet</w:t>
            </w:r>
            <w:proofErr w:type="spellEnd"/>
            <w:r w:rsidR="000A645D" w:rsidRPr="000A645D">
              <w:rPr>
                <w:rStyle w:val="Hyperlink"/>
              </w:rPr>
              <w:t xml:space="preserve"> </w:t>
            </w:r>
            <w:proofErr w:type="spellStart"/>
            <w:r w:rsidR="000A645D" w:rsidRPr="000A645D">
              <w:rPr>
                <w:rStyle w:val="Hyperlink"/>
              </w:rPr>
              <w:t>voor</w:t>
            </w:r>
            <w:proofErr w:type="spellEnd"/>
            <w:r w:rsidR="000A645D" w:rsidRPr="000A645D">
              <w:rPr>
                <w:rStyle w:val="Hyperlink"/>
              </w:rPr>
              <w:t xml:space="preserve"> </w:t>
            </w:r>
            <w:proofErr w:type="spellStart"/>
            <w:r w:rsidR="000A645D" w:rsidRPr="000A645D">
              <w:rPr>
                <w:rStyle w:val="Hyperlink"/>
              </w:rPr>
              <w:t>blinde</w:t>
            </w:r>
            <w:proofErr w:type="spellEnd"/>
            <w:r w:rsidR="000A645D" w:rsidRPr="000A645D">
              <w:rPr>
                <w:rStyle w:val="Hyperlink"/>
              </w:rPr>
              <w:t xml:space="preserve"> </w:t>
            </w:r>
            <w:proofErr w:type="spellStart"/>
            <w:r w:rsidR="000A645D" w:rsidRPr="000A645D">
              <w:rPr>
                <w:rStyle w:val="Hyperlink"/>
              </w:rPr>
              <w:t>en</w:t>
            </w:r>
            <w:proofErr w:type="spellEnd"/>
            <w:r w:rsidR="000A645D" w:rsidRPr="000A645D">
              <w:rPr>
                <w:rStyle w:val="Hyperlink"/>
              </w:rPr>
              <w:t xml:space="preserve"> </w:t>
            </w:r>
            <w:proofErr w:type="spellStart"/>
            <w:r w:rsidR="000A645D" w:rsidRPr="000A645D">
              <w:rPr>
                <w:rStyle w:val="Hyperlink"/>
              </w:rPr>
              <w:t>slechtziende</w:t>
            </w:r>
            <w:proofErr w:type="spellEnd"/>
            <w:r w:rsidR="000A645D" w:rsidRPr="000A645D">
              <w:rPr>
                <w:rStyle w:val="Hyperlink"/>
              </w:rPr>
              <w:t xml:space="preserve"> </w:t>
            </w:r>
            <w:proofErr w:type="spellStart"/>
            <w:r w:rsidR="000A645D" w:rsidRPr="000A645D">
              <w:rPr>
                <w:rStyle w:val="Hyperlink"/>
              </w:rPr>
              <w:t>kiezers</w:t>
            </w:r>
            <w:proofErr w:type="spellEnd"/>
            <w:r w:rsidR="000A645D" w:rsidRPr="000A645D">
              <w:rPr>
                <w:rStyle w:val="Hyperlink"/>
              </w:rPr>
              <w:t>’</w:t>
            </w:r>
            <w:r w:rsidR="0055530E">
              <w:rPr>
                <w:rStyle w:val="Hyperlink"/>
              </w:rPr>
              <w:fldChar w:fldCharType="end"/>
            </w:r>
            <w:r w:rsidR="000A645D">
              <w:t>), News release, 17 February 2022.</w:t>
            </w:r>
          </w:p>
        </w:tc>
      </w:tr>
      <w:tr w:rsidR="00367DDC" w14:paraId="534A7E60"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80B9DFB" w14:textId="77777777" w:rsidR="00367DDC" w:rsidRDefault="00367DDC">
            <w:r>
              <w:t>Indicate the start date of the promising practice and the finishing date if it has ceased to exist</w:t>
            </w:r>
          </w:p>
        </w:tc>
        <w:tc>
          <w:tcPr>
            <w:tcW w:w="5846" w:type="dxa"/>
            <w:tcBorders>
              <w:top w:val="single" w:sz="4" w:space="0" w:color="A4C4E6"/>
              <w:left w:val="single" w:sz="4" w:space="0" w:color="A4C4E6"/>
              <w:bottom w:val="single" w:sz="4" w:space="0" w:color="A4C4E6"/>
              <w:right w:val="single" w:sz="4" w:space="0" w:color="A4C4E6"/>
            </w:tcBorders>
          </w:tcPr>
          <w:p w14:paraId="50B88EC8" w14:textId="7463D585" w:rsidR="00367DDC" w:rsidRDefault="009D7E8E">
            <w:r>
              <w:t>2018-</w:t>
            </w:r>
          </w:p>
        </w:tc>
      </w:tr>
      <w:tr w:rsidR="00367DDC" w14:paraId="6FFCF95C"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BDEFC0B" w14:textId="77777777" w:rsidR="00367DDC" w:rsidRDefault="00367DDC">
            <w:r>
              <w:t>Type of initiative </w:t>
            </w:r>
          </w:p>
        </w:tc>
        <w:tc>
          <w:tcPr>
            <w:tcW w:w="5846" w:type="dxa"/>
            <w:tcBorders>
              <w:top w:val="single" w:sz="4" w:space="0" w:color="A4C4E6"/>
              <w:left w:val="single" w:sz="4" w:space="0" w:color="A4C4E6"/>
              <w:bottom w:val="single" w:sz="4" w:space="0" w:color="A4C4E6"/>
              <w:right w:val="single" w:sz="4" w:space="0" w:color="A4C4E6"/>
            </w:tcBorders>
          </w:tcPr>
          <w:p w14:paraId="647823A9" w14:textId="3DAA05B9" w:rsidR="00367DDC" w:rsidRDefault="00AF7EBD">
            <w:r>
              <w:t>Voting tool</w:t>
            </w:r>
          </w:p>
        </w:tc>
      </w:tr>
      <w:tr w:rsidR="00367DDC" w14:paraId="27F0E9F4"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6F73EFF" w14:textId="77777777" w:rsidR="00367DDC" w:rsidRDefault="00367DDC">
            <w:r>
              <w:t>Main target group</w:t>
            </w:r>
          </w:p>
        </w:tc>
        <w:tc>
          <w:tcPr>
            <w:tcW w:w="5846" w:type="dxa"/>
            <w:tcBorders>
              <w:top w:val="single" w:sz="4" w:space="0" w:color="A4C4E6"/>
              <w:left w:val="single" w:sz="4" w:space="0" w:color="A4C4E6"/>
              <w:bottom w:val="single" w:sz="4" w:space="0" w:color="A4C4E6"/>
              <w:right w:val="single" w:sz="4" w:space="0" w:color="A4C4E6"/>
            </w:tcBorders>
          </w:tcPr>
          <w:p w14:paraId="6638B126" w14:textId="1C10C3C7" w:rsidR="00367DDC" w:rsidRDefault="009D7E8E">
            <w:r>
              <w:t>Voters with a visual impairment</w:t>
            </w:r>
          </w:p>
        </w:tc>
      </w:tr>
      <w:tr w:rsidR="00367DDC" w14:paraId="0CFDBDAA"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04C05BD" w14:textId="77777777" w:rsidR="00367DDC" w:rsidRDefault="00367DDC">
            <w:r>
              <w:t>Indicate level of implementation: Local/Regional/National </w:t>
            </w:r>
          </w:p>
        </w:tc>
        <w:tc>
          <w:tcPr>
            <w:tcW w:w="5846" w:type="dxa"/>
            <w:tcBorders>
              <w:top w:val="single" w:sz="4" w:space="0" w:color="A4C4E6"/>
              <w:left w:val="single" w:sz="4" w:space="0" w:color="A4C4E6"/>
              <w:bottom w:val="single" w:sz="4" w:space="0" w:color="A4C4E6"/>
              <w:right w:val="single" w:sz="4" w:space="0" w:color="A4C4E6"/>
            </w:tcBorders>
          </w:tcPr>
          <w:p w14:paraId="5F85042B" w14:textId="312BD7B0" w:rsidR="00367DDC" w:rsidRDefault="00355BBF">
            <w:r>
              <w:t>Local</w:t>
            </w:r>
          </w:p>
        </w:tc>
      </w:tr>
      <w:tr w:rsidR="00367DDC" w14:paraId="5BD0A41D"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D61E6A4" w14:textId="77777777" w:rsidR="00367DDC" w:rsidRDefault="00367DDC">
            <w:r>
              <w:t>Brief description (max. 1000 chars) </w:t>
            </w:r>
          </w:p>
        </w:tc>
        <w:tc>
          <w:tcPr>
            <w:tcW w:w="5846" w:type="dxa"/>
            <w:tcBorders>
              <w:top w:val="single" w:sz="4" w:space="0" w:color="A4C4E6"/>
              <w:left w:val="single" w:sz="4" w:space="0" w:color="A4C4E6"/>
              <w:bottom w:val="single" w:sz="4" w:space="0" w:color="A4C4E6"/>
              <w:right w:val="single" w:sz="4" w:space="0" w:color="A4C4E6"/>
            </w:tcBorders>
          </w:tcPr>
          <w:p w14:paraId="2FDA1126" w14:textId="45653D0F" w:rsidR="00367DDC" w:rsidRDefault="00AF7EBD">
            <w:r>
              <w:t xml:space="preserve">This practice is an </w:t>
            </w:r>
            <w:r w:rsidRPr="00AF7EBD">
              <w:t>audio-assisted voting template. The ballot paper is placed in the voting template and the holes in the template correspond exactly to the circles for the candidates' names. Each party number is indicated with tactile numbers and in braille. Audio support allows voters to listen to all candidates through headphones.</w:t>
            </w:r>
            <w:r>
              <w:t xml:space="preserve"> </w:t>
            </w:r>
            <w:r w:rsidRPr="00AF7EBD">
              <w:t>The sound box with headphones tells the blind or visually impaired voter which parties and candidates are on the list and which number belongs to them</w:t>
            </w:r>
            <w:r>
              <w:t>.</w:t>
            </w:r>
          </w:p>
        </w:tc>
      </w:tr>
      <w:tr w:rsidR="00367DDC" w14:paraId="15D2E758"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E34C70C" w14:textId="77777777" w:rsidR="00367DDC" w:rsidRDefault="00367DDC">
            <w:r>
              <w:t>Highlight any element of the actions that is transferable (max. 500 chars) </w:t>
            </w:r>
          </w:p>
        </w:tc>
        <w:tc>
          <w:tcPr>
            <w:tcW w:w="5846" w:type="dxa"/>
            <w:tcBorders>
              <w:top w:val="single" w:sz="4" w:space="0" w:color="A4C4E6"/>
              <w:left w:val="single" w:sz="4" w:space="0" w:color="A4C4E6"/>
              <w:bottom w:val="single" w:sz="4" w:space="0" w:color="A4C4E6"/>
              <w:right w:val="single" w:sz="4" w:space="0" w:color="A4C4E6"/>
            </w:tcBorders>
          </w:tcPr>
          <w:p w14:paraId="79C50161" w14:textId="212D4BEE" w:rsidR="00367DDC" w:rsidRDefault="00DD15A2">
            <w:r>
              <w:t>The whole practice is transferable.</w:t>
            </w:r>
          </w:p>
        </w:tc>
      </w:tr>
      <w:tr w:rsidR="00367DDC" w14:paraId="58513021"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701CD3F" w14:textId="77777777" w:rsidR="00367DDC" w:rsidRDefault="00367DDC">
            <w:r>
              <w:t>Give reasons why you consider the practice as sustainable (as opposed to ‘one off activities’)</w:t>
            </w:r>
          </w:p>
        </w:tc>
        <w:tc>
          <w:tcPr>
            <w:tcW w:w="5846" w:type="dxa"/>
            <w:tcBorders>
              <w:top w:val="single" w:sz="4" w:space="0" w:color="A4C4E6"/>
              <w:left w:val="single" w:sz="4" w:space="0" w:color="A4C4E6"/>
              <w:bottom w:val="single" w:sz="4" w:space="0" w:color="A4C4E6"/>
              <w:right w:val="single" w:sz="4" w:space="0" w:color="A4C4E6"/>
            </w:tcBorders>
          </w:tcPr>
          <w:p w14:paraId="7B2BBF27" w14:textId="0E9FB26E" w:rsidR="00367DDC" w:rsidRDefault="00DD15A2">
            <w:r>
              <w:t>Because the practice is implemented</w:t>
            </w:r>
            <w:r w:rsidR="00A6133C">
              <w:t xml:space="preserve"> </w:t>
            </w:r>
            <w:r>
              <w:t>by the</w:t>
            </w:r>
            <w:r w:rsidR="00A6133C" w:rsidRPr="0025653C">
              <w:t xml:space="preserve"> Association of </w:t>
            </w:r>
            <w:r w:rsidR="00A6133C">
              <w:t>Netherlands</w:t>
            </w:r>
            <w:r w:rsidR="00A6133C" w:rsidRPr="0025653C">
              <w:t xml:space="preserve"> Municipalities</w:t>
            </w:r>
            <w:r w:rsidR="00A6133C">
              <w:t xml:space="preserve"> (</w:t>
            </w:r>
            <w:r w:rsidR="00A6133C" w:rsidRPr="000A645D">
              <w:rPr>
                <w:i/>
                <w:iCs/>
              </w:rPr>
              <w:t xml:space="preserve">Vereniging van </w:t>
            </w:r>
            <w:proofErr w:type="spellStart"/>
            <w:r w:rsidR="00A6133C" w:rsidRPr="000A645D">
              <w:rPr>
                <w:i/>
                <w:iCs/>
              </w:rPr>
              <w:t>Nederlandse</w:t>
            </w:r>
            <w:proofErr w:type="spellEnd"/>
            <w:r w:rsidR="00A6133C" w:rsidRPr="000A645D">
              <w:rPr>
                <w:i/>
                <w:iCs/>
              </w:rPr>
              <w:t xml:space="preserve"> </w:t>
            </w:r>
            <w:proofErr w:type="spellStart"/>
            <w:r w:rsidR="00A6133C" w:rsidRPr="000A645D">
              <w:rPr>
                <w:i/>
                <w:iCs/>
              </w:rPr>
              <w:t>Gemeenten</w:t>
            </w:r>
            <w:proofErr w:type="spellEnd"/>
            <w:r w:rsidR="00A6133C">
              <w:t>), an organisation that represent</w:t>
            </w:r>
            <w:r w:rsidR="00EA3954">
              <w:t>s</w:t>
            </w:r>
            <w:r w:rsidR="00A6133C">
              <w:t xml:space="preserve"> all Dutch municipalities. The Municipalities are responsible for implementing the electoral process.</w:t>
            </w:r>
          </w:p>
        </w:tc>
      </w:tr>
      <w:tr w:rsidR="00367DDC" w14:paraId="690207EE"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3DB050A8" w14:textId="77777777" w:rsidR="00367DDC" w:rsidRDefault="00367DDC">
            <w:r>
              <w:lastRenderedPageBreak/>
              <w:t>Give reasons why you consider the practice as having concrete measurable impact </w:t>
            </w:r>
          </w:p>
        </w:tc>
        <w:tc>
          <w:tcPr>
            <w:tcW w:w="5846" w:type="dxa"/>
            <w:tcBorders>
              <w:top w:val="single" w:sz="4" w:space="0" w:color="A4C4E6"/>
              <w:left w:val="single" w:sz="4" w:space="0" w:color="A4C4E6"/>
              <w:bottom w:val="single" w:sz="4" w:space="0" w:color="A4C4E6"/>
              <w:right w:val="single" w:sz="4" w:space="0" w:color="A4C4E6"/>
            </w:tcBorders>
          </w:tcPr>
          <w:p w14:paraId="301321BC" w14:textId="5EB27245" w:rsidR="00367DDC" w:rsidRDefault="009A7BAB">
            <w:r>
              <w:t>The practice allows voters with a visual impairment to vote independently.</w:t>
            </w:r>
            <w:r w:rsidR="006767AA">
              <w:t xml:space="preserve"> During the </w:t>
            </w:r>
            <w:r w:rsidR="009927DA">
              <w:t>M</w:t>
            </w:r>
            <w:r w:rsidR="006767AA" w:rsidRPr="00EA6BD8">
              <w:t xml:space="preserve">unicipal </w:t>
            </w:r>
            <w:r w:rsidR="009927DA">
              <w:t>C</w:t>
            </w:r>
            <w:r w:rsidR="006767AA" w:rsidRPr="00EA6BD8">
              <w:t>ouncil elections of 16 March 2022</w:t>
            </w:r>
            <w:r w:rsidR="006767AA">
              <w:t xml:space="preserve"> 82 municipalities made use of the voting template.</w:t>
            </w:r>
            <w:r w:rsidR="005C25F4">
              <w:rPr>
                <w:rStyle w:val="FootnoteReference"/>
              </w:rPr>
              <w:footnoteReference w:id="75"/>
            </w:r>
            <w:r w:rsidR="009927DA">
              <w:t xml:space="preserve"> During the</w:t>
            </w:r>
            <w:r w:rsidR="009927DA" w:rsidRPr="00756CC9">
              <w:t xml:space="preserve"> </w:t>
            </w:r>
            <w:r w:rsidR="0049171F">
              <w:t xml:space="preserve">House of Representatives </w:t>
            </w:r>
            <w:r w:rsidR="009927DA">
              <w:t xml:space="preserve">elections of </w:t>
            </w:r>
            <w:r w:rsidR="005C25F4">
              <w:t xml:space="preserve">22 November </w:t>
            </w:r>
            <w:r w:rsidR="009927DA">
              <w:t>2023 elections</w:t>
            </w:r>
            <w:r w:rsidR="00EE7E01">
              <w:t xml:space="preserve"> </w:t>
            </w:r>
            <w:r w:rsidR="0049171F">
              <w:t>11</w:t>
            </w:r>
            <w:r w:rsidR="001F5DBE">
              <w:t>6</w:t>
            </w:r>
            <w:r w:rsidR="00EE7E01">
              <w:t xml:space="preserve"> municipalities made use of the voting template. </w:t>
            </w:r>
            <w:r w:rsidR="0002708E">
              <w:rPr>
                <w:rStyle w:val="FootnoteReference"/>
              </w:rPr>
              <w:footnoteReference w:id="76"/>
            </w:r>
            <w:r w:rsidR="0049171F">
              <w:t xml:space="preserve">  That is a </w:t>
            </w:r>
            <w:r w:rsidR="001F5DBE">
              <w:t xml:space="preserve">more than a </w:t>
            </w:r>
            <w:r w:rsidR="0049171F">
              <w:t>third of all mun</w:t>
            </w:r>
            <w:r w:rsidR="001F5DBE">
              <w:t>icipalities.</w:t>
            </w:r>
          </w:p>
        </w:tc>
      </w:tr>
      <w:tr w:rsidR="00367DDC" w14:paraId="0297B044"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0DF71F1D" w14:textId="77777777" w:rsidR="00367DDC" w:rsidRDefault="00367DDC">
            <w:r>
              <w:t>Give reasons why you consider the practice as transferable to other settings and/or Member States? </w:t>
            </w:r>
          </w:p>
        </w:tc>
        <w:tc>
          <w:tcPr>
            <w:tcW w:w="5846" w:type="dxa"/>
            <w:tcBorders>
              <w:top w:val="single" w:sz="4" w:space="0" w:color="A4C4E6"/>
              <w:left w:val="single" w:sz="4" w:space="0" w:color="A4C4E6"/>
              <w:bottom w:val="single" w:sz="4" w:space="0" w:color="A4C4E6"/>
              <w:right w:val="single" w:sz="4" w:space="0" w:color="A4C4E6"/>
            </w:tcBorders>
          </w:tcPr>
          <w:p w14:paraId="5C71535B" w14:textId="651B58CA" w:rsidR="00367DDC" w:rsidRDefault="001F5DBE">
            <w:r>
              <w:t>Because voters with a visual impairment face the same problems across the Union.</w:t>
            </w:r>
          </w:p>
        </w:tc>
      </w:tr>
      <w:tr w:rsidR="00367DDC" w14:paraId="59F0E78D"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051CAE4" w14:textId="77777777" w:rsidR="00367DDC" w:rsidRDefault="00367DDC">
            <w:r>
              <w:t>Explain, if applicable, how the practice involves beneficiaries and stakeholders in the design, planning, evaluation, review assessment and implementation of the practice</w:t>
            </w:r>
          </w:p>
        </w:tc>
        <w:tc>
          <w:tcPr>
            <w:tcW w:w="5846" w:type="dxa"/>
            <w:tcBorders>
              <w:top w:val="single" w:sz="4" w:space="0" w:color="A4C4E6"/>
              <w:left w:val="single" w:sz="4" w:space="0" w:color="A4C4E6"/>
              <w:bottom w:val="single" w:sz="4" w:space="0" w:color="A4C4E6"/>
              <w:right w:val="single" w:sz="4" w:space="0" w:color="A4C4E6"/>
            </w:tcBorders>
          </w:tcPr>
          <w:p w14:paraId="2CE14A6C" w14:textId="3356A18D" w:rsidR="00367DDC" w:rsidRDefault="00A6133C">
            <w:r>
              <w:t xml:space="preserve">The </w:t>
            </w:r>
            <w:r w:rsidR="001F5DBE" w:rsidRPr="0048289A">
              <w:t>Eye Association Netherlands (</w:t>
            </w:r>
            <w:proofErr w:type="spellStart"/>
            <w:r w:rsidR="001F5DBE" w:rsidRPr="005C25F4">
              <w:rPr>
                <w:i/>
                <w:iCs/>
              </w:rPr>
              <w:t>Oogvereniging</w:t>
            </w:r>
            <w:proofErr w:type="spellEnd"/>
            <w:r w:rsidR="001F5DBE" w:rsidRPr="0048289A">
              <w:t>)</w:t>
            </w:r>
            <w:r>
              <w:t xml:space="preserve"> is involved in the design, planning, assessment and implementation of the practice.</w:t>
            </w:r>
          </w:p>
        </w:tc>
      </w:tr>
      <w:tr w:rsidR="00367DDC" w14:paraId="592EF171"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09EFEFA8" w14:textId="77777777" w:rsidR="00367DDC" w:rsidRDefault="00367DDC">
            <w:r>
              <w:t>Explain, if applicable, how the practice provides for review and assessment</w:t>
            </w:r>
          </w:p>
        </w:tc>
        <w:tc>
          <w:tcPr>
            <w:tcW w:w="5846" w:type="dxa"/>
            <w:tcBorders>
              <w:top w:val="single" w:sz="4" w:space="0" w:color="A4C4E6"/>
              <w:left w:val="single" w:sz="4" w:space="0" w:color="A4C4E6"/>
              <w:bottom w:val="single" w:sz="4" w:space="0" w:color="A4C4E6"/>
              <w:right w:val="single" w:sz="4" w:space="0" w:color="A4C4E6"/>
            </w:tcBorders>
          </w:tcPr>
          <w:p w14:paraId="54C9B4EE" w14:textId="04E761F1" w:rsidR="00367DDC" w:rsidRDefault="00AD74A9">
            <w:r>
              <w:t>The practice can be assessed by the number of municipalities in which the voting template can be used.</w:t>
            </w:r>
          </w:p>
        </w:tc>
      </w:tr>
    </w:tbl>
    <w:p w14:paraId="78F153DD" w14:textId="77777777" w:rsidR="00367DDC" w:rsidRDefault="00367DDC" w:rsidP="00367DDC">
      <w:pPr>
        <w:pStyle w:val="TableBody"/>
      </w:pPr>
    </w:p>
    <w:p w14:paraId="5C587064" w14:textId="4ABD4627" w:rsidR="00635EFA" w:rsidRDefault="00635EFA" w:rsidP="00A94DDC">
      <w:pPr>
        <w:pStyle w:val="FRABodyText"/>
      </w:pPr>
    </w:p>
    <w:p w14:paraId="2A542A29" w14:textId="77777777" w:rsidR="00367DDC" w:rsidRDefault="00367DDC" w:rsidP="00367DDC"/>
    <w:p w14:paraId="79E23890" w14:textId="3AA260E1" w:rsidR="00367DDC" w:rsidRDefault="00367DDC" w:rsidP="00367DDC">
      <w:pPr>
        <w:pStyle w:val="TableTitle"/>
      </w:pPr>
      <w:r>
        <w:lastRenderedPageBreak/>
        <w:t>Table 2 – Promising practice 2</w:t>
      </w:r>
    </w:p>
    <w:tbl>
      <w:tblPr>
        <w:tblStyle w:val="TableGrid"/>
        <w:tblW w:w="0" w:type="auto"/>
        <w:tblLayout w:type="fixed"/>
        <w:tblLook w:val="04A0" w:firstRow="1" w:lastRow="0" w:firstColumn="1" w:lastColumn="0" w:noHBand="0" w:noVBand="1"/>
      </w:tblPr>
      <w:tblGrid>
        <w:gridCol w:w="2648"/>
        <w:gridCol w:w="5846"/>
      </w:tblGrid>
      <w:tr w:rsidR="00367DDC" w14:paraId="3DA4191E" w14:textId="77777777" w:rsidTr="00367DDC">
        <w:trPr>
          <w:cnfStyle w:val="100000000000" w:firstRow="1" w:lastRow="0" w:firstColumn="0" w:lastColumn="0" w:oddVBand="0" w:evenVBand="0" w:oddHBand="0" w:evenHBand="0" w:firstRowFirstColumn="0" w:firstRowLastColumn="0" w:lastRowFirstColumn="0" w:lastRowLastColumn="0"/>
          <w:cantSplit/>
          <w:tblHeader/>
        </w:trPr>
        <w:tc>
          <w:tcPr>
            <w:tcW w:w="2648" w:type="dxa"/>
            <w:tcBorders>
              <w:top w:val="single" w:sz="4" w:space="0" w:color="A4C4E6"/>
              <w:left w:val="single" w:sz="4" w:space="0" w:color="A4C4E6"/>
            </w:tcBorders>
            <w:hideMark/>
          </w:tcPr>
          <w:p w14:paraId="76A0EC10" w14:textId="77777777" w:rsidR="00367DDC" w:rsidRDefault="00367DDC">
            <w:r>
              <w:t>Promising practice</w:t>
            </w:r>
          </w:p>
        </w:tc>
        <w:tc>
          <w:tcPr>
            <w:tcW w:w="5846" w:type="dxa"/>
            <w:tcBorders>
              <w:top w:val="single" w:sz="4" w:space="0" w:color="A4C4E6"/>
              <w:right w:val="single" w:sz="4" w:space="0" w:color="A4C4E6"/>
            </w:tcBorders>
          </w:tcPr>
          <w:p w14:paraId="168D167B" w14:textId="77777777" w:rsidR="00367DDC" w:rsidRDefault="00367DDC"/>
        </w:tc>
      </w:tr>
      <w:tr w:rsidR="00367DDC" w:rsidRPr="00A251D6" w14:paraId="7B477156"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B6462B9" w14:textId="77777777" w:rsidR="00367DDC" w:rsidRDefault="00367DDC">
            <w:r>
              <w:t>Title (original language) </w:t>
            </w:r>
          </w:p>
        </w:tc>
        <w:tc>
          <w:tcPr>
            <w:tcW w:w="5846" w:type="dxa"/>
            <w:tcBorders>
              <w:top w:val="single" w:sz="4" w:space="0" w:color="A4C4E6"/>
              <w:left w:val="single" w:sz="4" w:space="0" w:color="A4C4E6"/>
              <w:bottom w:val="single" w:sz="4" w:space="0" w:color="A4C4E6"/>
              <w:right w:val="single" w:sz="4" w:space="0" w:color="A4C4E6"/>
            </w:tcBorders>
          </w:tcPr>
          <w:p w14:paraId="352C3058" w14:textId="1ADFB444" w:rsidR="00367DDC" w:rsidRPr="001737B3" w:rsidRDefault="00367DDC">
            <w:pPr>
              <w:rPr>
                <w:lang w:val="nl-NL"/>
              </w:rPr>
            </w:pPr>
            <w:r w:rsidRPr="001737B3">
              <w:rPr>
                <w:lang w:val="nl-NL"/>
              </w:rPr>
              <w:t>W</w:t>
            </w:r>
            <w:r w:rsidR="003F0811" w:rsidRPr="001737B3">
              <w:rPr>
                <w:lang w:val="nl-NL"/>
              </w:rPr>
              <w:t>ebsite</w:t>
            </w:r>
            <w:r w:rsidRPr="001737B3">
              <w:rPr>
                <w:lang w:val="nl-NL"/>
              </w:rPr>
              <w:t xml:space="preserve"> ‘Waar is mijn stemlokaal’ </w:t>
            </w:r>
          </w:p>
        </w:tc>
      </w:tr>
      <w:tr w:rsidR="00367DDC" w14:paraId="3AACCDAD"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ED3FA7B" w14:textId="77777777" w:rsidR="00367DDC" w:rsidRDefault="00367DDC">
            <w:r>
              <w:t>Title (EN) </w:t>
            </w:r>
          </w:p>
        </w:tc>
        <w:tc>
          <w:tcPr>
            <w:tcW w:w="5846" w:type="dxa"/>
            <w:tcBorders>
              <w:top w:val="single" w:sz="4" w:space="0" w:color="A4C4E6"/>
              <w:left w:val="single" w:sz="4" w:space="0" w:color="A4C4E6"/>
              <w:bottom w:val="single" w:sz="4" w:space="0" w:color="A4C4E6"/>
              <w:right w:val="single" w:sz="4" w:space="0" w:color="A4C4E6"/>
            </w:tcBorders>
          </w:tcPr>
          <w:p w14:paraId="253D45D5" w14:textId="60B9B02D" w:rsidR="00367DDC" w:rsidRDefault="00367DDC">
            <w:r>
              <w:t>Website ‘Where is my polling station’</w:t>
            </w:r>
          </w:p>
        </w:tc>
      </w:tr>
      <w:tr w:rsidR="00367DDC" w:rsidRPr="00A251D6" w14:paraId="3B157394"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25B42C3" w14:textId="77777777" w:rsidR="00367DDC" w:rsidRDefault="00367DDC">
            <w:r>
              <w:t>Organisation (original language)</w:t>
            </w:r>
          </w:p>
        </w:tc>
        <w:tc>
          <w:tcPr>
            <w:tcW w:w="5846" w:type="dxa"/>
            <w:tcBorders>
              <w:top w:val="single" w:sz="4" w:space="0" w:color="A4C4E6"/>
              <w:left w:val="single" w:sz="4" w:space="0" w:color="A4C4E6"/>
              <w:bottom w:val="single" w:sz="4" w:space="0" w:color="A4C4E6"/>
              <w:right w:val="single" w:sz="4" w:space="0" w:color="A4C4E6"/>
            </w:tcBorders>
          </w:tcPr>
          <w:p w14:paraId="521CEF4E" w14:textId="4928F5BA" w:rsidR="00367DDC" w:rsidRPr="001737B3" w:rsidRDefault="0070357F">
            <w:pPr>
              <w:rPr>
                <w:lang w:val="nl-NL"/>
              </w:rPr>
            </w:pPr>
            <w:r w:rsidRPr="001737B3">
              <w:rPr>
                <w:lang w:val="nl-NL"/>
              </w:rPr>
              <w:t>Ministerie van Binnenlandse Zaken en Koninkrijksrelaties</w:t>
            </w:r>
            <w:r w:rsidR="008405BB" w:rsidRPr="001737B3">
              <w:rPr>
                <w:lang w:val="nl-NL"/>
              </w:rPr>
              <w:t xml:space="preserve"> / Open State Foundation</w:t>
            </w:r>
          </w:p>
        </w:tc>
      </w:tr>
      <w:tr w:rsidR="00367DDC" w14:paraId="709BE21B"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40FFD25A" w14:textId="77777777" w:rsidR="00367DDC" w:rsidRDefault="00367DDC">
            <w:r>
              <w:t>Organisation (EN) </w:t>
            </w:r>
          </w:p>
        </w:tc>
        <w:tc>
          <w:tcPr>
            <w:tcW w:w="5846" w:type="dxa"/>
            <w:tcBorders>
              <w:top w:val="single" w:sz="4" w:space="0" w:color="A4C4E6"/>
              <w:left w:val="single" w:sz="4" w:space="0" w:color="A4C4E6"/>
              <w:bottom w:val="single" w:sz="4" w:space="0" w:color="A4C4E6"/>
              <w:right w:val="single" w:sz="4" w:space="0" w:color="A4C4E6"/>
            </w:tcBorders>
          </w:tcPr>
          <w:p w14:paraId="31359B84" w14:textId="46DA7556" w:rsidR="00367DDC" w:rsidRDefault="0070357F">
            <w:r w:rsidRPr="00EA6BD8">
              <w:t>Ministry of Interior and Kingdom Relations</w:t>
            </w:r>
            <w:r w:rsidR="004F5013">
              <w:t xml:space="preserve"> / </w:t>
            </w:r>
            <w:r w:rsidR="004F5013" w:rsidRPr="004F5013">
              <w:t>Open State Foundation</w:t>
            </w:r>
          </w:p>
        </w:tc>
      </w:tr>
      <w:tr w:rsidR="00367DDC" w14:paraId="5240DF90"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273E06C5" w14:textId="77777777" w:rsidR="00367DDC" w:rsidRDefault="00367DDC">
            <w:r>
              <w:t>Government / Civil society </w:t>
            </w:r>
          </w:p>
        </w:tc>
        <w:tc>
          <w:tcPr>
            <w:tcW w:w="5846" w:type="dxa"/>
            <w:tcBorders>
              <w:top w:val="single" w:sz="4" w:space="0" w:color="A4C4E6"/>
              <w:left w:val="single" w:sz="4" w:space="0" w:color="A4C4E6"/>
              <w:bottom w:val="single" w:sz="4" w:space="0" w:color="A4C4E6"/>
              <w:right w:val="single" w:sz="4" w:space="0" w:color="A4C4E6"/>
            </w:tcBorders>
          </w:tcPr>
          <w:p w14:paraId="119668D8" w14:textId="1BE80041" w:rsidR="00367DDC" w:rsidRDefault="00367DDC">
            <w:r>
              <w:t>Government</w:t>
            </w:r>
            <w:r w:rsidR="004F5013">
              <w:t xml:space="preserve"> / Civil societ</w:t>
            </w:r>
            <w:r w:rsidR="00EA3954">
              <w:t>y</w:t>
            </w:r>
          </w:p>
        </w:tc>
      </w:tr>
      <w:tr w:rsidR="00367DDC" w14:paraId="0D880C8A"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1DCD80E4" w14:textId="77777777" w:rsidR="00367DDC" w:rsidRDefault="00367DDC">
            <w:r>
              <w:t>Funding body</w:t>
            </w:r>
          </w:p>
        </w:tc>
        <w:tc>
          <w:tcPr>
            <w:tcW w:w="5846" w:type="dxa"/>
            <w:tcBorders>
              <w:top w:val="single" w:sz="4" w:space="0" w:color="A4C4E6"/>
              <w:left w:val="single" w:sz="4" w:space="0" w:color="A4C4E6"/>
              <w:bottom w:val="single" w:sz="4" w:space="0" w:color="A4C4E6"/>
              <w:right w:val="single" w:sz="4" w:space="0" w:color="A4C4E6"/>
            </w:tcBorders>
          </w:tcPr>
          <w:p w14:paraId="6FD65BAE" w14:textId="650F8BDB" w:rsidR="00367DDC" w:rsidRDefault="00367DDC">
            <w:r>
              <w:t>National Government</w:t>
            </w:r>
          </w:p>
        </w:tc>
      </w:tr>
      <w:tr w:rsidR="00367DDC" w14:paraId="7551A65A"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3755B405" w14:textId="77777777" w:rsidR="00367DDC" w:rsidRDefault="00367DDC">
            <w:r>
              <w:t>Reference (incl. URL, where available) </w:t>
            </w:r>
          </w:p>
        </w:tc>
        <w:tc>
          <w:tcPr>
            <w:tcW w:w="5846" w:type="dxa"/>
            <w:tcBorders>
              <w:top w:val="single" w:sz="4" w:space="0" w:color="A4C4E6"/>
              <w:left w:val="single" w:sz="4" w:space="0" w:color="A4C4E6"/>
              <w:bottom w:val="single" w:sz="4" w:space="0" w:color="A4C4E6"/>
              <w:right w:val="single" w:sz="4" w:space="0" w:color="A4C4E6"/>
            </w:tcBorders>
          </w:tcPr>
          <w:p w14:paraId="6DE7EBE5" w14:textId="369698F9" w:rsidR="00367DDC" w:rsidRDefault="0070357F">
            <w:r w:rsidRPr="00EA6BD8">
              <w:t>The Netherlands, Ministry of Interior and Kingdom Relations (</w:t>
            </w:r>
            <w:proofErr w:type="spellStart"/>
            <w:r w:rsidRPr="003B22F0">
              <w:rPr>
                <w:i/>
                <w:iCs/>
              </w:rPr>
              <w:t>Ministerie</w:t>
            </w:r>
            <w:proofErr w:type="spellEnd"/>
            <w:r w:rsidRPr="003B22F0">
              <w:rPr>
                <w:i/>
                <w:iCs/>
              </w:rPr>
              <w:t xml:space="preserve"> van </w:t>
            </w:r>
            <w:proofErr w:type="spellStart"/>
            <w:r w:rsidRPr="003B22F0">
              <w:rPr>
                <w:i/>
                <w:iCs/>
              </w:rPr>
              <w:t>Binnenlandse</w:t>
            </w:r>
            <w:proofErr w:type="spellEnd"/>
            <w:r w:rsidRPr="003B22F0">
              <w:rPr>
                <w:i/>
                <w:iCs/>
              </w:rPr>
              <w:t xml:space="preserve"> Zaken </w:t>
            </w:r>
            <w:proofErr w:type="spellStart"/>
            <w:r w:rsidRPr="003B22F0">
              <w:rPr>
                <w:i/>
                <w:iCs/>
              </w:rPr>
              <w:t>en</w:t>
            </w:r>
            <w:proofErr w:type="spellEnd"/>
            <w:r w:rsidRPr="003B22F0">
              <w:rPr>
                <w:i/>
                <w:iCs/>
              </w:rPr>
              <w:t xml:space="preserve"> </w:t>
            </w:r>
            <w:proofErr w:type="spellStart"/>
            <w:r w:rsidRPr="003B22F0">
              <w:rPr>
                <w:i/>
                <w:iCs/>
              </w:rPr>
              <w:t>Koninkrijksrelaties</w:t>
            </w:r>
            <w:proofErr w:type="spellEnd"/>
            <w:r w:rsidRPr="00EA6BD8">
              <w:t>) (202</w:t>
            </w:r>
            <w:r>
              <w:t>3</w:t>
            </w:r>
            <w:r w:rsidRPr="00EA6BD8">
              <w:t>),</w:t>
            </w:r>
            <w:r>
              <w:t xml:space="preserve">  ‘Where is my polling station?’, Website. ( ‘</w:t>
            </w:r>
            <w:proofErr w:type="spellStart"/>
            <w:r w:rsidR="0055530E">
              <w:fldChar w:fldCharType="begin"/>
            </w:r>
            <w:r w:rsidR="0055530E">
              <w:instrText>HYPERLINK "https://waarismijnstemlokaal.nl/"</w:instrText>
            </w:r>
            <w:r w:rsidR="0055530E">
              <w:fldChar w:fldCharType="separate"/>
            </w:r>
            <w:r w:rsidRPr="00054A35">
              <w:rPr>
                <w:rStyle w:val="Hyperlink"/>
              </w:rPr>
              <w:t>Waar</w:t>
            </w:r>
            <w:proofErr w:type="spellEnd"/>
            <w:r w:rsidRPr="00054A35">
              <w:rPr>
                <w:rStyle w:val="Hyperlink"/>
              </w:rPr>
              <w:t xml:space="preserve"> is </w:t>
            </w:r>
            <w:proofErr w:type="spellStart"/>
            <w:r w:rsidRPr="00054A35">
              <w:rPr>
                <w:rStyle w:val="Hyperlink"/>
              </w:rPr>
              <w:t>mijn</w:t>
            </w:r>
            <w:proofErr w:type="spellEnd"/>
            <w:r w:rsidRPr="00054A35">
              <w:rPr>
                <w:rStyle w:val="Hyperlink"/>
              </w:rPr>
              <w:t xml:space="preserve"> </w:t>
            </w:r>
            <w:proofErr w:type="spellStart"/>
            <w:r w:rsidRPr="00054A35">
              <w:rPr>
                <w:rStyle w:val="Hyperlink"/>
              </w:rPr>
              <w:t>stemlokaal</w:t>
            </w:r>
            <w:proofErr w:type="spellEnd"/>
            <w:r w:rsidR="0055530E">
              <w:rPr>
                <w:rStyle w:val="Hyperlink"/>
              </w:rPr>
              <w:fldChar w:fldCharType="end"/>
            </w:r>
            <w:r>
              <w:t>?’ Website’</w:t>
            </w:r>
            <w:r w:rsidRPr="00EA6BD8">
              <w:t>)</w:t>
            </w:r>
            <w:r>
              <w:t>.</w:t>
            </w:r>
          </w:p>
        </w:tc>
      </w:tr>
      <w:tr w:rsidR="00367DDC" w14:paraId="462AE42A"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867B5C4" w14:textId="77777777" w:rsidR="00367DDC" w:rsidRDefault="00367DDC">
            <w:r>
              <w:t>Indicate the start date of the promising practice and the finishing date if it has ceased to exist</w:t>
            </w:r>
          </w:p>
        </w:tc>
        <w:tc>
          <w:tcPr>
            <w:tcW w:w="5846" w:type="dxa"/>
            <w:tcBorders>
              <w:top w:val="single" w:sz="4" w:space="0" w:color="A4C4E6"/>
              <w:left w:val="single" w:sz="4" w:space="0" w:color="A4C4E6"/>
              <w:bottom w:val="single" w:sz="4" w:space="0" w:color="A4C4E6"/>
              <w:right w:val="single" w:sz="4" w:space="0" w:color="A4C4E6"/>
            </w:tcBorders>
          </w:tcPr>
          <w:p w14:paraId="1DB50FC6" w14:textId="40810442" w:rsidR="00367DDC" w:rsidRDefault="00367DDC">
            <w:r>
              <w:t>2021</w:t>
            </w:r>
            <w:r w:rsidR="00EA3954">
              <w:t>, no finish</w:t>
            </w:r>
            <w:r w:rsidR="00B3632A">
              <w:t>ing</w:t>
            </w:r>
            <w:r w:rsidR="00EA3954">
              <w:t xml:space="preserve"> date</w:t>
            </w:r>
          </w:p>
        </w:tc>
      </w:tr>
      <w:tr w:rsidR="00367DDC" w14:paraId="02C2D7D7"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67FF2CD" w14:textId="77777777" w:rsidR="00367DDC" w:rsidRDefault="00367DDC">
            <w:r>
              <w:t>Type of initiative </w:t>
            </w:r>
          </w:p>
        </w:tc>
        <w:tc>
          <w:tcPr>
            <w:tcW w:w="5846" w:type="dxa"/>
            <w:tcBorders>
              <w:top w:val="single" w:sz="4" w:space="0" w:color="A4C4E6"/>
              <w:left w:val="single" w:sz="4" w:space="0" w:color="A4C4E6"/>
              <w:bottom w:val="single" w:sz="4" w:space="0" w:color="A4C4E6"/>
              <w:right w:val="single" w:sz="4" w:space="0" w:color="A4C4E6"/>
            </w:tcBorders>
          </w:tcPr>
          <w:p w14:paraId="2592909F" w14:textId="2B2D5632" w:rsidR="00367DDC" w:rsidRDefault="008405BB">
            <w:r>
              <w:t>Website</w:t>
            </w:r>
          </w:p>
        </w:tc>
      </w:tr>
      <w:tr w:rsidR="00367DDC" w14:paraId="79CCB067"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07DF0FCD" w14:textId="77777777" w:rsidR="00367DDC" w:rsidRDefault="00367DDC">
            <w:r>
              <w:t>Main target group</w:t>
            </w:r>
          </w:p>
        </w:tc>
        <w:tc>
          <w:tcPr>
            <w:tcW w:w="5846" w:type="dxa"/>
            <w:tcBorders>
              <w:top w:val="single" w:sz="4" w:space="0" w:color="A4C4E6"/>
              <w:left w:val="single" w:sz="4" w:space="0" w:color="A4C4E6"/>
              <w:bottom w:val="single" w:sz="4" w:space="0" w:color="A4C4E6"/>
              <w:right w:val="single" w:sz="4" w:space="0" w:color="A4C4E6"/>
            </w:tcBorders>
          </w:tcPr>
          <w:p w14:paraId="136DE3E6" w14:textId="530F8C7F" w:rsidR="00367DDC" w:rsidRDefault="0070357F">
            <w:r>
              <w:t>All voters</w:t>
            </w:r>
          </w:p>
        </w:tc>
      </w:tr>
      <w:tr w:rsidR="00367DDC" w14:paraId="38FA5FB5"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3C9869C6" w14:textId="77777777" w:rsidR="00367DDC" w:rsidRDefault="00367DDC">
            <w:r>
              <w:t>Indicate level of implementation: Local/Regional/National </w:t>
            </w:r>
          </w:p>
        </w:tc>
        <w:tc>
          <w:tcPr>
            <w:tcW w:w="5846" w:type="dxa"/>
            <w:tcBorders>
              <w:top w:val="single" w:sz="4" w:space="0" w:color="A4C4E6"/>
              <w:left w:val="single" w:sz="4" w:space="0" w:color="A4C4E6"/>
              <w:bottom w:val="single" w:sz="4" w:space="0" w:color="A4C4E6"/>
              <w:right w:val="single" w:sz="4" w:space="0" w:color="A4C4E6"/>
            </w:tcBorders>
          </w:tcPr>
          <w:p w14:paraId="3E1EA706" w14:textId="27F66A50" w:rsidR="00367DDC" w:rsidRDefault="00367DDC">
            <w:r>
              <w:t xml:space="preserve">National </w:t>
            </w:r>
          </w:p>
        </w:tc>
      </w:tr>
      <w:tr w:rsidR="00367DDC" w14:paraId="15C8EC3C"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8366403" w14:textId="77777777" w:rsidR="00367DDC" w:rsidRDefault="00367DDC">
            <w:r>
              <w:t>Brief description (max. 1000 chars) </w:t>
            </w:r>
          </w:p>
        </w:tc>
        <w:tc>
          <w:tcPr>
            <w:tcW w:w="5846" w:type="dxa"/>
            <w:tcBorders>
              <w:top w:val="single" w:sz="4" w:space="0" w:color="A4C4E6"/>
              <w:left w:val="single" w:sz="4" w:space="0" w:color="A4C4E6"/>
              <w:bottom w:val="single" w:sz="4" w:space="0" w:color="A4C4E6"/>
              <w:right w:val="single" w:sz="4" w:space="0" w:color="A4C4E6"/>
            </w:tcBorders>
          </w:tcPr>
          <w:p w14:paraId="59A7CF4F" w14:textId="6892417D" w:rsidR="00367DDC" w:rsidRDefault="00367DDC">
            <w:r>
              <w:t xml:space="preserve">A website </w:t>
            </w:r>
            <w:r w:rsidR="00EA3954">
              <w:t>(</w:t>
            </w:r>
            <w:hyperlink r:id="rId24" w:history="1">
              <w:r w:rsidR="00EA3954" w:rsidRPr="00CA41FD">
                <w:rPr>
                  <w:rStyle w:val="Hyperlink"/>
                </w:rPr>
                <w:t>https://waarismijnstemlokaal.nl/</w:t>
              </w:r>
            </w:hyperlink>
            <w:r w:rsidR="00D21D47">
              <w:t xml:space="preserve">) </w:t>
            </w:r>
            <w:r w:rsidR="00397C0E">
              <w:t xml:space="preserve">on which voters can find a polling station in their neighbourhood. The website contains </w:t>
            </w:r>
            <w:r w:rsidR="004313E5">
              <w:t xml:space="preserve">information on </w:t>
            </w:r>
            <w:r w:rsidR="00397C0E">
              <w:t>all polling stations. For each polling</w:t>
            </w:r>
            <w:r w:rsidR="003D65DF">
              <w:t xml:space="preserve"> station, </w:t>
            </w:r>
            <w:r w:rsidR="00397C0E">
              <w:t>information on its accessibility is provided.</w:t>
            </w:r>
            <w:r w:rsidR="001C08FB">
              <w:t xml:space="preserve"> </w:t>
            </w:r>
            <w:r w:rsidR="003D65DF">
              <w:t>The web</w:t>
            </w:r>
            <w:r w:rsidR="00D21D47">
              <w:t>s</w:t>
            </w:r>
            <w:r w:rsidR="003D65DF">
              <w:t>ite</w:t>
            </w:r>
            <w:r w:rsidR="001C08FB">
              <w:t xml:space="preserve"> provides information on whether the polling station is </w:t>
            </w:r>
            <w:r w:rsidR="003D65DF">
              <w:t>accessible</w:t>
            </w:r>
            <w:r w:rsidR="001C08FB">
              <w:t>, whether v</w:t>
            </w:r>
            <w:r w:rsidR="001C08FB" w:rsidRPr="001C08FB">
              <w:t>isual aids</w:t>
            </w:r>
            <w:r w:rsidR="001C08FB">
              <w:t xml:space="preserve"> are available, whether</w:t>
            </w:r>
            <w:r w:rsidR="0084018D">
              <w:t xml:space="preserve"> auditory aids are available, whether the </w:t>
            </w:r>
            <w:r w:rsidR="0084018D" w:rsidRPr="0084018D">
              <w:t xml:space="preserve">acoustics </w:t>
            </w:r>
            <w:r w:rsidR="0084018D">
              <w:t>are</w:t>
            </w:r>
            <w:r w:rsidR="00D227CE">
              <w:t xml:space="preserve"> s</w:t>
            </w:r>
            <w:r w:rsidR="0084018D" w:rsidRPr="0084018D">
              <w:t>uitable for hearing impaired people</w:t>
            </w:r>
            <w:r w:rsidR="00D227CE">
              <w:t xml:space="preserve">, whether </w:t>
            </w:r>
            <w:r w:rsidR="004313E5">
              <w:t>a toilet for the disabled is available.</w:t>
            </w:r>
          </w:p>
        </w:tc>
      </w:tr>
      <w:tr w:rsidR="00367DDC" w14:paraId="362FD4D1"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581B67CD" w14:textId="77777777" w:rsidR="00367DDC" w:rsidRDefault="00367DDC">
            <w:r>
              <w:t>Highlight any element of the actions that is transferable (max. 500 chars) </w:t>
            </w:r>
          </w:p>
        </w:tc>
        <w:tc>
          <w:tcPr>
            <w:tcW w:w="5846" w:type="dxa"/>
            <w:tcBorders>
              <w:top w:val="single" w:sz="4" w:space="0" w:color="A4C4E6"/>
              <w:left w:val="single" w:sz="4" w:space="0" w:color="A4C4E6"/>
              <w:bottom w:val="single" w:sz="4" w:space="0" w:color="A4C4E6"/>
              <w:right w:val="single" w:sz="4" w:space="0" w:color="A4C4E6"/>
            </w:tcBorders>
          </w:tcPr>
          <w:p w14:paraId="2E6A118B" w14:textId="40903475" w:rsidR="00367DDC" w:rsidRDefault="00367DDC">
            <w:r>
              <w:t>The whole practice is transferable.</w:t>
            </w:r>
          </w:p>
        </w:tc>
      </w:tr>
      <w:tr w:rsidR="00367DDC" w14:paraId="796A72A3"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4042F2A" w14:textId="77777777" w:rsidR="00367DDC" w:rsidRDefault="00367DDC">
            <w:r>
              <w:lastRenderedPageBreak/>
              <w:t>Give reasons why you consider the practice as sustainable (as opposed to ‘one off activities’)</w:t>
            </w:r>
          </w:p>
        </w:tc>
        <w:tc>
          <w:tcPr>
            <w:tcW w:w="5846" w:type="dxa"/>
            <w:tcBorders>
              <w:top w:val="single" w:sz="4" w:space="0" w:color="A4C4E6"/>
              <w:left w:val="single" w:sz="4" w:space="0" w:color="A4C4E6"/>
              <w:bottom w:val="single" w:sz="4" w:space="0" w:color="A4C4E6"/>
              <w:right w:val="single" w:sz="4" w:space="0" w:color="A4C4E6"/>
            </w:tcBorders>
          </w:tcPr>
          <w:p w14:paraId="0F9244EA" w14:textId="471916DA" w:rsidR="00367DDC" w:rsidRDefault="0070357F">
            <w:r>
              <w:t>Because it</w:t>
            </w:r>
            <w:r w:rsidR="00EA3954">
              <w:t xml:space="preserve"> i</w:t>
            </w:r>
            <w:r>
              <w:t>s implemented and maintained by the national government.</w:t>
            </w:r>
          </w:p>
        </w:tc>
      </w:tr>
      <w:tr w:rsidR="00367DDC" w14:paraId="00560636"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03BCC8CF" w14:textId="77777777" w:rsidR="00367DDC" w:rsidRDefault="00367DDC">
            <w:r>
              <w:t>Give reasons why you consider the practice as having concrete measurable impact </w:t>
            </w:r>
          </w:p>
        </w:tc>
        <w:tc>
          <w:tcPr>
            <w:tcW w:w="5846" w:type="dxa"/>
            <w:tcBorders>
              <w:top w:val="single" w:sz="4" w:space="0" w:color="A4C4E6"/>
              <w:left w:val="single" w:sz="4" w:space="0" w:color="A4C4E6"/>
              <w:bottom w:val="single" w:sz="4" w:space="0" w:color="A4C4E6"/>
              <w:right w:val="single" w:sz="4" w:space="0" w:color="A4C4E6"/>
            </w:tcBorders>
          </w:tcPr>
          <w:p w14:paraId="7C706EC2" w14:textId="35FD9116" w:rsidR="00367DDC" w:rsidRDefault="00397C0E">
            <w:r>
              <w:t xml:space="preserve">Because </w:t>
            </w:r>
            <w:r w:rsidR="001E0058">
              <w:t>during the development of the website, the website was thoroughly tested by members of the target group (voters with a disability).</w:t>
            </w:r>
            <w:r w:rsidR="001E0058">
              <w:rPr>
                <w:rStyle w:val="FootnoteReference"/>
              </w:rPr>
              <w:t xml:space="preserve"> </w:t>
            </w:r>
            <w:r w:rsidR="001E0058">
              <w:rPr>
                <w:rStyle w:val="FootnoteReference"/>
              </w:rPr>
              <w:footnoteReference w:id="77"/>
            </w:r>
          </w:p>
        </w:tc>
      </w:tr>
      <w:tr w:rsidR="00367DDC" w14:paraId="4DC3E279"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7F38F14C" w14:textId="77777777" w:rsidR="00367DDC" w:rsidRDefault="00367DDC">
            <w:r>
              <w:t>Give reasons why you consider the practice as transferable to other settings and/or Member States? </w:t>
            </w:r>
          </w:p>
        </w:tc>
        <w:tc>
          <w:tcPr>
            <w:tcW w:w="5846" w:type="dxa"/>
            <w:tcBorders>
              <w:top w:val="single" w:sz="4" w:space="0" w:color="A4C4E6"/>
              <w:left w:val="single" w:sz="4" w:space="0" w:color="A4C4E6"/>
              <w:bottom w:val="single" w:sz="4" w:space="0" w:color="A4C4E6"/>
              <w:right w:val="single" w:sz="4" w:space="0" w:color="A4C4E6"/>
            </w:tcBorders>
          </w:tcPr>
          <w:p w14:paraId="468DECD8" w14:textId="3D163B17" w:rsidR="00367DDC" w:rsidRDefault="00927498">
            <w:r>
              <w:t>Because the accessibility of polling stations is an issue in all Member States.</w:t>
            </w:r>
          </w:p>
        </w:tc>
      </w:tr>
      <w:tr w:rsidR="00367DDC" w14:paraId="720928F5"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ED42B26" w14:textId="77777777" w:rsidR="00367DDC" w:rsidRDefault="00367DDC">
            <w:r>
              <w:t>Explain, if applicable, how the practice involves beneficiaries and stakeholders in the design, planning, evaluation, review assessment and implementation of the practice</w:t>
            </w:r>
          </w:p>
        </w:tc>
        <w:tc>
          <w:tcPr>
            <w:tcW w:w="5846" w:type="dxa"/>
            <w:tcBorders>
              <w:top w:val="single" w:sz="4" w:space="0" w:color="A4C4E6"/>
              <w:left w:val="single" w:sz="4" w:space="0" w:color="A4C4E6"/>
              <w:bottom w:val="single" w:sz="4" w:space="0" w:color="A4C4E6"/>
              <w:right w:val="single" w:sz="4" w:space="0" w:color="A4C4E6"/>
            </w:tcBorders>
          </w:tcPr>
          <w:p w14:paraId="5C883FEC" w14:textId="29289EAE" w:rsidR="00367DDC" w:rsidRDefault="00796C70">
            <w:r>
              <w:t xml:space="preserve">During the </w:t>
            </w:r>
            <w:r w:rsidR="004F5013">
              <w:t>development of the website, the website was thorough</w:t>
            </w:r>
            <w:r w:rsidR="00EA3954">
              <w:t>ly</w:t>
            </w:r>
            <w:r w:rsidR="004F5013">
              <w:t xml:space="preserve"> tested by members of the target group (voters with a disability).</w:t>
            </w:r>
            <w:r w:rsidR="004F5013">
              <w:rPr>
                <w:rStyle w:val="FootnoteReference"/>
              </w:rPr>
              <w:t xml:space="preserve"> </w:t>
            </w:r>
            <w:r w:rsidR="004F5013">
              <w:rPr>
                <w:rStyle w:val="FootnoteReference"/>
              </w:rPr>
              <w:footnoteReference w:id="78"/>
            </w:r>
          </w:p>
        </w:tc>
      </w:tr>
      <w:tr w:rsidR="00367DDC" w14:paraId="71887F24" w14:textId="77777777" w:rsidTr="00367DDC">
        <w:trPr>
          <w:cantSplit/>
        </w:trPr>
        <w:tc>
          <w:tcPr>
            <w:tcW w:w="2648" w:type="dxa"/>
            <w:tcBorders>
              <w:top w:val="single" w:sz="4" w:space="0" w:color="A4C4E6"/>
              <w:left w:val="single" w:sz="4" w:space="0" w:color="A4C4E6"/>
              <w:bottom w:val="single" w:sz="4" w:space="0" w:color="A4C4E6"/>
              <w:right w:val="single" w:sz="4" w:space="0" w:color="A4C4E6"/>
            </w:tcBorders>
            <w:hideMark/>
          </w:tcPr>
          <w:p w14:paraId="6475323E" w14:textId="77777777" w:rsidR="00367DDC" w:rsidRDefault="00367DDC">
            <w:r>
              <w:t>Explain, if applicable, how the practice provides for review and assessment</w:t>
            </w:r>
          </w:p>
        </w:tc>
        <w:tc>
          <w:tcPr>
            <w:tcW w:w="5846" w:type="dxa"/>
            <w:tcBorders>
              <w:top w:val="single" w:sz="4" w:space="0" w:color="A4C4E6"/>
              <w:left w:val="single" w:sz="4" w:space="0" w:color="A4C4E6"/>
              <w:bottom w:val="single" w:sz="4" w:space="0" w:color="A4C4E6"/>
              <w:right w:val="single" w:sz="4" w:space="0" w:color="A4C4E6"/>
            </w:tcBorders>
          </w:tcPr>
          <w:p w14:paraId="7F155C72" w14:textId="17C23666" w:rsidR="00367DDC" w:rsidRDefault="00927498">
            <w:r>
              <w:t>Practice is a website</w:t>
            </w:r>
            <w:r w:rsidR="0050191A">
              <w:t>. The numbers of visitors can be monitored.</w:t>
            </w:r>
            <w:r>
              <w:t xml:space="preserve"> </w:t>
            </w:r>
          </w:p>
        </w:tc>
      </w:tr>
    </w:tbl>
    <w:p w14:paraId="1C82807E" w14:textId="77777777" w:rsidR="00367DDC" w:rsidRDefault="00367DDC" w:rsidP="00367DDC">
      <w:pPr>
        <w:pStyle w:val="TableBody"/>
      </w:pPr>
    </w:p>
    <w:p w14:paraId="1CD3753B" w14:textId="77777777" w:rsidR="00470E5F" w:rsidRDefault="00470E5F" w:rsidP="00C468EA"/>
    <w:p w14:paraId="2F3CF770" w14:textId="77777777" w:rsidR="00470E5F" w:rsidRDefault="00470E5F" w:rsidP="00C468EA"/>
    <w:p w14:paraId="3BD0E53C" w14:textId="77777777" w:rsidR="00470E5F" w:rsidRDefault="00470E5F" w:rsidP="00C468EA"/>
    <w:p w14:paraId="3A60EEE8" w14:textId="77777777" w:rsidR="00470E5F" w:rsidRDefault="00470E5F" w:rsidP="00C468EA"/>
    <w:p w14:paraId="029D5237" w14:textId="77777777" w:rsidR="00470E5F" w:rsidRDefault="00470E5F" w:rsidP="00C468EA"/>
    <w:p w14:paraId="706C73B5" w14:textId="77777777" w:rsidR="00470E5F" w:rsidRDefault="00470E5F" w:rsidP="00C468EA"/>
    <w:p w14:paraId="70D9B540" w14:textId="77777777" w:rsidR="00470E5F" w:rsidRDefault="00470E5F" w:rsidP="00C468EA"/>
    <w:p w14:paraId="670F66D3" w14:textId="77777777" w:rsidR="00586AB9" w:rsidRPr="00C468EA" w:rsidRDefault="00586AB9" w:rsidP="004512DA"/>
    <w:sectPr w:rsidR="00586AB9" w:rsidRPr="00C468EA" w:rsidSect="00F3472C">
      <w:footerReference w:type="first" r:id="rId25"/>
      <w:pgSz w:w="11906" w:h="16838" w:code="9"/>
      <w:pgMar w:top="1701" w:right="1701" w:bottom="1134"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FD88E" w14:textId="77777777" w:rsidR="00F3472C" w:rsidRDefault="00F3472C">
      <w:pPr>
        <w:spacing w:after="0" w:line="240" w:lineRule="auto"/>
      </w:pPr>
      <w:r>
        <w:separator/>
      </w:r>
    </w:p>
  </w:endnote>
  <w:endnote w:type="continuationSeparator" w:id="0">
    <w:p w14:paraId="69C87084" w14:textId="77777777" w:rsidR="00F3472C" w:rsidRDefault="00F3472C">
      <w:pPr>
        <w:spacing w:after="0" w:line="240" w:lineRule="auto"/>
      </w:pPr>
      <w:r>
        <w:continuationSeparator/>
      </w:r>
    </w:p>
  </w:endnote>
  <w:endnote w:type="continuationNotice" w:id="1">
    <w:p w14:paraId="6B45B903" w14:textId="77777777" w:rsidR="00F3472C" w:rsidRDefault="00F34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477B7" w14:textId="10EAE5B7" w:rsidR="00610C73" w:rsidRDefault="00054135">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553376"/>
      <w:docPartObj>
        <w:docPartGallery w:val="Page Numbers (Bottom of Page)"/>
        <w:docPartUnique/>
      </w:docPartObj>
    </w:sdtPr>
    <w:sdtEndPr>
      <w:rPr>
        <w:noProof/>
      </w:rPr>
    </w:sdtEndPr>
    <w:sdtContent>
      <w:p w14:paraId="772E6A05" w14:textId="708F9BB1"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39B2FC" w14:textId="0EDC5DB0" w:rsidR="00D70E0C" w:rsidRPr="00F64505" w:rsidRDefault="00D70E0C" w:rsidP="00F6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3E367" w14:textId="1376D0B4" w:rsidR="009E72AE" w:rsidRDefault="009E72AE">
    <w:pPr>
      <w:pStyle w:val="Footer"/>
      <w:jc w:val="right"/>
    </w:pPr>
  </w:p>
  <w:p w14:paraId="254DC3F9" w14:textId="77777777" w:rsidR="00826419" w:rsidRDefault="0082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349747"/>
      <w:docPartObj>
        <w:docPartGallery w:val="Page Numbers (Bottom of Page)"/>
        <w:docPartUnique/>
      </w:docPartObj>
    </w:sdtPr>
    <w:sdtEndPr>
      <w:rPr>
        <w:noProof/>
      </w:rPr>
    </w:sdtEndPr>
    <w:sdtContent>
      <w:p w14:paraId="57039469" w14:textId="73DA0755" w:rsidR="00F64505" w:rsidRDefault="00F645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72BE" w14:textId="77777777" w:rsidR="00881865" w:rsidRDefault="0088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9AB7F" w14:textId="77777777" w:rsidR="00F3472C" w:rsidRDefault="00F3472C">
      <w:pPr>
        <w:spacing w:after="0" w:line="240" w:lineRule="auto"/>
      </w:pPr>
      <w:r>
        <w:separator/>
      </w:r>
    </w:p>
  </w:footnote>
  <w:footnote w:type="continuationSeparator" w:id="0">
    <w:p w14:paraId="5025C2B0" w14:textId="77777777" w:rsidR="00F3472C" w:rsidRDefault="00F3472C">
      <w:pPr>
        <w:spacing w:after="0" w:line="240" w:lineRule="auto"/>
      </w:pPr>
      <w:r>
        <w:continuationSeparator/>
      </w:r>
    </w:p>
  </w:footnote>
  <w:footnote w:type="continuationNotice" w:id="1">
    <w:p w14:paraId="58A2953D" w14:textId="77777777" w:rsidR="00F3472C" w:rsidRDefault="00F3472C">
      <w:pPr>
        <w:spacing w:after="0" w:line="240" w:lineRule="auto"/>
      </w:pPr>
    </w:p>
  </w:footnote>
  <w:footnote w:id="2">
    <w:p w14:paraId="3FC42DC0" w14:textId="61BE93DC" w:rsidR="00E34E36" w:rsidRPr="003C6084" w:rsidRDefault="00E34E36">
      <w:pPr>
        <w:pStyle w:val="FootnoteText"/>
        <w:rPr>
          <w:lang w:val="en-US"/>
        </w:rPr>
      </w:pPr>
      <w:r>
        <w:rPr>
          <w:rStyle w:val="FootnoteReference"/>
        </w:rPr>
        <w:footnoteRef/>
      </w:r>
      <w:r>
        <w:t xml:space="preserve"> </w:t>
      </w:r>
      <w:r w:rsidRPr="001737B3">
        <w:t>The Nethelands, Ministry of Health, Welfare and Sport (</w:t>
      </w:r>
      <w:r w:rsidRPr="001737B3">
        <w:rPr>
          <w:i/>
          <w:iCs/>
        </w:rPr>
        <w:t>Minister</w:t>
      </w:r>
      <w:r w:rsidR="00907DEC" w:rsidRPr="001737B3">
        <w:rPr>
          <w:i/>
          <w:iCs/>
        </w:rPr>
        <w:t>ie</w:t>
      </w:r>
      <w:r w:rsidRPr="001737B3">
        <w:rPr>
          <w:i/>
          <w:iCs/>
        </w:rPr>
        <w:t xml:space="preserve"> van Volksgezondheid, Welzijn en Sport</w:t>
      </w:r>
      <w:r w:rsidRPr="001737B3">
        <w:t>) (20</w:t>
      </w:r>
      <w:r w:rsidR="00907DEC" w:rsidRPr="001737B3">
        <w:t>18</w:t>
      </w:r>
      <w:r w:rsidRPr="001737B3">
        <w:t xml:space="preserve">), </w:t>
      </w:r>
      <w:r w:rsidR="00907DEC" w:rsidRPr="001737B3">
        <w:t xml:space="preserve">Unlimited participation! - Implementation UN Convention on the Rights of Persons with Disabilities. </w:t>
      </w:r>
      <w:r w:rsidR="00907DEC" w:rsidRPr="00907DEC">
        <w:rPr>
          <w:lang w:val="nl-NL"/>
        </w:rPr>
        <w:t>Programme</w:t>
      </w:r>
      <w:r w:rsidR="00907DEC">
        <w:rPr>
          <w:lang w:val="nl-NL"/>
        </w:rPr>
        <w:t xml:space="preserve"> (</w:t>
      </w:r>
      <w:hyperlink r:id="rId1" w:history="1">
        <w:r w:rsidR="00907DEC" w:rsidRPr="00611644">
          <w:rPr>
            <w:rStyle w:val="Hyperlink"/>
            <w:i/>
            <w:iCs/>
            <w:lang w:val="nl-NL"/>
          </w:rPr>
          <w:t xml:space="preserve">Onbeperkt meedoen! – implementatie VN-verdrag inzake de rechten van mensen met een handicap. </w:t>
        </w:r>
        <w:r w:rsidR="00907DEC" w:rsidRPr="003C6084">
          <w:rPr>
            <w:rStyle w:val="Hyperlink"/>
            <w:i/>
            <w:iCs/>
            <w:lang w:val="en-US"/>
          </w:rPr>
          <w:t>Programma)</w:t>
        </w:r>
      </w:hyperlink>
      <w:r w:rsidR="00907DEC" w:rsidRPr="003C6084">
        <w:rPr>
          <w:lang w:val="en-US"/>
        </w:rPr>
        <w:t>.</w:t>
      </w:r>
    </w:p>
  </w:footnote>
  <w:footnote w:id="3">
    <w:p w14:paraId="5F35604E" w14:textId="6297DAD3" w:rsidR="00611644" w:rsidRPr="003C6084" w:rsidRDefault="00611644">
      <w:pPr>
        <w:pStyle w:val="FootnoteText"/>
        <w:rPr>
          <w:lang w:val="en-US"/>
        </w:rPr>
      </w:pPr>
      <w:r>
        <w:rPr>
          <w:rStyle w:val="FootnoteReference"/>
        </w:rPr>
        <w:footnoteRef/>
      </w:r>
      <w:r w:rsidRPr="003C6084">
        <w:rPr>
          <w:lang w:val="en-US"/>
        </w:rPr>
        <w:t xml:space="preserve"> The Netherlands, Minister</w:t>
      </w:r>
      <w:r w:rsidR="00FD1445" w:rsidRPr="003C6084">
        <w:rPr>
          <w:lang w:val="en-US"/>
        </w:rPr>
        <w:t xml:space="preserve"> for Long-term Care and Sport (</w:t>
      </w:r>
      <w:r w:rsidR="00FD1445" w:rsidRPr="003C6084">
        <w:rPr>
          <w:i/>
          <w:iCs/>
          <w:lang w:val="en-US"/>
        </w:rPr>
        <w:t xml:space="preserve">Minister voor </w:t>
      </w:r>
      <w:r w:rsidRPr="003C6084">
        <w:rPr>
          <w:i/>
          <w:iCs/>
          <w:lang w:val="en-US"/>
        </w:rPr>
        <w:t xml:space="preserve"> </w:t>
      </w:r>
      <w:r w:rsidR="00A16A88" w:rsidRPr="003C6084">
        <w:rPr>
          <w:i/>
          <w:iCs/>
          <w:lang w:val="en-US"/>
        </w:rPr>
        <w:t>Langdurige Zorg en Sport</w:t>
      </w:r>
      <w:r w:rsidR="00A16A88" w:rsidRPr="003C6084">
        <w:rPr>
          <w:lang w:val="en-US"/>
        </w:rPr>
        <w:t>) (2022), ‘Follow-up coordinating approach to implementation of UN convention on disability’  (‘</w:t>
      </w:r>
      <w:hyperlink r:id="rId2" w:history="1">
        <w:r w:rsidR="00A16A88" w:rsidRPr="003C6084">
          <w:rPr>
            <w:rStyle w:val="Hyperlink"/>
            <w:lang w:val="en-US"/>
          </w:rPr>
          <w:t>Vervolg coördinerende aanpak implementatie van het VN verdrag handicap</w:t>
        </w:r>
      </w:hyperlink>
      <w:r w:rsidR="00A16A88" w:rsidRPr="003C6084">
        <w:rPr>
          <w:lang w:val="en-US"/>
        </w:rPr>
        <w:t>‘),</w:t>
      </w:r>
      <w:r w:rsidRPr="003C6084">
        <w:rPr>
          <w:lang w:val="en-US"/>
        </w:rPr>
        <w:t xml:space="preserve"> Letter to the House of Representatives (</w:t>
      </w:r>
      <w:r w:rsidRPr="003C6084">
        <w:rPr>
          <w:i/>
          <w:iCs/>
          <w:lang w:val="en-US"/>
        </w:rPr>
        <w:t>Tweede Kamer der Staten-Generaal</w:t>
      </w:r>
      <w:r w:rsidRPr="003C6084">
        <w:rPr>
          <w:lang w:val="en-US"/>
        </w:rPr>
        <w:t>), 2</w:t>
      </w:r>
      <w:r w:rsidR="00A16A88" w:rsidRPr="003C6084">
        <w:rPr>
          <w:lang w:val="en-US"/>
        </w:rPr>
        <w:t>2 April</w:t>
      </w:r>
      <w:r w:rsidRPr="003C6084">
        <w:rPr>
          <w:lang w:val="en-US"/>
        </w:rPr>
        <w:t xml:space="preserve"> 202</w:t>
      </w:r>
      <w:r w:rsidR="00A16A88" w:rsidRPr="003C6084">
        <w:rPr>
          <w:lang w:val="en-US"/>
        </w:rPr>
        <w:t>2</w:t>
      </w:r>
      <w:r w:rsidRPr="003C6084">
        <w:rPr>
          <w:lang w:val="en-US"/>
        </w:rPr>
        <w:t>.</w:t>
      </w:r>
      <w:r w:rsidR="00A16A88" w:rsidRPr="003C6084">
        <w:rPr>
          <w:lang w:val="en-US"/>
        </w:rPr>
        <w:t xml:space="preserve">          </w:t>
      </w:r>
    </w:p>
  </w:footnote>
  <w:footnote w:id="4">
    <w:p w14:paraId="4DE95C7A" w14:textId="315D762A" w:rsidR="00EA6BD8" w:rsidRPr="00EA6BD8" w:rsidRDefault="00EA6BD8">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(2021), Action Programme Accessible Voting (</w:t>
      </w:r>
      <w:hyperlink r:id="rId3" w:history="1">
        <w:r w:rsidRPr="001737B3">
          <w:rPr>
            <w:rStyle w:val="Hyperlink"/>
            <w:i/>
            <w:iCs/>
            <w:lang w:val="nl-NL"/>
          </w:rPr>
          <w:t>Actieplan Toegankelijk Stemmen</w:t>
        </w:r>
      </w:hyperlink>
      <w:r w:rsidRPr="001737B3">
        <w:rPr>
          <w:lang w:val="nl-NL"/>
        </w:rPr>
        <w:t>).</w:t>
      </w:r>
    </w:p>
  </w:footnote>
  <w:footnote w:id="5">
    <w:p w14:paraId="5FF32CE4" w14:textId="232A7ABE" w:rsidR="00636D46" w:rsidRPr="00636D46" w:rsidRDefault="00636D46">
      <w:pPr>
        <w:pStyle w:val="FootnoteText"/>
        <w:rPr>
          <w:lang w:val="nl-NL"/>
        </w:rPr>
      </w:pPr>
      <w:r>
        <w:rPr>
          <w:rStyle w:val="FootnoteReference"/>
        </w:rPr>
        <w:footnoteRef/>
      </w:r>
      <w:r w:rsidRPr="001737B3">
        <w:rPr>
          <w:lang w:val="nl-NL"/>
        </w:rPr>
        <w:t xml:space="preserve"> </w:t>
      </w:r>
      <w:r>
        <w:rPr>
          <w:lang w:val="nl-NL"/>
        </w:rPr>
        <w:t>The Netherlands, Ministry of General Affairs  (</w:t>
      </w:r>
      <w:r w:rsidRPr="00636D46">
        <w:rPr>
          <w:i/>
          <w:iCs/>
          <w:lang w:val="nl-NL"/>
        </w:rPr>
        <w:t>Ministerie van Algemene Zaken</w:t>
      </w:r>
      <w:r>
        <w:rPr>
          <w:lang w:val="nl-NL"/>
        </w:rPr>
        <w:t xml:space="preserve">) (2008), </w:t>
      </w:r>
      <w:r w:rsidRPr="00636D46">
        <w:rPr>
          <w:lang w:val="nl-NL"/>
        </w:rPr>
        <w:t>Act of 27 June 2008 amending the Constitution to repeal the provision on excluding the legally incompetent from the right to vote</w:t>
      </w:r>
      <w:r>
        <w:rPr>
          <w:lang w:val="nl-NL"/>
        </w:rPr>
        <w:t xml:space="preserve"> (</w:t>
      </w:r>
      <w:hyperlink r:id="rId4" w:history="1">
        <w:r w:rsidRPr="00D87484">
          <w:rPr>
            <w:rStyle w:val="Hyperlink"/>
            <w:lang w:val="nl-NL"/>
          </w:rPr>
          <w:t>Wet van 27 juni 2008 tot verandering in de Grondwet, strekkende tot het vervallen van de bepaling over het uitsluiten van wilsonbekwamen van het kiesrecht</w:t>
        </w:r>
      </w:hyperlink>
      <w:r>
        <w:rPr>
          <w:lang w:val="nl-NL"/>
        </w:rPr>
        <w:t>).</w:t>
      </w:r>
    </w:p>
  </w:footnote>
  <w:footnote w:id="6">
    <w:p w14:paraId="5825CFD9" w14:textId="2938D217" w:rsidR="00934F66" w:rsidRPr="001737B3" w:rsidRDefault="00934F66" w:rsidP="00934F66">
      <w:pPr>
        <w:pStyle w:val="FootnoteText"/>
      </w:pPr>
      <w:r>
        <w:rPr>
          <w:rStyle w:val="FootnoteReference"/>
        </w:rPr>
        <w:footnoteRef/>
      </w:r>
      <w:r>
        <w:t xml:space="preserve"> </w:t>
      </w:r>
      <w:r w:rsidRPr="003B22F0">
        <w:t>The Netherlands, Administrative Jurisdiction Division of the Council of State (</w:t>
      </w:r>
      <w:r w:rsidRPr="003B22F0">
        <w:rPr>
          <w:i/>
          <w:iCs/>
        </w:rPr>
        <w:t>Afdeling Bestuursrechtspraak Raad van State)</w:t>
      </w:r>
      <w:r w:rsidRPr="003B22F0">
        <w:t xml:space="preserve"> (2003), </w:t>
      </w:r>
      <w:hyperlink r:id="rId5" w:history="1">
        <w:r w:rsidRPr="00D87484">
          <w:rPr>
            <w:rStyle w:val="Hyperlink"/>
          </w:rPr>
          <w:t>Case no. 200300512/1</w:t>
        </w:r>
      </w:hyperlink>
      <w:r w:rsidRPr="003B22F0">
        <w:t>, 29 October 2003, ECLI:NL:RVS:2003:AM5435.</w:t>
      </w:r>
    </w:p>
  </w:footnote>
  <w:footnote w:id="7">
    <w:p w14:paraId="05D22346" w14:textId="4138F4D2" w:rsidR="00F0664F" w:rsidRPr="00BE6376" w:rsidRDefault="00F0664F" w:rsidP="00F0664F">
      <w:pPr>
        <w:pStyle w:val="FootnoteText"/>
        <w:jc w:val="both"/>
      </w:pPr>
      <w:r w:rsidRPr="00BE6376">
        <w:rPr>
          <w:rStyle w:val="FootnoteReference"/>
        </w:rPr>
        <w:footnoteRef/>
      </w:r>
      <w:r w:rsidRPr="00BE6376">
        <w:t xml:space="preserve"> The Netherlands, Electoral </w:t>
      </w:r>
      <w:r w:rsidR="00CE4CD3">
        <w:t>Act</w:t>
      </w:r>
      <w:r w:rsidRPr="00BE6376">
        <w:t xml:space="preserve">  (</w:t>
      </w:r>
      <w:r w:rsidRPr="00BE6376">
        <w:rPr>
          <w:i/>
        </w:rPr>
        <w:t xml:space="preserve">Kieswet </w:t>
      </w:r>
      <w:r w:rsidRPr="00BE6376">
        <w:t>),</w:t>
      </w:r>
      <w:r w:rsidR="00AA0E78">
        <w:t xml:space="preserve"> </w:t>
      </w:r>
      <w:hyperlink r:id="rId6" w:history="1">
        <w:r w:rsidR="00AA0E78" w:rsidRPr="00AA0E78">
          <w:rPr>
            <w:rStyle w:val="Hyperlink"/>
          </w:rPr>
          <w:t>28 September 1989</w:t>
        </w:r>
      </w:hyperlink>
      <w:r w:rsidR="00AA0E78">
        <w:t>.</w:t>
      </w:r>
    </w:p>
  </w:footnote>
  <w:footnote w:id="8">
    <w:p w14:paraId="699FFA7C" w14:textId="024A9780" w:rsidR="00F0664F" w:rsidRPr="00BE6376" w:rsidRDefault="00F0664F" w:rsidP="00F0664F">
      <w:pPr>
        <w:pStyle w:val="FootnoteText"/>
        <w:jc w:val="both"/>
      </w:pPr>
      <w:r w:rsidRPr="00BE6376">
        <w:rPr>
          <w:rStyle w:val="FootnoteReference"/>
        </w:rPr>
        <w:footnoteRef/>
      </w:r>
      <w:r w:rsidRPr="00BE6376">
        <w:t xml:space="preserve">The Netherlands, </w:t>
      </w:r>
      <w:r w:rsidR="00CE4CD3" w:rsidRPr="00CE4CD3">
        <w:t>Personal Records Database Act (</w:t>
      </w:r>
      <w:r w:rsidR="00CE4CD3" w:rsidRPr="00AA0E78">
        <w:rPr>
          <w:i/>
          <w:iCs/>
        </w:rPr>
        <w:t>Wet basisregistratie personen</w:t>
      </w:r>
      <w:r w:rsidR="00CE4CD3" w:rsidRPr="00CE4CD3">
        <w:t>)</w:t>
      </w:r>
      <w:r w:rsidR="00CE4CD3">
        <w:t xml:space="preserve">, </w:t>
      </w:r>
      <w:hyperlink r:id="rId7" w:history="1">
        <w:r w:rsidR="00AA0E78" w:rsidRPr="00AA0E78">
          <w:rPr>
            <w:rStyle w:val="Hyperlink"/>
          </w:rPr>
          <w:t>3 July 2013</w:t>
        </w:r>
      </w:hyperlink>
      <w:r w:rsidR="00AA0E78">
        <w:t>.</w:t>
      </w:r>
    </w:p>
  </w:footnote>
  <w:footnote w:id="9">
    <w:p w14:paraId="6B0E43AC" w14:textId="77777777" w:rsidR="00F236C4" w:rsidRPr="00BE6376" w:rsidRDefault="00F236C4" w:rsidP="00F236C4">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8" w:history="1">
        <w:r w:rsidRPr="00B37D5F">
          <w:rPr>
            <w:rStyle w:val="Hyperlink"/>
          </w:rPr>
          <w:t xml:space="preserve">Chapter </w:t>
        </w:r>
        <w:r>
          <w:rPr>
            <w:rStyle w:val="Hyperlink"/>
          </w:rPr>
          <w:t>M</w:t>
        </w:r>
        <w:r w:rsidRPr="00B37D5F">
          <w:rPr>
            <w:rStyle w:val="Hyperlink"/>
          </w:rPr>
          <w:t>.</w:t>
        </w:r>
      </w:hyperlink>
    </w:p>
  </w:footnote>
  <w:footnote w:id="10">
    <w:p w14:paraId="1D4701D1" w14:textId="77777777" w:rsidR="00F236C4" w:rsidRPr="00BE6376" w:rsidRDefault="00F236C4" w:rsidP="00F236C4">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9" w:history="1">
        <w:r w:rsidRPr="00B37D5F">
          <w:rPr>
            <w:rStyle w:val="Hyperlink"/>
          </w:rPr>
          <w:t>Chapter L.</w:t>
        </w:r>
      </w:hyperlink>
    </w:p>
  </w:footnote>
  <w:footnote w:id="11">
    <w:p w14:paraId="2B2782AD" w14:textId="50B7812B" w:rsidR="00D4411E" w:rsidRPr="00BE6376" w:rsidRDefault="00D4411E" w:rsidP="00D4411E">
      <w:pPr>
        <w:pStyle w:val="FootnoteText"/>
        <w:jc w:val="both"/>
      </w:pPr>
      <w:r w:rsidRPr="00BE6376">
        <w:rPr>
          <w:rStyle w:val="FootnoteReference"/>
        </w:rPr>
        <w:footnoteRef/>
      </w:r>
      <w:r w:rsidRPr="00BE6376">
        <w:t xml:space="preserve"> The Netherlands, Electoral Code (</w:t>
      </w:r>
      <w:r w:rsidRPr="00BE6376">
        <w:rPr>
          <w:i/>
        </w:rPr>
        <w:t>Kieswet</w:t>
      </w:r>
      <w:r w:rsidR="00901D49">
        <w:rPr>
          <w:i/>
        </w:rPr>
        <w:t>)</w:t>
      </w:r>
      <w:r w:rsidRPr="00BE6376">
        <w:rPr>
          <w:i/>
        </w:rPr>
        <w:t xml:space="preserve"> </w:t>
      </w:r>
      <w:r w:rsidRPr="00BE6376">
        <w:t xml:space="preserve">, </w:t>
      </w:r>
      <w:hyperlink r:id="rId10" w:history="1">
        <w:r w:rsidR="00901D49" w:rsidRPr="00901D49">
          <w:rPr>
            <w:rStyle w:val="Hyperlink"/>
          </w:rPr>
          <w:t>Article L2</w:t>
        </w:r>
      </w:hyperlink>
      <w:r w:rsidR="00901D49">
        <w:t>.</w:t>
      </w:r>
    </w:p>
  </w:footnote>
  <w:footnote w:id="12">
    <w:p w14:paraId="25CCF91F" w14:textId="0D21F3DE" w:rsidR="00D4411E" w:rsidRPr="00BE6376" w:rsidRDefault="00D4411E" w:rsidP="00D4411E">
      <w:pPr>
        <w:pStyle w:val="FootnoteText"/>
        <w:jc w:val="both"/>
      </w:pPr>
      <w:r w:rsidRPr="00BE6376">
        <w:rPr>
          <w:rStyle w:val="FootnoteReference"/>
        </w:rPr>
        <w:footnoteRef/>
      </w:r>
      <w:r w:rsidRPr="00BE6376">
        <w:t xml:space="preserve"> The Netherlands, Electoral </w:t>
      </w:r>
      <w:r w:rsidR="00151393">
        <w:t>Act</w:t>
      </w:r>
      <w:r w:rsidRPr="00BE6376">
        <w:t xml:space="preserve"> (</w:t>
      </w:r>
      <w:r w:rsidRPr="00BE6376">
        <w:rPr>
          <w:i/>
        </w:rPr>
        <w:t>Kieswet</w:t>
      </w:r>
      <w:r w:rsidRPr="00BE6376">
        <w:t xml:space="preserve">), </w:t>
      </w:r>
      <w:hyperlink r:id="rId11" w:history="1">
        <w:r w:rsidR="00901D49" w:rsidRPr="00901D49">
          <w:rPr>
            <w:rStyle w:val="Hyperlink"/>
          </w:rPr>
          <w:t>A</w:t>
        </w:r>
        <w:r w:rsidRPr="00901D49">
          <w:rPr>
            <w:rStyle w:val="Hyperlink"/>
          </w:rPr>
          <w:t>rticle L1</w:t>
        </w:r>
      </w:hyperlink>
      <w:r w:rsidR="00901D49">
        <w:t xml:space="preserve">. </w:t>
      </w:r>
    </w:p>
  </w:footnote>
  <w:footnote w:id="13">
    <w:p w14:paraId="437DDEAC" w14:textId="38E4073D" w:rsidR="00D4411E" w:rsidRPr="00BE6376" w:rsidRDefault="00D4411E" w:rsidP="00D4411E">
      <w:pPr>
        <w:pStyle w:val="FootnoteText"/>
        <w:jc w:val="both"/>
      </w:pPr>
      <w:r w:rsidRPr="00BE6376">
        <w:rPr>
          <w:rStyle w:val="FootnoteReference"/>
        </w:rPr>
        <w:footnoteRef/>
      </w:r>
      <w:r w:rsidRPr="00BE6376">
        <w:t xml:space="preserve"> The Netherlands, Electoral </w:t>
      </w:r>
      <w:r w:rsidR="00151393">
        <w:t>Act</w:t>
      </w:r>
      <w:r w:rsidRPr="00BE6376">
        <w:t xml:space="preserve"> (</w:t>
      </w:r>
      <w:r w:rsidRPr="00BE6376">
        <w:rPr>
          <w:i/>
        </w:rPr>
        <w:t>Kieswet</w:t>
      </w:r>
      <w:r w:rsidRPr="00BE6376">
        <w:t xml:space="preserve">), </w:t>
      </w:r>
      <w:hyperlink r:id="rId12" w:history="1">
        <w:r w:rsidR="00901D49" w:rsidRPr="00901D49">
          <w:rPr>
            <w:rStyle w:val="Hyperlink"/>
          </w:rPr>
          <w:t>A</w:t>
        </w:r>
        <w:r w:rsidRPr="00901D49">
          <w:rPr>
            <w:rStyle w:val="Hyperlink"/>
          </w:rPr>
          <w:t>rticle L7</w:t>
        </w:r>
      </w:hyperlink>
      <w:r w:rsidR="00901D49">
        <w:t>.</w:t>
      </w:r>
    </w:p>
  </w:footnote>
  <w:footnote w:id="14">
    <w:p w14:paraId="4ED4401B" w14:textId="149B176B" w:rsidR="00D4411E" w:rsidRPr="00BE6376" w:rsidRDefault="00D4411E" w:rsidP="00D4411E">
      <w:pPr>
        <w:pStyle w:val="FootnoteText"/>
        <w:jc w:val="both"/>
      </w:pPr>
      <w:r w:rsidRPr="00BE6376">
        <w:rPr>
          <w:rStyle w:val="FootnoteReference"/>
        </w:rPr>
        <w:footnoteRef/>
      </w:r>
      <w:r w:rsidRPr="00BE6376">
        <w:t xml:space="preserve"> The Netherlands, Electoral </w:t>
      </w:r>
      <w:r w:rsidR="00901D49">
        <w:t>Act</w:t>
      </w:r>
      <w:r w:rsidRPr="00BE6376">
        <w:t xml:space="preserve"> (</w:t>
      </w:r>
      <w:r w:rsidRPr="00BE6376">
        <w:rPr>
          <w:i/>
        </w:rPr>
        <w:t>Kieswet</w:t>
      </w:r>
      <w:r w:rsidRPr="00BE6376">
        <w:t xml:space="preserve">), </w:t>
      </w:r>
      <w:hyperlink r:id="rId13" w:history="1">
        <w:r w:rsidR="00901D49" w:rsidRPr="00901D49">
          <w:rPr>
            <w:rStyle w:val="Hyperlink"/>
          </w:rPr>
          <w:t>A</w:t>
        </w:r>
        <w:r w:rsidRPr="00901D49">
          <w:rPr>
            <w:rStyle w:val="Hyperlink"/>
          </w:rPr>
          <w:t>rticle L15</w:t>
        </w:r>
      </w:hyperlink>
      <w:r w:rsidR="00901D49">
        <w:t>.</w:t>
      </w:r>
    </w:p>
  </w:footnote>
  <w:footnote w:id="15">
    <w:p w14:paraId="0CA62F17" w14:textId="3B263767" w:rsidR="004A21D9" w:rsidRPr="00BE6376" w:rsidRDefault="004A21D9" w:rsidP="004A21D9">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14" w:history="1">
        <w:r w:rsidR="004569B5" w:rsidRPr="004569B5">
          <w:rPr>
            <w:rStyle w:val="Hyperlink"/>
          </w:rPr>
          <w:t>Article J</w:t>
        </w:r>
        <w:r w:rsidR="005E7E37">
          <w:rPr>
            <w:rStyle w:val="Hyperlink"/>
          </w:rPr>
          <w:t xml:space="preserve"> </w:t>
        </w:r>
        <w:r w:rsidR="004569B5" w:rsidRPr="004569B5">
          <w:rPr>
            <w:rStyle w:val="Hyperlink"/>
          </w:rPr>
          <w:t>28</w:t>
        </w:r>
      </w:hyperlink>
      <w:r w:rsidR="004569B5">
        <w:t>.</w:t>
      </w:r>
    </w:p>
  </w:footnote>
  <w:footnote w:id="16">
    <w:p w14:paraId="45FC4409" w14:textId="18C6EACA" w:rsidR="004569B5" w:rsidRPr="00BE6376" w:rsidRDefault="004569B5" w:rsidP="004569B5">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15" w:history="1">
        <w:r w:rsidR="00B37D5F" w:rsidRPr="00B37D5F">
          <w:rPr>
            <w:rStyle w:val="Hyperlink"/>
          </w:rPr>
          <w:t xml:space="preserve">Chapter </w:t>
        </w:r>
        <w:r w:rsidR="00B37D5F">
          <w:rPr>
            <w:rStyle w:val="Hyperlink"/>
          </w:rPr>
          <w:t>M</w:t>
        </w:r>
        <w:r w:rsidR="00B37D5F" w:rsidRPr="00B37D5F">
          <w:rPr>
            <w:rStyle w:val="Hyperlink"/>
          </w:rPr>
          <w:t>.</w:t>
        </w:r>
      </w:hyperlink>
    </w:p>
  </w:footnote>
  <w:footnote w:id="17">
    <w:p w14:paraId="0D83C171" w14:textId="72D2874A" w:rsidR="00B37D5F" w:rsidRPr="00BE6376" w:rsidRDefault="00B37D5F" w:rsidP="00B37D5F">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16" w:history="1">
        <w:r w:rsidRPr="00B37D5F">
          <w:rPr>
            <w:rStyle w:val="Hyperlink"/>
          </w:rPr>
          <w:t>Chapter L.</w:t>
        </w:r>
      </w:hyperlink>
    </w:p>
  </w:footnote>
  <w:footnote w:id="18">
    <w:p w14:paraId="0207378E" w14:textId="71C7D80D" w:rsidR="00ED21F1" w:rsidRPr="00BE6376" w:rsidRDefault="00ED21F1" w:rsidP="00ED21F1">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17" w:history="1">
        <w:r w:rsidRPr="006264CB">
          <w:rPr>
            <w:rStyle w:val="Hyperlink"/>
          </w:rPr>
          <w:t>Article</w:t>
        </w:r>
        <w:r w:rsidR="006264CB" w:rsidRPr="006264CB">
          <w:rPr>
            <w:rStyle w:val="Hyperlink"/>
          </w:rPr>
          <w:t xml:space="preserve"> J 35</w:t>
        </w:r>
      </w:hyperlink>
      <w:r>
        <w:t>.</w:t>
      </w:r>
    </w:p>
  </w:footnote>
  <w:footnote w:id="19">
    <w:p w14:paraId="4AAED191" w14:textId="3074AF19" w:rsidR="005E7E37" w:rsidRPr="00BE6376" w:rsidRDefault="005E7E37" w:rsidP="005E7E37">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18" w:history="1">
        <w:r w:rsidRPr="005E7E37">
          <w:rPr>
            <w:rStyle w:val="Hyperlink"/>
          </w:rPr>
          <w:t>Article P 1b</w:t>
        </w:r>
      </w:hyperlink>
      <w:r>
        <w:t>.</w:t>
      </w:r>
    </w:p>
  </w:footnote>
  <w:footnote w:id="20">
    <w:p w14:paraId="3991F461" w14:textId="52A6ABF3" w:rsidR="003A442C" w:rsidRPr="001737B3" w:rsidRDefault="003A442C">
      <w:pPr>
        <w:pStyle w:val="FootnoteText"/>
      </w:pPr>
      <w:r>
        <w:rPr>
          <w:rStyle w:val="FootnoteReference"/>
        </w:rPr>
        <w:footnoteRef/>
      </w:r>
      <w:r>
        <w:t xml:space="preserve"> </w:t>
      </w:r>
      <w:r w:rsidRPr="001737B3">
        <w:t xml:space="preserve">The Netherlands, </w:t>
      </w:r>
      <w:r w:rsidRPr="00EC5D13">
        <w:rPr>
          <w:rFonts w:ascii="Verdana" w:eastAsia="Calibri" w:hAnsi="Verdana"/>
          <w:sz w:val="20"/>
        </w:rPr>
        <w:t>Electoral Council (</w:t>
      </w:r>
      <w:r w:rsidRPr="00EC5D13">
        <w:rPr>
          <w:rFonts w:ascii="Verdana" w:eastAsia="Calibri" w:hAnsi="Verdana"/>
          <w:i/>
          <w:iCs/>
          <w:sz w:val="20"/>
        </w:rPr>
        <w:t>Kiesraa</w:t>
      </w:r>
      <w:r w:rsidR="00172E70" w:rsidRPr="00EC5D13">
        <w:rPr>
          <w:rFonts w:ascii="Verdana" w:eastAsia="Calibri" w:hAnsi="Verdana"/>
          <w:i/>
          <w:iCs/>
          <w:sz w:val="20"/>
        </w:rPr>
        <w:t>d</w:t>
      </w:r>
      <w:r w:rsidRPr="00EC5D13">
        <w:rPr>
          <w:rFonts w:ascii="Verdana" w:eastAsia="Calibri" w:hAnsi="Verdana"/>
          <w:i/>
          <w:iCs/>
          <w:sz w:val="20"/>
        </w:rPr>
        <w:t>)</w:t>
      </w:r>
      <w:r w:rsidR="006264CB">
        <w:rPr>
          <w:rFonts w:ascii="Verdana" w:eastAsia="Calibri" w:hAnsi="Verdana"/>
          <w:i/>
          <w:iCs/>
          <w:sz w:val="20"/>
        </w:rPr>
        <w:t xml:space="preserve"> </w:t>
      </w:r>
      <w:r w:rsidR="006264CB" w:rsidRPr="006A3E01">
        <w:t>(202</w:t>
      </w:r>
      <w:r w:rsidR="006264CB">
        <w:t>3</w:t>
      </w:r>
      <w:r w:rsidR="006264CB" w:rsidRPr="006A3E01">
        <w:t>),</w:t>
      </w:r>
      <w:r w:rsidR="00172E70" w:rsidRPr="00EC5D13">
        <w:rPr>
          <w:i/>
          <w:iCs/>
        </w:rPr>
        <w:t xml:space="preserve"> </w:t>
      </w:r>
      <w:r w:rsidR="00172E70" w:rsidRPr="00172E70">
        <w:rPr>
          <w:rFonts w:ascii="Verdana" w:eastAsia="Calibri" w:hAnsi="Verdana"/>
          <w:sz w:val="20"/>
        </w:rPr>
        <w:t>Electoral Council Complaints Procedure</w:t>
      </w:r>
      <w:r w:rsidR="00172E70">
        <w:rPr>
          <w:rFonts w:ascii="Verdana" w:eastAsia="Calibri" w:hAnsi="Verdana"/>
          <w:sz w:val="20"/>
        </w:rPr>
        <w:t xml:space="preserve"> (</w:t>
      </w:r>
      <w:hyperlink r:id="rId19" w:history="1">
        <w:r w:rsidR="00172E70" w:rsidRPr="00172E70">
          <w:rPr>
            <w:rStyle w:val="Hyperlink"/>
            <w:rFonts w:ascii="Verdana" w:eastAsia="Calibri" w:hAnsi="Verdana"/>
            <w:i/>
            <w:iCs/>
            <w:sz w:val="20"/>
          </w:rPr>
          <w:t>Klachtenregeling Kiesraad).</w:t>
        </w:r>
      </w:hyperlink>
    </w:p>
  </w:footnote>
  <w:footnote w:id="21">
    <w:p w14:paraId="62238AB2" w14:textId="3DEAA437" w:rsidR="00FA2D0A" w:rsidRPr="001737B3" w:rsidRDefault="00FA2D0A" w:rsidP="00FA2D0A">
      <w:pPr>
        <w:pStyle w:val="FootnoteText"/>
      </w:pPr>
      <w:r>
        <w:rPr>
          <w:rStyle w:val="FootnoteReference"/>
        </w:rPr>
        <w:footnoteRef/>
      </w:r>
      <w:r>
        <w:t xml:space="preserve"> </w:t>
      </w:r>
      <w:r w:rsidRPr="001737B3">
        <w:t xml:space="preserve">The Netherlands, </w:t>
      </w:r>
      <w:r w:rsidRPr="00EC5D13">
        <w:rPr>
          <w:rFonts w:ascii="Verdana" w:eastAsia="Calibri" w:hAnsi="Verdana"/>
          <w:sz w:val="20"/>
        </w:rPr>
        <w:t>Electoral Council (</w:t>
      </w:r>
      <w:r w:rsidRPr="00EC5D13">
        <w:rPr>
          <w:rFonts w:ascii="Verdana" w:eastAsia="Calibri" w:hAnsi="Verdana"/>
          <w:i/>
          <w:iCs/>
          <w:sz w:val="20"/>
        </w:rPr>
        <w:t>Kiesraad)</w:t>
      </w:r>
      <w:r>
        <w:rPr>
          <w:rFonts w:ascii="Verdana" w:eastAsia="Calibri" w:hAnsi="Verdana"/>
          <w:i/>
          <w:iCs/>
          <w:sz w:val="20"/>
        </w:rPr>
        <w:t xml:space="preserve"> </w:t>
      </w:r>
      <w:r w:rsidRPr="006A3E01">
        <w:t>(202</w:t>
      </w:r>
      <w:r>
        <w:t>3</w:t>
      </w:r>
      <w:r w:rsidRPr="006A3E01">
        <w:t>)</w:t>
      </w:r>
      <w:r w:rsidRPr="00EC5D13">
        <w:rPr>
          <w:rFonts w:ascii="Verdana" w:eastAsia="Calibri" w:hAnsi="Verdana"/>
          <w:i/>
          <w:iCs/>
          <w:sz w:val="20"/>
        </w:rPr>
        <w:t>,</w:t>
      </w:r>
      <w:r w:rsidRPr="00EC5D13">
        <w:rPr>
          <w:i/>
          <w:iCs/>
        </w:rPr>
        <w:t xml:space="preserve"> </w:t>
      </w:r>
      <w:r>
        <w:rPr>
          <w:i/>
          <w:iCs/>
        </w:rPr>
        <w:t>‘</w:t>
      </w:r>
      <w:r w:rsidRPr="00172E70">
        <w:rPr>
          <w:rFonts w:ascii="Verdana" w:eastAsia="Calibri" w:hAnsi="Verdana"/>
          <w:sz w:val="20"/>
        </w:rPr>
        <w:t>Complaints Procedure</w:t>
      </w:r>
      <w:r>
        <w:rPr>
          <w:rFonts w:ascii="Verdana" w:eastAsia="Calibri" w:hAnsi="Verdana"/>
          <w:sz w:val="20"/>
        </w:rPr>
        <w:t>’ (‘</w:t>
      </w:r>
      <w:hyperlink r:id="rId20" w:history="1">
        <w:r w:rsidRPr="00B55B50">
          <w:rPr>
            <w:rStyle w:val="Hyperlink"/>
            <w:rFonts w:ascii="Verdana" w:eastAsia="Calibri" w:hAnsi="Verdana"/>
            <w:i/>
            <w:iCs/>
            <w:sz w:val="20"/>
          </w:rPr>
          <w:t>Klachtenregeling</w:t>
        </w:r>
      </w:hyperlink>
      <w:r w:rsidRPr="00B55B50">
        <w:rPr>
          <w:rFonts w:ascii="Verdana" w:eastAsia="Calibri" w:hAnsi="Verdana"/>
          <w:i/>
          <w:iCs/>
          <w:sz w:val="20"/>
        </w:rPr>
        <w:t>’)</w:t>
      </w:r>
      <w:r w:rsidR="00B55B50">
        <w:rPr>
          <w:rFonts w:ascii="Verdana" w:eastAsia="Calibri" w:hAnsi="Verdana"/>
          <w:i/>
          <w:iCs/>
          <w:sz w:val="20"/>
        </w:rPr>
        <w:t xml:space="preserve">, </w:t>
      </w:r>
      <w:r w:rsidR="00B55B50" w:rsidRPr="00B55B50">
        <w:rPr>
          <w:rFonts w:ascii="Verdana" w:eastAsia="Calibri" w:hAnsi="Verdana"/>
          <w:sz w:val="20"/>
        </w:rPr>
        <w:t>Webpage</w:t>
      </w:r>
      <w:r w:rsidRPr="00B55B50">
        <w:rPr>
          <w:rFonts w:ascii="Verdana" w:eastAsia="Calibri" w:hAnsi="Verdana"/>
          <w:i/>
          <w:iCs/>
          <w:sz w:val="20"/>
        </w:rPr>
        <w:t>.</w:t>
      </w:r>
    </w:p>
  </w:footnote>
  <w:footnote w:id="22">
    <w:p w14:paraId="6768ACA6" w14:textId="4CFBBB0A" w:rsidR="00CC6006" w:rsidRPr="001737B3" w:rsidRDefault="00CC6006" w:rsidP="00CC6006">
      <w:pPr>
        <w:pStyle w:val="FootnoteText"/>
      </w:pPr>
      <w:r>
        <w:rPr>
          <w:rStyle w:val="FootnoteReference"/>
        </w:rPr>
        <w:footnoteRef/>
      </w:r>
      <w:r>
        <w:t xml:space="preserve"> </w:t>
      </w:r>
      <w:r w:rsidRPr="006A3E01">
        <w:t xml:space="preserve">The Netherlands, Cardan Technobility (2022), </w:t>
      </w:r>
      <w:r w:rsidRPr="0009632C">
        <w:t>WCAG 2.1 inspection level AA www.kiesraad.nl. Content</w:t>
      </w:r>
      <w:r w:rsidRPr="0009632C">
        <w:rPr>
          <w:u w:val="single"/>
        </w:rPr>
        <w:t xml:space="preserve"> </w:t>
      </w:r>
      <w:r w:rsidRPr="0009632C">
        <w:t xml:space="preserve">study  </w:t>
      </w:r>
      <w:r w:rsidRPr="0009632C">
        <w:rPr>
          <w:u w:val="single"/>
        </w:rPr>
        <w:t xml:space="preserve">     </w:t>
      </w:r>
      <w:r w:rsidRPr="0009632C">
        <w:rPr>
          <w:i/>
          <w:iCs/>
          <w:u w:val="single"/>
        </w:rPr>
        <w:t xml:space="preserve">                                                                            </w:t>
      </w:r>
      <w:r w:rsidRPr="007445AD">
        <w:rPr>
          <w:i/>
          <w:iCs/>
          <w:u w:val="single"/>
        </w:rPr>
        <w:t>(</w:t>
      </w:r>
      <w:hyperlink w:history="1">
        <w:r w:rsidR="00B55B50" w:rsidRPr="00495050">
          <w:rPr>
            <w:rStyle w:val="Hyperlink"/>
            <w:i/>
            <w:iCs/>
          </w:rPr>
          <w:t>WCAG 2.1 Inspectie niveau AA www.kiesraad. Deelonderzoek content</w:t>
        </w:r>
      </w:hyperlink>
      <w:r w:rsidRPr="0036759F">
        <w:rPr>
          <w:i/>
          <w:iCs/>
        </w:rPr>
        <w:t>)</w:t>
      </w:r>
      <w:r w:rsidRPr="006A3E01">
        <w:t>.</w:t>
      </w:r>
    </w:p>
  </w:footnote>
  <w:footnote w:id="23">
    <w:p w14:paraId="3DB5051F" w14:textId="45DB1D02" w:rsidR="00075A38" w:rsidRPr="001737B3" w:rsidRDefault="00075A38">
      <w:pPr>
        <w:pStyle w:val="FootnoteText"/>
      </w:pPr>
      <w:r w:rsidRPr="00075A38">
        <w:rPr>
          <w:rStyle w:val="FootnoteReference"/>
        </w:rPr>
        <w:footnoteRef/>
      </w:r>
      <w:r w:rsidRPr="00075A38">
        <w:t xml:space="preserve"> </w:t>
      </w:r>
      <w:r w:rsidRPr="001737B3">
        <w:t xml:space="preserve">The Netherlands, </w:t>
      </w:r>
      <w:r w:rsidRPr="00075A38">
        <w:t xml:space="preserve"> Council for the Judiciary </w:t>
      </w:r>
      <w:r w:rsidRPr="009C358F">
        <w:t>(</w:t>
      </w:r>
      <w:r w:rsidRPr="00075A38">
        <w:rPr>
          <w:i/>
          <w:iCs/>
        </w:rPr>
        <w:t>Raad voor de rechtspraak</w:t>
      </w:r>
      <w:r w:rsidRPr="00075A38">
        <w:t>)</w:t>
      </w:r>
      <w:r>
        <w:t xml:space="preserve">  </w:t>
      </w:r>
      <w:r w:rsidR="0091650B" w:rsidRPr="0091650B">
        <w:t>(2023), 'To search rulings' (</w:t>
      </w:r>
      <w:hyperlink r:id="rId21" w:anchor="!/" w:history="1">
        <w:r w:rsidR="0091650B" w:rsidRPr="0091650B">
          <w:rPr>
            <w:rStyle w:val="Hyperlink"/>
          </w:rPr>
          <w:t>'Zoeken op uitspraken'</w:t>
        </w:r>
      </w:hyperlink>
      <w:r w:rsidR="0091650B" w:rsidRPr="0091650B">
        <w:t>), Webpage.</w:t>
      </w:r>
    </w:p>
  </w:footnote>
  <w:footnote w:id="24">
    <w:p w14:paraId="11A8A60F" w14:textId="274B0188" w:rsidR="003B22F0" w:rsidRPr="001737B3" w:rsidRDefault="003B22F0">
      <w:pPr>
        <w:pStyle w:val="FootnoteText"/>
      </w:pPr>
      <w:r>
        <w:rPr>
          <w:rStyle w:val="FootnoteReference"/>
        </w:rPr>
        <w:footnoteRef/>
      </w:r>
      <w:r>
        <w:t xml:space="preserve"> </w:t>
      </w:r>
      <w:r w:rsidRPr="003B22F0">
        <w:t>The Netherlands, Administrative Jurisdiction Division of the Council of State (</w:t>
      </w:r>
      <w:r w:rsidRPr="003B22F0">
        <w:rPr>
          <w:i/>
          <w:iCs/>
        </w:rPr>
        <w:t>Afdeling Bestuursrechtspraak Raad van State)</w:t>
      </w:r>
      <w:r w:rsidRPr="003B22F0">
        <w:t xml:space="preserve"> (2003), </w:t>
      </w:r>
      <w:hyperlink r:id="rId22" w:history="1">
        <w:r w:rsidRPr="00FD3ABD">
          <w:rPr>
            <w:rStyle w:val="Hyperlink"/>
          </w:rPr>
          <w:t>Case no. 200300512/1</w:t>
        </w:r>
      </w:hyperlink>
      <w:r w:rsidRPr="003B22F0">
        <w:t>, 29 October 2003, ECLI:NL:RVS:2003:AM5435.</w:t>
      </w:r>
    </w:p>
  </w:footnote>
  <w:footnote w:id="25">
    <w:p w14:paraId="10BBD7DB" w14:textId="77777777" w:rsidR="00FD3ABD" w:rsidRPr="00636D46" w:rsidRDefault="00FD3ABD" w:rsidP="00FD3ABD">
      <w:pPr>
        <w:pStyle w:val="FootnoteText"/>
        <w:rPr>
          <w:lang w:val="nl-NL"/>
        </w:rPr>
      </w:pPr>
      <w:r>
        <w:rPr>
          <w:rStyle w:val="FootnoteReference"/>
        </w:rPr>
        <w:footnoteRef/>
      </w:r>
      <w:r w:rsidRPr="001737B3">
        <w:rPr>
          <w:lang w:val="nl-NL"/>
        </w:rPr>
        <w:t xml:space="preserve"> </w:t>
      </w:r>
      <w:r>
        <w:rPr>
          <w:lang w:val="nl-NL"/>
        </w:rPr>
        <w:t>The Netherlands, Ministry of General Affairs  (</w:t>
      </w:r>
      <w:r w:rsidRPr="00636D46">
        <w:rPr>
          <w:i/>
          <w:iCs/>
          <w:lang w:val="nl-NL"/>
        </w:rPr>
        <w:t>Ministerie van Algemene Zaken</w:t>
      </w:r>
      <w:r>
        <w:rPr>
          <w:lang w:val="nl-NL"/>
        </w:rPr>
        <w:t xml:space="preserve">) (2008), </w:t>
      </w:r>
      <w:r w:rsidRPr="00636D46">
        <w:rPr>
          <w:lang w:val="nl-NL"/>
        </w:rPr>
        <w:t>Act of 27 June 2008 amending the Constitution to repeal the provision on excluding the legally incompetent from the right to vote</w:t>
      </w:r>
      <w:r>
        <w:rPr>
          <w:lang w:val="nl-NL"/>
        </w:rPr>
        <w:t xml:space="preserve"> (</w:t>
      </w:r>
      <w:hyperlink r:id="rId23" w:history="1">
        <w:r w:rsidRPr="00566B05">
          <w:rPr>
            <w:rStyle w:val="Hyperlink"/>
            <w:i/>
            <w:iCs/>
            <w:lang w:val="nl-NL"/>
          </w:rPr>
          <w:t>Wet van 27 juni 2008 tot verandering in de Grondwet, strekkende tot het vervallen van de bepaling over het uitsluiten van wilsonbekwamen van het kiesrecht</w:t>
        </w:r>
      </w:hyperlink>
      <w:r>
        <w:rPr>
          <w:lang w:val="nl-NL"/>
        </w:rPr>
        <w:t>).</w:t>
      </w:r>
    </w:p>
  </w:footnote>
  <w:footnote w:id="26">
    <w:p w14:paraId="11D25B5A" w14:textId="4FA5ACE1" w:rsidR="00802831" w:rsidRPr="00802831" w:rsidRDefault="00802831">
      <w:pPr>
        <w:pStyle w:val="FootnoteText"/>
        <w:rPr>
          <w:lang w:val="nl-NL"/>
        </w:rPr>
      </w:pPr>
      <w:r>
        <w:rPr>
          <w:rStyle w:val="FootnoteReference"/>
        </w:rPr>
        <w:footnoteRef/>
      </w:r>
      <w:r w:rsidRPr="001737B3">
        <w:rPr>
          <w:lang w:val="nl-NL"/>
        </w:rPr>
        <w:t xml:space="preserve"> </w:t>
      </w:r>
      <w:r>
        <w:rPr>
          <w:lang w:val="nl-NL"/>
        </w:rPr>
        <w:t>The Netherlands, House of Representatives (</w:t>
      </w:r>
      <w:r w:rsidRPr="00802831">
        <w:rPr>
          <w:i/>
          <w:iCs/>
          <w:lang w:val="nl-NL"/>
        </w:rPr>
        <w:t>Tweede Kamer</w:t>
      </w:r>
      <w:r>
        <w:rPr>
          <w:lang w:val="nl-NL"/>
        </w:rPr>
        <w:t>) (2023),’All member</w:t>
      </w:r>
      <w:r w:rsidR="009C396B">
        <w:rPr>
          <w:lang w:val="nl-NL"/>
        </w:rPr>
        <w:t>s</w:t>
      </w:r>
      <w:r>
        <w:rPr>
          <w:lang w:val="nl-NL"/>
        </w:rPr>
        <w:t>’, (‘</w:t>
      </w:r>
      <w:hyperlink r:id="rId24" w:history="1">
        <w:r w:rsidRPr="00802831">
          <w:rPr>
            <w:rStyle w:val="Hyperlink"/>
            <w:lang w:val="nl-NL"/>
          </w:rPr>
          <w:t>Alle kamerleden’</w:t>
        </w:r>
      </w:hyperlink>
      <w:r>
        <w:rPr>
          <w:lang w:val="nl-NL"/>
        </w:rPr>
        <w:t>)</w:t>
      </w:r>
      <w:r w:rsidR="009C396B">
        <w:rPr>
          <w:lang w:val="nl-NL"/>
        </w:rPr>
        <w:t>, Webpage</w:t>
      </w:r>
      <w:r>
        <w:rPr>
          <w:lang w:val="nl-NL"/>
        </w:rPr>
        <w:t xml:space="preserve">. </w:t>
      </w:r>
    </w:p>
  </w:footnote>
  <w:footnote w:id="27">
    <w:p w14:paraId="54D8CE63" w14:textId="1105B072" w:rsidR="009C396B" w:rsidRPr="00802831" w:rsidRDefault="009C396B" w:rsidP="009C396B">
      <w:pPr>
        <w:pStyle w:val="FootnoteText"/>
        <w:rPr>
          <w:lang w:val="nl-NL"/>
        </w:rPr>
      </w:pPr>
      <w:r>
        <w:rPr>
          <w:rStyle w:val="FootnoteReference"/>
        </w:rPr>
        <w:footnoteRef/>
      </w:r>
      <w:r w:rsidRPr="001737B3">
        <w:rPr>
          <w:lang w:val="nl-NL"/>
        </w:rPr>
        <w:t xml:space="preserve"> </w:t>
      </w:r>
      <w:r>
        <w:rPr>
          <w:lang w:val="nl-NL"/>
        </w:rPr>
        <w:t>The Netherlands, Senate (</w:t>
      </w:r>
      <w:r>
        <w:rPr>
          <w:i/>
          <w:iCs/>
          <w:lang w:val="nl-NL"/>
        </w:rPr>
        <w:t>Eerste</w:t>
      </w:r>
      <w:r w:rsidRPr="00802831">
        <w:rPr>
          <w:i/>
          <w:iCs/>
          <w:lang w:val="nl-NL"/>
        </w:rPr>
        <w:t xml:space="preserve"> Kamer</w:t>
      </w:r>
      <w:r>
        <w:rPr>
          <w:lang w:val="nl-NL"/>
        </w:rPr>
        <w:t>) (2023),’All members’, (‘</w:t>
      </w:r>
      <w:r w:rsidR="0055530E">
        <w:fldChar w:fldCharType="begin"/>
      </w:r>
      <w:r w:rsidR="0055530E" w:rsidRPr="0055530E">
        <w:rPr>
          <w:lang w:val="de-DE"/>
        </w:rPr>
        <w:instrText>HYPERLINK "https://www.eerstekamer.nl/alle_leden?sorteer=naam&amp;modus=aflopend"</w:instrText>
      </w:r>
      <w:r w:rsidR="0055530E">
        <w:fldChar w:fldCharType="separate"/>
      </w:r>
      <w:r w:rsidRPr="009C396B">
        <w:rPr>
          <w:rStyle w:val="Hyperlink"/>
          <w:lang w:val="nl-NL"/>
        </w:rPr>
        <w:t>Alle leden’</w:t>
      </w:r>
      <w:r w:rsidR="0055530E">
        <w:rPr>
          <w:rStyle w:val="Hyperlink"/>
          <w:lang w:val="nl-NL"/>
        </w:rPr>
        <w:fldChar w:fldCharType="end"/>
      </w:r>
      <w:r>
        <w:rPr>
          <w:lang w:val="nl-NL"/>
        </w:rPr>
        <w:t xml:space="preserve">), Webpage. </w:t>
      </w:r>
    </w:p>
  </w:footnote>
  <w:footnote w:id="28">
    <w:p w14:paraId="7CDAD227" w14:textId="4F062A94" w:rsidR="00BF76D3" w:rsidRPr="00BF76D3" w:rsidRDefault="00BF76D3" w:rsidP="00BB5AD0">
      <w:pPr>
        <w:pStyle w:val="FootnoteText"/>
        <w:rPr>
          <w:lang w:val="nl-NL"/>
        </w:rPr>
      </w:pPr>
      <w:r>
        <w:rPr>
          <w:rStyle w:val="FootnoteReference"/>
        </w:rPr>
        <w:footnoteRef/>
      </w:r>
      <w:r>
        <w:t xml:space="preserve"> </w:t>
      </w:r>
      <w:r w:rsidRPr="001737B3">
        <w:t>The Netherlands, Ministry of the Interior and Kingdom Relations (</w:t>
      </w:r>
      <w:r w:rsidRPr="001737B3">
        <w:rPr>
          <w:i/>
          <w:iCs/>
        </w:rPr>
        <w:t>Ministerie van Binnenlandse Zaken en Koninkrijksrelaties)</w:t>
      </w:r>
      <w:r w:rsidRPr="001737B3">
        <w:t xml:space="preserve"> </w:t>
      </w:r>
      <w:r w:rsidR="00BB5AD0" w:rsidRPr="001737B3">
        <w:t>(2019), In the limitation the master shows himself . . : Findings of an inventory study into politicians with a structural functional disability, (</w:t>
      </w:r>
      <w:hyperlink r:id="rId25" w:history="1">
        <w:r w:rsidR="00BB5AD0" w:rsidRPr="001737B3">
          <w:rPr>
            <w:rStyle w:val="Hyperlink"/>
            <w:i/>
            <w:iCs/>
          </w:rPr>
          <w:t xml:space="preserve">In de beperking toont zich de meester.... </w:t>
        </w:r>
        <w:r w:rsidR="00BB5AD0" w:rsidRPr="00BB5AD0">
          <w:rPr>
            <w:rStyle w:val="Hyperlink"/>
            <w:i/>
            <w:iCs/>
            <w:lang w:val="nl-NL"/>
          </w:rPr>
          <w:t>Bevindingen van een inventariserend onderzoek naar politici met een structurele functionele beperking</w:t>
        </w:r>
      </w:hyperlink>
      <w:r w:rsidR="00BB5AD0" w:rsidRPr="00BB5AD0">
        <w:rPr>
          <w:lang w:val="nl-NL"/>
        </w:rPr>
        <w:t>).</w:t>
      </w:r>
    </w:p>
  </w:footnote>
  <w:footnote w:id="29">
    <w:p w14:paraId="38963044" w14:textId="627D09A9" w:rsidR="000F49FA" w:rsidRPr="00BF76D3" w:rsidRDefault="000F49FA" w:rsidP="000F49FA">
      <w:pPr>
        <w:pStyle w:val="FootnoteText"/>
        <w:rPr>
          <w:lang w:val="nl-NL"/>
        </w:rPr>
      </w:pPr>
      <w:r>
        <w:rPr>
          <w:rStyle w:val="FootnoteReference"/>
        </w:rPr>
        <w:footnoteRef/>
      </w:r>
      <w:r w:rsidRPr="001737B3">
        <w:rPr>
          <w:lang w:val="nl-NL"/>
        </w:rPr>
        <w:t xml:space="preserve"> </w:t>
      </w:r>
      <w:r>
        <w:rPr>
          <w:lang w:val="nl-NL"/>
        </w:rPr>
        <w:t xml:space="preserve">The Netherlands, </w:t>
      </w:r>
      <w:r w:rsidRPr="00BF76D3">
        <w:rPr>
          <w:lang w:val="nl-NL"/>
        </w:rPr>
        <w:t>Ministry of the Interior and Kingdom Relations</w:t>
      </w:r>
      <w:r>
        <w:rPr>
          <w:lang w:val="nl-NL"/>
        </w:rPr>
        <w:t xml:space="preserve"> (</w:t>
      </w:r>
      <w:r w:rsidRPr="000F49FA">
        <w:rPr>
          <w:i/>
          <w:iCs/>
          <w:lang w:val="nl-NL"/>
        </w:rPr>
        <w:t>Ministerie van Binnenlandse Zaken en Koninkrijksrelaties</w:t>
      </w:r>
      <w:r>
        <w:rPr>
          <w:lang w:val="nl-NL"/>
        </w:rPr>
        <w:t>) (2020),</w:t>
      </w:r>
      <w:r w:rsidR="00D93451">
        <w:rPr>
          <w:lang w:val="nl-NL"/>
        </w:rPr>
        <w:t xml:space="preserve"> </w:t>
      </w:r>
      <w:r w:rsidR="00D93451" w:rsidRPr="00D93451">
        <w:rPr>
          <w:lang w:val="nl-NL"/>
        </w:rPr>
        <w:t>Action plan for political office holders with disabilities (</w:t>
      </w:r>
      <w:hyperlink r:id="rId26" w:history="1">
        <w:r w:rsidR="00D93451" w:rsidRPr="00D93451">
          <w:rPr>
            <w:rStyle w:val="Hyperlink"/>
            <w:i/>
            <w:iCs/>
            <w:lang w:val="nl-NL"/>
          </w:rPr>
          <w:t>Actieplan politieke ambtsdragers met een beperking</w:t>
        </w:r>
      </w:hyperlink>
      <w:r w:rsidR="00D93451" w:rsidRPr="00D93451">
        <w:rPr>
          <w:lang w:val="nl-NL"/>
        </w:rPr>
        <w:t>).</w:t>
      </w:r>
    </w:p>
  </w:footnote>
  <w:footnote w:id="30">
    <w:p w14:paraId="7E423027" w14:textId="28598E3F" w:rsidR="00D93451" w:rsidRPr="001737B3" w:rsidRDefault="00D93451" w:rsidP="00C04248">
      <w:pPr>
        <w:pStyle w:val="FootnoteText"/>
      </w:pPr>
      <w:r>
        <w:rPr>
          <w:rStyle w:val="FootnoteReference"/>
        </w:rPr>
        <w:footnoteRef/>
      </w:r>
      <w:r w:rsidRPr="001737B3">
        <w:rPr>
          <w:lang w:val="nl-NL"/>
        </w:rPr>
        <w:t xml:space="preserve">  </w:t>
      </w:r>
      <w:r>
        <w:rPr>
          <w:lang w:val="nl-NL"/>
        </w:rPr>
        <w:t xml:space="preserve">The Netherlands, </w:t>
      </w:r>
      <w:r w:rsidRPr="00BF76D3">
        <w:rPr>
          <w:lang w:val="nl-NL"/>
        </w:rPr>
        <w:t>Minist</w:t>
      </w:r>
      <w:r>
        <w:rPr>
          <w:lang w:val="nl-NL"/>
        </w:rPr>
        <w:t>e</w:t>
      </w:r>
      <w:r w:rsidRPr="00BF76D3">
        <w:rPr>
          <w:lang w:val="nl-NL"/>
        </w:rPr>
        <w:t>r</w:t>
      </w:r>
      <w:r>
        <w:rPr>
          <w:lang w:val="nl-NL"/>
        </w:rPr>
        <w:t xml:space="preserve"> </w:t>
      </w:r>
      <w:r w:rsidRPr="00BF76D3">
        <w:rPr>
          <w:lang w:val="nl-NL"/>
        </w:rPr>
        <w:t>of the Interior and Kingdom Relations</w:t>
      </w:r>
      <w:r>
        <w:rPr>
          <w:lang w:val="nl-NL"/>
        </w:rPr>
        <w:t xml:space="preserve"> (</w:t>
      </w:r>
      <w:r w:rsidRPr="000F49FA">
        <w:rPr>
          <w:i/>
          <w:iCs/>
          <w:lang w:val="nl-NL"/>
        </w:rPr>
        <w:t>Minister van Binnenlandse Zaken en Koninkrijksrelaties</w:t>
      </w:r>
      <w:r>
        <w:rPr>
          <w:lang w:val="nl-NL"/>
        </w:rPr>
        <w:t>) (2020),</w:t>
      </w:r>
      <w:r w:rsidR="00C04248" w:rsidRPr="001737B3">
        <w:rPr>
          <w:lang w:val="nl-NL"/>
        </w:rPr>
        <w:t xml:space="preserve"> ‘</w:t>
      </w:r>
      <w:r w:rsidR="00C04248" w:rsidRPr="00C04248">
        <w:rPr>
          <w:lang w:val="nl-NL"/>
        </w:rPr>
        <w:t>Political office holders with disabilities: how do we facilitate</w:t>
      </w:r>
      <w:r w:rsidR="00C04248">
        <w:rPr>
          <w:lang w:val="nl-NL"/>
        </w:rPr>
        <w:t xml:space="preserve"> </w:t>
      </w:r>
      <w:r w:rsidR="00C04248" w:rsidRPr="00C04248">
        <w:rPr>
          <w:lang w:val="nl-NL"/>
        </w:rPr>
        <w:t>the future</w:t>
      </w:r>
      <w:r w:rsidR="00C04248">
        <w:rPr>
          <w:lang w:val="nl-NL"/>
        </w:rPr>
        <w:t>’(‘</w:t>
      </w:r>
      <w:hyperlink r:id="rId27" w:history="1">
        <w:r w:rsidR="00304C24" w:rsidRPr="00304C24">
          <w:rPr>
            <w:rStyle w:val="Hyperlink"/>
            <w:lang w:val="nl-NL"/>
          </w:rPr>
          <w:t>Politieke ambtsdragers met een beperking: hoe faciliteren we de toekomst?</w:t>
        </w:r>
      </w:hyperlink>
      <w:r w:rsidR="00304C24" w:rsidRPr="001737B3">
        <w:t>’</w:t>
      </w:r>
      <w:r w:rsidR="00C04248" w:rsidRPr="001737B3">
        <w:t>), Letter to House of Representatives, 9 December 2020.</w:t>
      </w:r>
    </w:p>
  </w:footnote>
  <w:footnote w:id="31">
    <w:p w14:paraId="41A3633D" w14:textId="6146F0D5" w:rsidR="00E65BEB" w:rsidRPr="00BE6376" w:rsidRDefault="00E65BEB" w:rsidP="00E65BEB">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28" w:history="1">
        <w:r w:rsidRPr="00FC74CC">
          <w:rPr>
            <w:rStyle w:val="Hyperlink"/>
          </w:rPr>
          <w:t>Article E4</w:t>
        </w:r>
      </w:hyperlink>
      <w:r>
        <w:t>.</w:t>
      </w:r>
    </w:p>
  </w:footnote>
  <w:footnote w:id="32">
    <w:p w14:paraId="39E685B9" w14:textId="4D1ADC60" w:rsidR="00FC74CC" w:rsidRPr="001737B3" w:rsidRDefault="00FC74CC">
      <w:pPr>
        <w:pStyle w:val="FootnoteText"/>
      </w:pPr>
      <w:r>
        <w:rPr>
          <w:rStyle w:val="FootnoteReference"/>
        </w:rPr>
        <w:footnoteRef/>
      </w:r>
      <w:r>
        <w:t xml:space="preserve"> </w:t>
      </w:r>
      <w:r w:rsidRPr="001737B3">
        <w:t xml:space="preserve">The Netherlands, </w:t>
      </w:r>
      <w:r w:rsidR="00BC4A16" w:rsidRPr="001737B3">
        <w:t>Polling station instruction (</w:t>
      </w:r>
      <w:hyperlink r:id="rId29" w:history="1">
        <w:r w:rsidR="00BC4A16" w:rsidRPr="001737B3">
          <w:rPr>
            <w:rStyle w:val="Hyperlink"/>
            <w:i/>
            <w:iCs/>
          </w:rPr>
          <w:t>Stembureau-instructie</w:t>
        </w:r>
      </w:hyperlink>
      <w:r w:rsidR="00BC4A16" w:rsidRPr="001737B3">
        <w:t xml:space="preserve">). </w:t>
      </w:r>
    </w:p>
  </w:footnote>
  <w:footnote w:id="33">
    <w:p w14:paraId="6B418FEE" w14:textId="77777777" w:rsidR="00834657" w:rsidRPr="001737B3" w:rsidRDefault="00834657">
      <w:pPr>
        <w:pStyle w:val="FootnoteText"/>
      </w:pPr>
      <w:r>
        <w:rPr>
          <w:rStyle w:val="FootnoteReference"/>
        </w:rPr>
        <w:footnoteRef/>
      </w:r>
      <w:r>
        <w:t xml:space="preserve"> </w:t>
      </w:r>
      <w:r w:rsidRPr="001737B3">
        <w:t>The Netherlands, Ministry of Interior and Kingdom Relations (</w:t>
      </w:r>
      <w:r w:rsidRPr="001737B3">
        <w:rPr>
          <w:i/>
          <w:iCs/>
        </w:rPr>
        <w:t>Minister van Binnenlandse Zaken en Koninkrijksrelaties</w:t>
      </w:r>
      <w:r w:rsidRPr="001737B3">
        <w:t>) (2020), Accessibility checklist polling stations. Municipal employees (</w:t>
      </w:r>
      <w:hyperlink r:id="rId30" w:history="1">
        <w:r w:rsidRPr="001737B3">
          <w:rPr>
            <w:rStyle w:val="Hyperlink"/>
            <w:i/>
            <w:iCs/>
          </w:rPr>
          <w:t>Checklist Toegankelijkheid Stembureaus. Gemeente medewerkers</w:t>
        </w:r>
      </w:hyperlink>
      <w:r w:rsidRPr="001737B3">
        <w:t>).</w:t>
      </w:r>
    </w:p>
  </w:footnote>
  <w:footnote w:id="34">
    <w:p w14:paraId="4D3B9A84" w14:textId="7D89A221" w:rsidR="00834657" w:rsidRPr="001737B3" w:rsidRDefault="00834657" w:rsidP="009828F8">
      <w:pPr>
        <w:pStyle w:val="FootnoteText"/>
      </w:pPr>
      <w:r>
        <w:rPr>
          <w:rStyle w:val="FootnoteReference"/>
        </w:rPr>
        <w:footnoteRef/>
      </w:r>
      <w:r>
        <w:t xml:space="preserve"> </w:t>
      </w:r>
      <w:r w:rsidRPr="001737B3">
        <w:t>The Netherlands, Ministry of Interior and Kingdom Relations (</w:t>
      </w:r>
      <w:r w:rsidRPr="001737B3">
        <w:rPr>
          <w:i/>
          <w:iCs/>
        </w:rPr>
        <w:t>Minister van Binnenlandse Zaken en Koninkrijksrelaties</w:t>
      </w:r>
      <w:r w:rsidRPr="001737B3">
        <w:t>) (2020),</w:t>
      </w:r>
      <w:r w:rsidRPr="003B0B5D">
        <w:t xml:space="preserve"> </w:t>
      </w:r>
      <w:r w:rsidRPr="001737B3">
        <w:t>Accessibility checklist polling stations. Sit</w:t>
      </w:r>
      <w:r w:rsidR="00385B44" w:rsidRPr="001737B3">
        <w:t>e</w:t>
      </w:r>
      <w:r w:rsidRPr="001737B3">
        <w:t xml:space="preserve"> managers (</w:t>
      </w:r>
      <w:hyperlink r:id="rId31" w:history="1">
        <w:r w:rsidRPr="001737B3">
          <w:rPr>
            <w:rStyle w:val="Hyperlink"/>
            <w:i/>
            <w:iCs/>
          </w:rPr>
          <w:t>Checklist Toegankelijkheid Stembureaus.</w:t>
        </w:r>
        <w:r w:rsidRPr="00330628">
          <w:rPr>
            <w:rStyle w:val="Hyperlink"/>
          </w:rPr>
          <w:t xml:space="preserve"> </w:t>
        </w:r>
        <w:r w:rsidRPr="001737B3">
          <w:rPr>
            <w:rStyle w:val="Hyperlink"/>
            <w:i/>
            <w:iCs/>
          </w:rPr>
          <w:t>Locatiebeheerders</w:t>
        </w:r>
      </w:hyperlink>
      <w:r w:rsidRPr="001737B3">
        <w:t>).</w:t>
      </w:r>
    </w:p>
  </w:footnote>
  <w:footnote w:id="35">
    <w:p w14:paraId="02A399F1" w14:textId="77777777" w:rsidR="00834657" w:rsidRPr="001737B3" w:rsidRDefault="00834657" w:rsidP="00B90F5E">
      <w:pPr>
        <w:pStyle w:val="FootnoteText"/>
      </w:pPr>
      <w:r>
        <w:rPr>
          <w:rStyle w:val="FootnoteReference"/>
        </w:rPr>
        <w:footnoteRef/>
      </w:r>
      <w:r>
        <w:t xml:space="preserve"> </w:t>
      </w:r>
      <w:r w:rsidRPr="001737B3">
        <w:t>The Netherlands, Ministry of Interior and Kingdom Relations (</w:t>
      </w:r>
      <w:r w:rsidRPr="001737B3">
        <w:rPr>
          <w:i/>
          <w:iCs/>
        </w:rPr>
        <w:t>Minister van Binnenlandse Zaken en Koninkrijksrelaties</w:t>
      </w:r>
      <w:r w:rsidRPr="001737B3">
        <w:t>) (2020), Criteria Integral Accessibility Polling Stations.  Reference work (</w:t>
      </w:r>
      <w:hyperlink r:id="rId32" w:history="1">
        <w:r w:rsidRPr="001737B3">
          <w:rPr>
            <w:rStyle w:val="Hyperlink"/>
            <w:i/>
            <w:iCs/>
            <w:u w:val="none"/>
          </w:rPr>
          <w:t>Criteria Integrale Toegankelijkheid Stembureaus.  Naslagwerk</w:t>
        </w:r>
      </w:hyperlink>
      <w:r w:rsidRPr="001737B3">
        <w:t>).</w:t>
      </w:r>
    </w:p>
  </w:footnote>
  <w:footnote w:id="36">
    <w:p w14:paraId="595559D0" w14:textId="77777777" w:rsidR="00834657" w:rsidRPr="0001427C" w:rsidRDefault="00834657" w:rsidP="00115795">
      <w:pPr>
        <w:pStyle w:val="FootnoteText"/>
        <w:rPr>
          <w:lang w:val="nl-NL"/>
        </w:rPr>
      </w:pPr>
      <w:r>
        <w:rPr>
          <w:rStyle w:val="FootnoteReference"/>
        </w:rPr>
        <w:footnoteRef/>
      </w:r>
      <w:r>
        <w:t xml:space="preserve"> </w:t>
      </w:r>
      <w:r w:rsidRPr="001737B3">
        <w:t>The Netherlands, Ministry of Interior and Kingdom Relations (</w:t>
      </w:r>
      <w:r w:rsidRPr="001737B3">
        <w:rPr>
          <w:i/>
          <w:iCs/>
        </w:rPr>
        <w:t>Minister van Binnenlandse Zaken en Koninkrijksrelaties</w:t>
      </w:r>
      <w:r w:rsidRPr="001737B3">
        <w:t>) (2020),</w:t>
      </w:r>
      <w:r w:rsidRPr="00115795">
        <w:t xml:space="preserve"> </w:t>
      </w:r>
      <w:r w:rsidRPr="001737B3">
        <w:t xml:space="preserve">Guidelines for designing accessible of polling stations.  </w:t>
      </w:r>
      <w:r w:rsidRPr="00115795">
        <w:rPr>
          <w:lang w:val="nl-NL"/>
        </w:rPr>
        <w:t>Implementation</w:t>
      </w:r>
      <w:r>
        <w:rPr>
          <w:lang w:val="nl-NL"/>
        </w:rPr>
        <w:t xml:space="preserve"> (</w:t>
      </w:r>
      <w:hyperlink r:id="rId33" w:history="1">
        <w:r w:rsidRPr="007445AD">
          <w:rPr>
            <w:rStyle w:val="Hyperlink"/>
            <w:i/>
            <w:iCs/>
            <w:u w:val="none"/>
            <w:lang w:val="nl-NL"/>
          </w:rPr>
          <w:t>Ontwerprichtlijnen toegankelijkheid stembureaus. Uitvoering</w:t>
        </w:r>
      </w:hyperlink>
      <w:r>
        <w:rPr>
          <w:lang w:val="nl-NL"/>
        </w:rPr>
        <w:t>).</w:t>
      </w:r>
    </w:p>
  </w:footnote>
  <w:footnote w:id="37">
    <w:p w14:paraId="67B316C5" w14:textId="4271C6B9" w:rsidR="00BE75EA" w:rsidRPr="00BE75EA" w:rsidRDefault="00BE75EA">
      <w:pPr>
        <w:pStyle w:val="FootnoteText"/>
        <w:rPr>
          <w:lang w:val="nl-NL"/>
        </w:rPr>
      </w:pPr>
      <w:r>
        <w:rPr>
          <w:rStyle w:val="FootnoteReference"/>
        </w:rPr>
        <w:footnoteRef/>
      </w:r>
      <w:r w:rsidRPr="001737B3">
        <w:rPr>
          <w:lang w:val="nl-NL"/>
        </w:rPr>
        <w:t xml:space="preserve"> </w:t>
      </w:r>
      <w:r>
        <w:rPr>
          <w:lang w:val="nl-NL"/>
        </w:rPr>
        <w:t>The Netherlands, Ieder(in) (2023), ‘Our members’(‘</w:t>
      </w:r>
      <w:hyperlink r:id="rId34" w:history="1">
        <w:r w:rsidRPr="00BE75EA">
          <w:rPr>
            <w:rStyle w:val="Hyperlink"/>
            <w:lang w:val="nl-NL"/>
          </w:rPr>
          <w:t>Onze leden’</w:t>
        </w:r>
      </w:hyperlink>
      <w:r>
        <w:rPr>
          <w:lang w:val="nl-NL"/>
        </w:rPr>
        <w:t>).</w:t>
      </w:r>
    </w:p>
  </w:footnote>
  <w:footnote w:id="38">
    <w:p w14:paraId="75BFC5DD" w14:textId="039BD8F6" w:rsidR="0039179F" w:rsidRPr="0039179F" w:rsidRDefault="0039179F">
      <w:pPr>
        <w:pStyle w:val="FootnoteText"/>
        <w:rPr>
          <w:lang w:val="nl-NL"/>
        </w:rPr>
      </w:pPr>
      <w:r>
        <w:rPr>
          <w:rStyle w:val="FootnoteReference"/>
        </w:rPr>
        <w:footnoteRef/>
      </w:r>
      <w:r w:rsidRPr="001737B3">
        <w:rPr>
          <w:lang w:val="nl-NL"/>
        </w:rPr>
        <w:t xml:space="preserve"> </w:t>
      </w:r>
      <w:r>
        <w:rPr>
          <w:lang w:val="nl-NL"/>
        </w:rPr>
        <w:t>The Netherlands,</w:t>
      </w:r>
      <w:r w:rsidR="008E0DAD">
        <w:rPr>
          <w:lang w:val="nl-NL"/>
        </w:rPr>
        <w:t xml:space="preserve"> Netherlands Patient Federation</w:t>
      </w:r>
      <w:r>
        <w:rPr>
          <w:lang w:val="nl-NL"/>
        </w:rPr>
        <w:t xml:space="preserve"> (</w:t>
      </w:r>
      <w:r w:rsidRPr="008E0DAD">
        <w:rPr>
          <w:i/>
          <w:iCs/>
          <w:lang w:val="nl-NL"/>
        </w:rPr>
        <w:t>Nederlandse Patientenfederatie</w:t>
      </w:r>
      <w:r>
        <w:rPr>
          <w:lang w:val="nl-NL"/>
        </w:rPr>
        <w:t>) (2023), ‘</w:t>
      </w:r>
      <w:hyperlink r:id="rId35" w:history="1">
        <w:r w:rsidRPr="0039179F">
          <w:rPr>
            <w:rStyle w:val="Hyperlink"/>
            <w:lang w:val="nl-NL"/>
          </w:rPr>
          <w:t>Netherlands Patients Federation’</w:t>
        </w:r>
      </w:hyperlink>
      <w:r>
        <w:rPr>
          <w:lang w:val="nl-NL"/>
        </w:rPr>
        <w:t xml:space="preserve">, Web page. </w:t>
      </w:r>
    </w:p>
  </w:footnote>
  <w:footnote w:id="39">
    <w:p w14:paraId="6C28C242" w14:textId="4E73AC04" w:rsidR="00834657" w:rsidRPr="0001427C" w:rsidRDefault="00834657">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9828F8">
        <w:rPr>
          <w:i/>
          <w:iCs/>
          <w:lang w:val="nl-NL"/>
        </w:rPr>
        <w:t>Minister van Binnenlandse Zaken en Koninkrijksrelaties</w:t>
      </w:r>
      <w:r>
        <w:rPr>
          <w:lang w:val="nl-NL"/>
        </w:rPr>
        <w:t xml:space="preserve">) (2020), </w:t>
      </w:r>
      <w:r w:rsidRPr="00715615">
        <w:rPr>
          <w:lang w:val="nl-NL"/>
        </w:rPr>
        <w:t>Accessibility checklist polling stations. Municipal employees (</w:t>
      </w:r>
      <w:hyperlink r:id="rId36" w:history="1">
        <w:r w:rsidRPr="009828F8">
          <w:rPr>
            <w:rStyle w:val="Hyperlink"/>
            <w:i/>
            <w:iCs/>
            <w:lang w:val="nl-NL"/>
          </w:rPr>
          <w:t>Checklist Toegankelijkheid Stembureaus. Gemeente medewerkers</w:t>
        </w:r>
      </w:hyperlink>
      <w:r>
        <w:rPr>
          <w:lang w:val="nl-NL"/>
        </w:rPr>
        <w:t>).</w:t>
      </w:r>
    </w:p>
  </w:footnote>
  <w:footnote w:id="40">
    <w:p w14:paraId="54A18D44" w14:textId="42F4D39C" w:rsidR="00834657" w:rsidRPr="0001427C" w:rsidRDefault="00834657" w:rsidP="009828F8">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9828F8">
        <w:rPr>
          <w:i/>
          <w:iCs/>
          <w:lang w:val="nl-NL"/>
        </w:rPr>
        <w:t>Minister van Binnenlandse Zaken en Koninkrijksrelaties</w:t>
      </w:r>
      <w:r>
        <w:rPr>
          <w:lang w:val="nl-NL"/>
        </w:rPr>
        <w:t>) (2020),</w:t>
      </w:r>
      <w:r w:rsidRPr="001737B3">
        <w:rPr>
          <w:lang w:val="nl-NL"/>
        </w:rPr>
        <w:t xml:space="preserve"> </w:t>
      </w:r>
      <w:r w:rsidRPr="003B0B5D">
        <w:rPr>
          <w:lang w:val="nl-NL"/>
        </w:rPr>
        <w:t xml:space="preserve">Accessibility checklist polling stations. </w:t>
      </w:r>
      <w:r>
        <w:rPr>
          <w:lang w:val="nl-NL"/>
        </w:rPr>
        <w:t>Sita managers</w:t>
      </w:r>
      <w:r w:rsidRPr="003B0B5D">
        <w:rPr>
          <w:lang w:val="nl-NL"/>
        </w:rPr>
        <w:t xml:space="preserve"> (</w:t>
      </w:r>
      <w:hyperlink r:id="rId37" w:history="1">
        <w:r w:rsidRPr="00330628">
          <w:rPr>
            <w:rStyle w:val="Hyperlink"/>
            <w:i/>
            <w:iCs/>
            <w:lang w:val="nl-NL"/>
          </w:rPr>
          <w:t>Checklist Toegankelijkheid Stembureaus.</w:t>
        </w:r>
        <w:r w:rsidRPr="001737B3">
          <w:rPr>
            <w:rStyle w:val="Hyperlink"/>
            <w:lang w:val="nl-NL"/>
          </w:rPr>
          <w:t xml:space="preserve"> </w:t>
        </w:r>
        <w:r w:rsidRPr="00330628">
          <w:rPr>
            <w:rStyle w:val="Hyperlink"/>
            <w:i/>
            <w:iCs/>
            <w:lang w:val="nl-NL"/>
          </w:rPr>
          <w:t>Locatiebeheerders</w:t>
        </w:r>
      </w:hyperlink>
      <w:r w:rsidRPr="003B0B5D">
        <w:rPr>
          <w:lang w:val="nl-NL"/>
        </w:rPr>
        <w:t>).</w:t>
      </w:r>
    </w:p>
  </w:footnote>
  <w:footnote w:id="41">
    <w:p w14:paraId="23D3B828" w14:textId="5D8DAF75" w:rsidR="00834657" w:rsidRPr="0001427C" w:rsidRDefault="00834657" w:rsidP="00B90F5E">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9828F8">
        <w:rPr>
          <w:i/>
          <w:iCs/>
          <w:lang w:val="nl-NL"/>
        </w:rPr>
        <w:t>Minister van Binnenlandse Zaken en Koninkrijksrelaties</w:t>
      </w:r>
      <w:r>
        <w:rPr>
          <w:lang w:val="nl-NL"/>
        </w:rPr>
        <w:t xml:space="preserve">) (2020), </w:t>
      </w:r>
      <w:r w:rsidRPr="00B90F5E">
        <w:rPr>
          <w:lang w:val="nl-NL"/>
        </w:rPr>
        <w:t>Criteria Integral Accessibility Polling Stations.  Reference work</w:t>
      </w:r>
      <w:r>
        <w:rPr>
          <w:lang w:val="nl-NL"/>
        </w:rPr>
        <w:t xml:space="preserve"> (</w:t>
      </w:r>
      <w:hyperlink r:id="rId38" w:history="1">
        <w:r w:rsidRPr="007445AD">
          <w:rPr>
            <w:rStyle w:val="Hyperlink"/>
            <w:i/>
            <w:iCs/>
            <w:u w:val="none"/>
            <w:lang w:val="nl-NL"/>
          </w:rPr>
          <w:t>Criteria Integrale Toegankelijkheid Stembureaus.  Naslagwerk</w:t>
        </w:r>
      </w:hyperlink>
      <w:r>
        <w:rPr>
          <w:lang w:val="nl-NL"/>
        </w:rPr>
        <w:t>).</w:t>
      </w:r>
    </w:p>
  </w:footnote>
  <w:footnote w:id="42">
    <w:p w14:paraId="6E43EFAE" w14:textId="4851D7B0" w:rsidR="00834657" w:rsidRPr="0001427C" w:rsidRDefault="00834657" w:rsidP="00115795">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9828F8">
        <w:rPr>
          <w:i/>
          <w:iCs/>
          <w:lang w:val="nl-NL"/>
        </w:rPr>
        <w:t>Minister van Binnenlandse Zaken en Koninkrijksrelaties</w:t>
      </w:r>
      <w:r>
        <w:rPr>
          <w:lang w:val="nl-NL"/>
        </w:rPr>
        <w:t>) (2020),</w:t>
      </w:r>
      <w:r w:rsidRPr="001737B3">
        <w:rPr>
          <w:lang w:val="nl-NL"/>
        </w:rPr>
        <w:t xml:space="preserve"> </w:t>
      </w:r>
      <w:r w:rsidRPr="00115795">
        <w:rPr>
          <w:lang w:val="nl-NL"/>
        </w:rPr>
        <w:t>Guidelines for designing accessible of polling stations.  Implementation</w:t>
      </w:r>
      <w:r>
        <w:rPr>
          <w:lang w:val="nl-NL"/>
        </w:rPr>
        <w:t xml:space="preserve"> (</w:t>
      </w:r>
      <w:hyperlink r:id="rId39" w:history="1">
        <w:r w:rsidRPr="007445AD">
          <w:rPr>
            <w:rStyle w:val="Hyperlink"/>
            <w:i/>
            <w:iCs/>
            <w:u w:val="none"/>
            <w:lang w:val="nl-NL"/>
          </w:rPr>
          <w:t>Ontwerprichtlijnen toegankelijkheid stembureaus. Uitvoering</w:t>
        </w:r>
      </w:hyperlink>
      <w:r>
        <w:rPr>
          <w:lang w:val="nl-NL"/>
        </w:rPr>
        <w:t>).</w:t>
      </w:r>
    </w:p>
  </w:footnote>
  <w:footnote w:id="43">
    <w:p w14:paraId="689031AD" w14:textId="69080E25" w:rsidR="00834657" w:rsidRPr="006A3E01" w:rsidRDefault="00834657">
      <w:pPr>
        <w:pStyle w:val="FootnoteText"/>
        <w:rPr>
          <w:lang w:val="nl-NL"/>
        </w:rPr>
      </w:pPr>
      <w:r>
        <w:rPr>
          <w:rStyle w:val="FootnoteReference"/>
        </w:rPr>
        <w:footnoteRef/>
      </w:r>
      <w:r w:rsidRPr="001737B3">
        <w:rPr>
          <w:lang w:val="nl-NL"/>
        </w:rPr>
        <w:t xml:space="preserve"> The Netherlands, Cardan Technobility (2022), WCAG 2.1 inspection level AA www.kiesraad.nl. Content</w:t>
      </w:r>
      <w:r w:rsidRPr="001737B3">
        <w:rPr>
          <w:u w:val="single"/>
          <w:lang w:val="nl-NL"/>
        </w:rPr>
        <w:t xml:space="preserve"> </w:t>
      </w:r>
      <w:r w:rsidRPr="001737B3">
        <w:rPr>
          <w:lang w:val="nl-NL"/>
        </w:rPr>
        <w:t xml:space="preserve">study  </w:t>
      </w:r>
      <w:r w:rsidRPr="001737B3">
        <w:rPr>
          <w:u w:val="single"/>
          <w:lang w:val="nl-NL"/>
        </w:rPr>
        <w:t xml:space="preserve">     </w:t>
      </w:r>
      <w:r w:rsidRPr="001737B3">
        <w:rPr>
          <w:i/>
          <w:iCs/>
          <w:u w:val="single"/>
          <w:lang w:val="nl-NL"/>
        </w:rPr>
        <w:t xml:space="preserve">                                                                            (</w:t>
      </w:r>
      <w:hyperlink r:id="rId40" w:history="1">
        <w:r w:rsidRPr="001737B3">
          <w:rPr>
            <w:rStyle w:val="Hyperlink"/>
            <w:i/>
            <w:iCs/>
            <w:u w:val="none"/>
            <w:lang w:val="nl-NL"/>
          </w:rPr>
          <w:t>WCAG 2.1 Inspectie niveau AA www.kiesraad. Deelonderzoek content</w:t>
        </w:r>
      </w:hyperlink>
      <w:r w:rsidRPr="001737B3">
        <w:rPr>
          <w:i/>
          <w:iCs/>
          <w:lang w:val="nl-NL"/>
        </w:rPr>
        <w:t>)</w:t>
      </w:r>
      <w:r w:rsidRPr="001737B3">
        <w:rPr>
          <w:lang w:val="nl-NL"/>
        </w:rPr>
        <w:t>.</w:t>
      </w:r>
    </w:p>
  </w:footnote>
  <w:footnote w:id="44">
    <w:p w14:paraId="0D668608" w14:textId="069422A8" w:rsidR="00834657" w:rsidRPr="007445AD" w:rsidRDefault="00834657">
      <w:pPr>
        <w:pStyle w:val="FootnoteText"/>
        <w:rPr>
          <w:lang w:val="nl-NL"/>
        </w:rPr>
      </w:pPr>
      <w:r>
        <w:rPr>
          <w:rStyle w:val="FootnoteReference"/>
        </w:rPr>
        <w:footnoteRef/>
      </w:r>
      <w:r w:rsidRPr="001737B3">
        <w:rPr>
          <w:lang w:val="nl-NL"/>
        </w:rPr>
        <w:t xml:space="preserve"> </w:t>
      </w:r>
      <w:r>
        <w:rPr>
          <w:lang w:val="nl-NL"/>
        </w:rPr>
        <w:t>The Netherlands, Electoral Council (</w:t>
      </w:r>
      <w:r w:rsidRPr="00FD5DE2">
        <w:rPr>
          <w:i/>
          <w:iCs/>
          <w:lang w:val="nl-NL"/>
        </w:rPr>
        <w:t>Kiesraa</w:t>
      </w:r>
      <w:r>
        <w:rPr>
          <w:lang w:val="nl-NL"/>
        </w:rPr>
        <w:t xml:space="preserve">d) (2022),  </w:t>
      </w:r>
      <w:r w:rsidRPr="00FD5DE2">
        <w:rPr>
          <w:lang w:val="nl-NL"/>
        </w:rPr>
        <w:t xml:space="preserve">Accessibility status </w:t>
      </w:r>
      <w:hyperlink r:id="rId41" w:history="1">
        <w:r w:rsidRPr="002958B6">
          <w:rPr>
            <w:rStyle w:val="Hyperlink"/>
            <w:lang w:val="nl-NL"/>
          </w:rPr>
          <w:t>https://www.kiesraad.nl/</w:t>
        </w:r>
      </w:hyperlink>
      <w:r>
        <w:rPr>
          <w:lang w:val="nl-NL"/>
        </w:rPr>
        <w:t xml:space="preserve">  (</w:t>
      </w:r>
      <w:hyperlink r:id="rId42" w:history="1">
        <w:r w:rsidRPr="00FD5DE2">
          <w:rPr>
            <w:rStyle w:val="Hyperlink"/>
            <w:lang w:val="nl-NL"/>
          </w:rPr>
          <w:t>Status toegankelijkheid https://www.kiesraad.nl</w:t>
        </w:r>
      </w:hyperlink>
      <w:r>
        <w:rPr>
          <w:lang w:val="nl-NL"/>
        </w:rPr>
        <w:t xml:space="preserve">). </w:t>
      </w:r>
    </w:p>
  </w:footnote>
  <w:footnote w:id="45">
    <w:p w14:paraId="1F441CE6" w14:textId="112A7BAF" w:rsidR="00834657" w:rsidRPr="00524D93" w:rsidRDefault="00834657">
      <w:pPr>
        <w:pStyle w:val="FootnoteText"/>
        <w:rPr>
          <w:lang w:val="nl-NL"/>
        </w:rPr>
      </w:pPr>
      <w:r>
        <w:rPr>
          <w:rStyle w:val="FootnoteReference"/>
        </w:rPr>
        <w:footnoteRef/>
      </w:r>
      <w:r w:rsidRPr="001737B3">
        <w:rPr>
          <w:lang w:val="nl-NL"/>
        </w:rPr>
        <w:t xml:space="preserve"> </w:t>
      </w:r>
      <w:r>
        <w:rPr>
          <w:lang w:val="nl-NL"/>
        </w:rPr>
        <w:t>The Netherlands, NPO (2023), ‘</w:t>
      </w:r>
      <w:r w:rsidRPr="00524D93">
        <w:rPr>
          <w:lang w:val="nl-NL"/>
        </w:rPr>
        <w:t xml:space="preserve">TT888 </w:t>
      </w:r>
      <w:r>
        <w:rPr>
          <w:lang w:val="nl-NL"/>
        </w:rPr>
        <w:t>subtitles’ (‘</w:t>
      </w:r>
      <w:hyperlink r:id="rId43" w:history="1">
        <w:r w:rsidRPr="00524D93">
          <w:rPr>
            <w:rStyle w:val="Hyperlink"/>
            <w:lang w:val="nl-NL"/>
          </w:rPr>
          <w:t>TT888</w:t>
        </w:r>
        <w:r>
          <w:rPr>
            <w:rStyle w:val="Hyperlink"/>
            <w:lang w:val="nl-NL"/>
          </w:rPr>
          <w:t xml:space="preserve"> ondertiteling</w:t>
        </w:r>
        <w:r w:rsidRPr="00524D93">
          <w:rPr>
            <w:rStyle w:val="Hyperlink"/>
            <w:lang w:val="nl-NL"/>
          </w:rPr>
          <w:t>’</w:t>
        </w:r>
      </w:hyperlink>
      <w:r>
        <w:rPr>
          <w:lang w:val="nl-NL"/>
        </w:rPr>
        <w:t>), Webpage.</w:t>
      </w:r>
    </w:p>
  </w:footnote>
  <w:footnote w:id="46">
    <w:p w14:paraId="5E67AD09" w14:textId="645CE009" w:rsidR="00834657" w:rsidRPr="00524D93" w:rsidRDefault="00834657">
      <w:pPr>
        <w:pStyle w:val="FootnoteText"/>
        <w:rPr>
          <w:lang w:val="nl-NL"/>
        </w:rPr>
      </w:pPr>
      <w:r>
        <w:rPr>
          <w:rStyle w:val="FootnoteReference"/>
        </w:rPr>
        <w:footnoteRef/>
      </w:r>
      <w:r w:rsidRPr="001737B3">
        <w:rPr>
          <w:lang w:val="nl-NL"/>
        </w:rPr>
        <w:t xml:space="preserve"> </w:t>
      </w:r>
      <w:r>
        <w:rPr>
          <w:lang w:val="nl-NL"/>
        </w:rPr>
        <w:t>The Netherlands, RTL (2023),’Subtitles’ ( ‘</w:t>
      </w:r>
      <w:hyperlink r:id="rId44" w:history="1">
        <w:r w:rsidRPr="00D54D40">
          <w:rPr>
            <w:rStyle w:val="Hyperlink"/>
            <w:lang w:val="nl-NL"/>
          </w:rPr>
          <w:t>Ondertiteling</w:t>
        </w:r>
      </w:hyperlink>
      <w:r>
        <w:rPr>
          <w:lang w:val="nl-NL"/>
        </w:rPr>
        <w:t>’), Webpage.</w:t>
      </w:r>
    </w:p>
  </w:footnote>
  <w:footnote w:id="47">
    <w:p w14:paraId="084A60B2" w14:textId="7FCB18C3" w:rsidR="005574E1" w:rsidRPr="006D644F" w:rsidRDefault="005574E1" w:rsidP="005574E1">
      <w:pPr>
        <w:pStyle w:val="FootnoteText"/>
        <w:rPr>
          <w:lang w:val="nl-NL"/>
        </w:rPr>
      </w:pPr>
      <w:r>
        <w:rPr>
          <w:rStyle w:val="FootnoteReference"/>
        </w:rPr>
        <w:footnoteRef/>
      </w:r>
      <w:r w:rsidRPr="001737B3">
        <w:rPr>
          <w:lang w:val="nl-NL"/>
        </w:rPr>
        <w:t xml:space="preserve"> </w:t>
      </w:r>
      <w:r>
        <w:rPr>
          <w:lang w:val="nl-NL"/>
        </w:rPr>
        <w:t>The Netherlands, Ieder(in) (2023),</w:t>
      </w:r>
      <w:r w:rsidR="00EC6ECD">
        <w:rPr>
          <w:lang w:val="nl-NL"/>
        </w:rPr>
        <w:t>‘NPO is making more programmes a</w:t>
      </w:r>
      <w:r w:rsidR="00EC6ECD" w:rsidRPr="00A13FC7">
        <w:rPr>
          <w:lang w:val="nl-NL"/>
        </w:rPr>
        <w:t>ccessible</w:t>
      </w:r>
      <w:r w:rsidR="00EC6ECD">
        <w:rPr>
          <w:lang w:val="nl-NL"/>
        </w:rPr>
        <w:t>’,   (‘</w:t>
      </w:r>
      <w:hyperlink r:id="rId45" w:history="1">
        <w:r w:rsidR="00EC6ECD" w:rsidRPr="00B3632A">
          <w:rPr>
            <w:rStyle w:val="Hyperlink"/>
            <w:lang w:val="nl-NL"/>
          </w:rPr>
          <w:t>NPO maakt meer programma’s toegankelijk’</w:t>
        </w:r>
      </w:hyperlink>
      <w:r w:rsidR="00EC6ECD">
        <w:rPr>
          <w:lang w:val="nl-NL"/>
        </w:rPr>
        <w:t xml:space="preserve">), Webpage, 16 November 2023,  </w:t>
      </w:r>
    </w:p>
  </w:footnote>
  <w:footnote w:id="48">
    <w:p w14:paraId="721BEEBC" w14:textId="70CDBD31" w:rsidR="00E94980" w:rsidRPr="001737B3" w:rsidRDefault="00E94980">
      <w:pPr>
        <w:pStyle w:val="FootnoteText"/>
      </w:pPr>
      <w:r>
        <w:rPr>
          <w:rStyle w:val="FootnoteReference"/>
        </w:rPr>
        <w:footnoteRef/>
      </w:r>
      <w:r>
        <w:t xml:space="preserve"> </w:t>
      </w:r>
      <w:r w:rsidRPr="001737B3">
        <w:t>The Netherlands,</w:t>
      </w:r>
      <w:r w:rsidR="009C49FA" w:rsidRPr="001737B3">
        <w:t xml:space="preserve"> All</w:t>
      </w:r>
      <w:r w:rsidR="00F15507">
        <w:t xml:space="preserve"> </w:t>
      </w:r>
      <w:r w:rsidR="009C49FA" w:rsidRPr="001737B3">
        <w:t>about Audio Description (</w:t>
      </w:r>
      <w:r w:rsidR="009C49FA" w:rsidRPr="001737B3">
        <w:rPr>
          <w:i/>
          <w:iCs/>
        </w:rPr>
        <w:t>Alles over audiodescription</w:t>
      </w:r>
      <w:r w:rsidR="009C49FA" w:rsidRPr="001737B3">
        <w:t xml:space="preserve">) (2023), </w:t>
      </w:r>
      <w:hyperlink r:id="rId46" w:history="1">
        <w:r w:rsidR="009C49FA" w:rsidRPr="001737B3">
          <w:rPr>
            <w:rStyle w:val="Hyperlink"/>
          </w:rPr>
          <w:t>Website</w:t>
        </w:r>
      </w:hyperlink>
      <w:r w:rsidR="009C49FA" w:rsidRPr="001737B3">
        <w:t xml:space="preserve">. </w:t>
      </w:r>
    </w:p>
  </w:footnote>
  <w:footnote w:id="49">
    <w:p w14:paraId="221E1A04" w14:textId="2B5D01C2" w:rsidR="006D644F" w:rsidRPr="006D644F" w:rsidRDefault="006D644F">
      <w:pPr>
        <w:pStyle w:val="FootnoteText"/>
        <w:rPr>
          <w:lang w:val="nl-NL"/>
        </w:rPr>
      </w:pPr>
      <w:r>
        <w:rPr>
          <w:rStyle w:val="FootnoteReference"/>
        </w:rPr>
        <w:footnoteRef/>
      </w:r>
      <w:r w:rsidRPr="001737B3">
        <w:rPr>
          <w:lang w:val="nl-NL"/>
        </w:rPr>
        <w:t xml:space="preserve"> </w:t>
      </w:r>
      <w:r w:rsidR="00EC6ECD">
        <w:rPr>
          <w:lang w:val="nl-NL"/>
        </w:rPr>
        <w:t>The Netherlands, Ieder(in) (2023), ‘</w:t>
      </w:r>
      <w:r w:rsidR="00EC6ECD" w:rsidRPr="00A13FC7">
        <w:rPr>
          <w:lang w:val="nl-NL"/>
        </w:rPr>
        <w:t>Accessible election manifestos</w:t>
      </w:r>
      <w:r w:rsidR="00EC6ECD">
        <w:rPr>
          <w:lang w:val="nl-NL"/>
        </w:rPr>
        <w:t>’ (‘</w:t>
      </w:r>
      <w:hyperlink r:id="rId47" w:history="1">
        <w:r w:rsidR="00EC6ECD" w:rsidRPr="00E16522">
          <w:rPr>
            <w:rStyle w:val="Hyperlink"/>
            <w:lang w:val="nl-NL"/>
          </w:rPr>
          <w:t>Toegankelijke verkiezingsprogramma’s’</w:t>
        </w:r>
      </w:hyperlink>
      <w:r w:rsidR="00EC6ECD">
        <w:rPr>
          <w:lang w:val="nl-NL"/>
        </w:rPr>
        <w:t>), Webpage, 17 November 2023,</w:t>
      </w:r>
    </w:p>
  </w:footnote>
  <w:footnote w:id="50">
    <w:p w14:paraId="787D0592" w14:textId="779E5443" w:rsidR="009D718A" w:rsidRPr="009D718A" w:rsidRDefault="009D718A">
      <w:pPr>
        <w:pStyle w:val="FootnoteText"/>
        <w:rPr>
          <w:lang w:val="nl-NL"/>
        </w:rPr>
      </w:pPr>
      <w:r>
        <w:rPr>
          <w:rStyle w:val="FootnoteReference"/>
        </w:rPr>
        <w:footnoteRef/>
      </w:r>
      <w:r w:rsidRPr="001737B3">
        <w:rPr>
          <w:lang w:val="nl-NL"/>
        </w:rPr>
        <w:t xml:space="preserve"> </w:t>
      </w:r>
      <w:r>
        <w:rPr>
          <w:lang w:val="nl-NL"/>
        </w:rPr>
        <w:t xml:space="preserve">The Netherlands, </w:t>
      </w:r>
      <w:r w:rsidRPr="001737B3">
        <w:rPr>
          <w:lang w:val="nl-NL"/>
        </w:rPr>
        <w:t>Temporary Digital Accessibility Decree (</w:t>
      </w:r>
      <w:r w:rsidRPr="001737B3">
        <w:rPr>
          <w:i/>
          <w:iCs/>
          <w:lang w:val="nl-NL"/>
        </w:rPr>
        <w:t>Tijdelijk besluit digitale toegankelijkheid overheid</w:t>
      </w:r>
      <w:r w:rsidRPr="001737B3">
        <w:rPr>
          <w:lang w:val="nl-NL"/>
        </w:rPr>
        <w:t xml:space="preserve"> ),</w:t>
      </w:r>
      <w:r w:rsidR="009621F4" w:rsidRPr="001737B3">
        <w:rPr>
          <w:lang w:val="nl-NL"/>
        </w:rPr>
        <w:t xml:space="preserve"> </w:t>
      </w:r>
      <w:hyperlink r:id="rId48" w:history="1">
        <w:r w:rsidR="009621F4" w:rsidRPr="001737B3">
          <w:rPr>
            <w:rStyle w:val="Hyperlink"/>
            <w:lang w:val="nl-NL"/>
          </w:rPr>
          <w:t>3 May 2018.</w:t>
        </w:r>
      </w:hyperlink>
    </w:p>
  </w:footnote>
  <w:footnote w:id="51">
    <w:p w14:paraId="655D38CC" w14:textId="048A30DE" w:rsidR="001A0058" w:rsidRPr="006A3E01" w:rsidRDefault="001A0058" w:rsidP="001A0058">
      <w:pPr>
        <w:pStyle w:val="FootnoteText"/>
        <w:rPr>
          <w:lang w:val="nl-NL"/>
        </w:rPr>
      </w:pPr>
      <w:r>
        <w:rPr>
          <w:rStyle w:val="FootnoteReference"/>
        </w:rPr>
        <w:footnoteRef/>
      </w:r>
      <w:r w:rsidRPr="001737B3">
        <w:rPr>
          <w:lang w:val="nl-NL"/>
        </w:rPr>
        <w:t xml:space="preserve"> The Netherlands, Cardan Technobility (2023), Research Report: Five Years of Digital Accessibility in the Dutch Government  </w:t>
      </w:r>
      <w:r w:rsidRPr="001737B3">
        <w:rPr>
          <w:i/>
          <w:iCs/>
          <w:lang w:val="nl-NL"/>
        </w:rPr>
        <w:t>(</w:t>
      </w:r>
      <w:hyperlink r:id="rId49" w:history="1">
        <w:r w:rsidRPr="001737B3">
          <w:rPr>
            <w:rStyle w:val="Hyperlink"/>
            <w:i/>
            <w:iCs/>
            <w:lang w:val="nl-NL"/>
          </w:rPr>
          <w:t>Onderzoeksrapport: Vijf jaar Digitale Toegankelijkheid in de Nederlandse Overheid</w:t>
        </w:r>
      </w:hyperlink>
      <w:hyperlink r:id="rId50" w:history="1"/>
      <w:r w:rsidRPr="001737B3">
        <w:rPr>
          <w:i/>
          <w:iCs/>
          <w:lang w:val="nl-NL"/>
        </w:rPr>
        <w:t>)</w:t>
      </w:r>
      <w:r w:rsidRPr="001737B3">
        <w:rPr>
          <w:lang w:val="nl-NL"/>
        </w:rPr>
        <w:t>, Webpage, 4 july 2023.</w:t>
      </w:r>
    </w:p>
  </w:footnote>
  <w:footnote w:id="52">
    <w:p w14:paraId="7B1C6AEF" w14:textId="184C3A32" w:rsidR="002F1297" w:rsidRPr="0096468D" w:rsidRDefault="002F1297">
      <w:pPr>
        <w:pStyle w:val="FootnoteText"/>
      </w:pPr>
      <w:r>
        <w:rPr>
          <w:rStyle w:val="FootnoteReference"/>
        </w:rPr>
        <w:footnoteRef/>
      </w:r>
      <w:r>
        <w:t xml:space="preserve"> </w:t>
      </w:r>
      <w:r w:rsidRPr="005E2361">
        <w:t xml:space="preserve">The </w:t>
      </w:r>
      <w:r w:rsidR="00A45CB6">
        <w:rPr>
          <w:lang w:val="en-US"/>
        </w:rPr>
        <w:t xml:space="preserve">Netherlands, </w:t>
      </w:r>
      <w:r w:rsidR="005E2361">
        <w:rPr>
          <w:lang w:val="en-US"/>
        </w:rPr>
        <w:t>Ministry</w:t>
      </w:r>
      <w:r w:rsidR="00A043FC">
        <w:rPr>
          <w:lang w:val="en-US"/>
        </w:rPr>
        <w:t xml:space="preserve"> of the Interior</w:t>
      </w:r>
      <w:r w:rsidR="005E2361">
        <w:rPr>
          <w:lang w:val="en-US"/>
        </w:rPr>
        <w:t xml:space="preserve"> and Kingdom Relations </w:t>
      </w:r>
      <w:r w:rsidR="00A043FC">
        <w:rPr>
          <w:lang w:val="en-US"/>
        </w:rPr>
        <w:t xml:space="preserve"> (</w:t>
      </w:r>
      <w:r w:rsidR="005E2361" w:rsidRPr="00A94DDC">
        <w:rPr>
          <w:i/>
          <w:iCs/>
          <w:lang w:val="en-US"/>
        </w:rPr>
        <w:t>M</w:t>
      </w:r>
      <w:r w:rsidR="009E4E3E" w:rsidRPr="00A94DDC">
        <w:rPr>
          <w:i/>
          <w:iCs/>
          <w:lang w:val="en-US"/>
        </w:rPr>
        <w:t>inisterie van Binnenlandse Zaken en Koninkrijksrelaties</w:t>
      </w:r>
      <w:r w:rsidR="00A043FC" w:rsidRPr="00A94DDC">
        <w:rPr>
          <w:i/>
          <w:iCs/>
          <w:lang w:val="en-US"/>
        </w:rPr>
        <w:t>)</w:t>
      </w:r>
      <w:r w:rsidR="009E4E3E">
        <w:rPr>
          <w:lang w:val="en-US"/>
        </w:rPr>
        <w:t xml:space="preserve"> (2024) Dutch Accessibility Dashboard (</w:t>
      </w:r>
      <w:hyperlink r:id="rId51" w:history="1">
        <w:r w:rsidR="009E4E3E" w:rsidRPr="005E2361">
          <w:rPr>
            <w:rStyle w:val="Hyperlink"/>
            <w:lang w:val="en-US"/>
          </w:rPr>
          <w:t>Dashboard DigiToega</w:t>
        </w:r>
        <w:r w:rsidR="005E2361" w:rsidRPr="005E2361">
          <w:rPr>
            <w:rStyle w:val="Hyperlink"/>
            <w:lang w:val="en-US"/>
          </w:rPr>
          <w:t>n</w:t>
        </w:r>
        <w:r w:rsidR="009E4E3E" w:rsidRPr="005E2361">
          <w:rPr>
            <w:rStyle w:val="Hyperlink"/>
            <w:lang w:val="en-US"/>
          </w:rPr>
          <w:t>kelijk</w:t>
        </w:r>
      </w:hyperlink>
      <w:r w:rsidR="009E4E3E">
        <w:rPr>
          <w:lang w:val="en-US"/>
        </w:rPr>
        <w:t xml:space="preserve"> )</w:t>
      </w:r>
      <w:r w:rsidR="00A45CB6">
        <w:rPr>
          <w:lang w:val="en-US"/>
        </w:rPr>
        <w:t xml:space="preserve"> </w:t>
      </w:r>
      <w:r w:rsidR="005E2361">
        <w:rPr>
          <w:rStyle w:val="Hyperlink"/>
          <w:lang w:val="en-US"/>
        </w:rPr>
        <w:t>W</w:t>
      </w:r>
      <w:r w:rsidR="00A45CB6">
        <w:rPr>
          <w:lang w:val="en-US"/>
        </w:rPr>
        <w:t>ebsite, 12 February 2024.</w:t>
      </w:r>
    </w:p>
  </w:footnote>
  <w:footnote w:id="53">
    <w:p w14:paraId="4566D6D6" w14:textId="77777777" w:rsidR="000F38BE" w:rsidRPr="00BE6376" w:rsidRDefault="000F38BE" w:rsidP="000F38BE">
      <w:pPr>
        <w:pStyle w:val="FootnoteText"/>
        <w:jc w:val="both"/>
      </w:pPr>
      <w:r w:rsidRPr="00BE6376">
        <w:rPr>
          <w:rStyle w:val="FootnoteReference"/>
        </w:rPr>
        <w:footnoteRef/>
      </w:r>
      <w:r w:rsidRPr="00BE6376">
        <w:t xml:space="preserve"> The Netherlands, Media Dec</w:t>
      </w:r>
      <w:r>
        <w:t>ree</w:t>
      </w:r>
      <w:r w:rsidRPr="00BE6376">
        <w:t xml:space="preserve"> 2008 (</w:t>
      </w:r>
      <w:r w:rsidRPr="00BE6376">
        <w:rPr>
          <w:i/>
        </w:rPr>
        <w:t>Mediabesluit 2008</w:t>
      </w:r>
      <w:r w:rsidRPr="00BE6376">
        <w:t>),</w:t>
      </w:r>
      <w:r>
        <w:t xml:space="preserve"> </w:t>
      </w:r>
      <w:hyperlink r:id="rId52" w:history="1">
        <w:r w:rsidRPr="0059639D">
          <w:rPr>
            <w:rStyle w:val="Hyperlink"/>
          </w:rPr>
          <w:t>Article 15</w:t>
        </w:r>
      </w:hyperlink>
      <w:r>
        <w:t>.</w:t>
      </w:r>
    </w:p>
  </w:footnote>
  <w:footnote w:id="54">
    <w:p w14:paraId="4A1D6575" w14:textId="2ACD1D24" w:rsidR="00041C27" w:rsidRPr="00BE6376" w:rsidRDefault="00041C27" w:rsidP="00041C27">
      <w:pPr>
        <w:pStyle w:val="FootnoteText"/>
        <w:jc w:val="both"/>
      </w:pPr>
      <w:r w:rsidRPr="00BE6376">
        <w:rPr>
          <w:rStyle w:val="FootnoteReference"/>
        </w:rPr>
        <w:footnoteRef/>
      </w:r>
      <w:r w:rsidRPr="00BE6376">
        <w:t xml:space="preserve"> The Netherlands, Media Dec</w:t>
      </w:r>
      <w:r>
        <w:t>ree</w:t>
      </w:r>
      <w:r w:rsidRPr="00BE6376">
        <w:t xml:space="preserve"> 2008 (</w:t>
      </w:r>
      <w:r w:rsidRPr="00BE6376">
        <w:rPr>
          <w:i/>
        </w:rPr>
        <w:t>Mediabesluit 2008</w:t>
      </w:r>
      <w:r w:rsidRPr="00BE6376">
        <w:t>),</w:t>
      </w:r>
      <w:r>
        <w:t xml:space="preserve"> </w:t>
      </w:r>
      <w:hyperlink r:id="rId53" w:history="1">
        <w:r w:rsidRPr="00B45EA8">
          <w:rPr>
            <w:rStyle w:val="Hyperlink"/>
          </w:rPr>
          <w:t xml:space="preserve">Article </w:t>
        </w:r>
        <w:r w:rsidR="0059639D" w:rsidRPr="00B45EA8">
          <w:rPr>
            <w:rStyle w:val="Hyperlink"/>
          </w:rPr>
          <w:t>1</w:t>
        </w:r>
        <w:r w:rsidR="00B45EA8" w:rsidRPr="00B45EA8">
          <w:rPr>
            <w:rStyle w:val="Hyperlink"/>
          </w:rPr>
          <w:t>7</w:t>
        </w:r>
      </w:hyperlink>
      <w:r w:rsidR="0059639D">
        <w:t>.</w:t>
      </w:r>
    </w:p>
  </w:footnote>
  <w:footnote w:id="55">
    <w:p w14:paraId="62CCDF5A" w14:textId="3C56C8F6" w:rsidR="00BC13DD" w:rsidRPr="00BE6376" w:rsidRDefault="00BC13DD" w:rsidP="00BC13DD">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54" w:history="1">
        <w:r w:rsidRPr="00084FED">
          <w:rPr>
            <w:rStyle w:val="Hyperlink"/>
          </w:rPr>
          <w:t>Article J</w:t>
        </w:r>
        <w:r w:rsidR="00077386">
          <w:rPr>
            <w:rStyle w:val="Hyperlink"/>
          </w:rPr>
          <w:t xml:space="preserve"> </w:t>
        </w:r>
        <w:r w:rsidRPr="00084FED">
          <w:rPr>
            <w:rStyle w:val="Hyperlink"/>
          </w:rPr>
          <w:t>4</w:t>
        </w:r>
      </w:hyperlink>
      <w:r>
        <w:t>.</w:t>
      </w:r>
    </w:p>
  </w:footnote>
  <w:footnote w:id="56">
    <w:p w14:paraId="6B7452B1" w14:textId="68685850" w:rsidR="00077386" w:rsidRPr="00BE6376" w:rsidRDefault="00077386" w:rsidP="00077386">
      <w:pPr>
        <w:pStyle w:val="FootnoteText"/>
        <w:jc w:val="both"/>
      </w:pPr>
      <w:r w:rsidRPr="00BE6376">
        <w:rPr>
          <w:rStyle w:val="FootnoteReference"/>
        </w:rPr>
        <w:footnoteRef/>
      </w:r>
      <w:r w:rsidRPr="00BE6376">
        <w:t xml:space="preserve"> The Netherlands, Electoral </w:t>
      </w:r>
      <w:r>
        <w:t>Act</w:t>
      </w:r>
      <w:r w:rsidRPr="00BE6376">
        <w:t xml:space="preserve"> (</w:t>
      </w:r>
      <w:r w:rsidRPr="00BE6376">
        <w:rPr>
          <w:i/>
        </w:rPr>
        <w:t>Kieswet</w:t>
      </w:r>
      <w:r w:rsidRPr="00BE6376">
        <w:t xml:space="preserve">), </w:t>
      </w:r>
      <w:hyperlink r:id="rId55" w:history="1">
        <w:r w:rsidRPr="00084FED">
          <w:rPr>
            <w:rStyle w:val="Hyperlink"/>
          </w:rPr>
          <w:t>Article J</w:t>
        </w:r>
        <w:r>
          <w:rPr>
            <w:rStyle w:val="Hyperlink"/>
          </w:rPr>
          <w:t xml:space="preserve"> </w:t>
        </w:r>
        <w:r w:rsidRPr="00084FED">
          <w:rPr>
            <w:rStyle w:val="Hyperlink"/>
          </w:rPr>
          <w:t>4</w:t>
        </w:r>
      </w:hyperlink>
      <w:r>
        <w:t>.</w:t>
      </w:r>
    </w:p>
  </w:footnote>
  <w:footnote w:id="57">
    <w:p w14:paraId="1078DE26" w14:textId="53CFA382" w:rsidR="007811E4" w:rsidRPr="007811E4" w:rsidRDefault="007811E4">
      <w:pPr>
        <w:pStyle w:val="FootnoteText"/>
        <w:rPr>
          <w:lang w:val="nl-NL"/>
        </w:rPr>
      </w:pPr>
      <w:r>
        <w:rPr>
          <w:rStyle w:val="FootnoteReference"/>
        </w:rPr>
        <w:footnoteRef/>
      </w:r>
      <w:r>
        <w:t xml:space="preserve"> </w:t>
      </w:r>
      <w:r w:rsidRPr="001737B3">
        <w:t>The Netherlands, Ministry of Interior and Kingdom Relations (</w:t>
      </w:r>
      <w:r w:rsidRPr="001737B3">
        <w:rPr>
          <w:i/>
          <w:iCs/>
        </w:rPr>
        <w:t>Ministerie van Binnenlandse Zaken en Koninkrijksrelaties</w:t>
      </w:r>
      <w:r w:rsidRPr="001737B3">
        <w:t xml:space="preserve">) (2023), </w:t>
      </w:r>
      <w:r w:rsidR="00BC1A73" w:rsidRPr="001737B3">
        <w:t>Evaluation of elections. Evaluation of provincial council and water board member elections (15 March 2023) (</w:t>
      </w:r>
      <w:hyperlink r:id="rId56" w:history="1">
        <w:r w:rsidR="00BC1A73" w:rsidRPr="00B3632A">
          <w:rPr>
            <w:rStyle w:val="Hyperlink"/>
            <w:i/>
            <w:iCs/>
          </w:rPr>
          <w:t xml:space="preserve">Evaluatie verkiezingen. </w:t>
        </w:r>
        <w:r w:rsidR="00BC1A73" w:rsidRPr="00B3632A">
          <w:rPr>
            <w:rStyle w:val="Hyperlink"/>
            <w:i/>
            <w:iCs/>
            <w:lang w:val="nl-NL"/>
          </w:rPr>
          <w:t>Evaluatie van de verkiezingen van de leden van de Provinciale Staten en van de Waterschappen (15 maart 2023))</w:t>
        </w:r>
      </w:hyperlink>
    </w:p>
  </w:footnote>
  <w:footnote w:id="58">
    <w:p w14:paraId="373598A5" w14:textId="6B324E89" w:rsidR="00185298" w:rsidRPr="00185298" w:rsidRDefault="00185298">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BC1A73">
        <w:rPr>
          <w:i/>
          <w:iCs/>
          <w:lang w:val="nl-NL"/>
        </w:rPr>
        <w:t>Ministerie van Binnenlandse Zaken en Koninkrijksrelaties</w:t>
      </w:r>
      <w:r>
        <w:rPr>
          <w:lang w:val="nl-NL"/>
        </w:rPr>
        <w:t>) (2023),</w:t>
      </w:r>
      <w:r w:rsidRPr="001737B3">
        <w:rPr>
          <w:lang w:val="nl-NL"/>
        </w:rPr>
        <w:t xml:space="preserve"> S</w:t>
      </w:r>
      <w:r w:rsidRPr="00185298">
        <w:rPr>
          <w:lang w:val="nl-NL"/>
        </w:rPr>
        <w:t>ample accessibility polling stations</w:t>
      </w:r>
      <w:r>
        <w:rPr>
          <w:lang w:val="nl-NL"/>
        </w:rPr>
        <w:t xml:space="preserve"> (</w:t>
      </w:r>
      <w:hyperlink r:id="rId57" w:history="1">
        <w:r w:rsidRPr="007C3602">
          <w:rPr>
            <w:rStyle w:val="Hyperlink"/>
            <w:i/>
            <w:iCs/>
            <w:lang w:val="nl-NL"/>
          </w:rPr>
          <w:t>Steekproef toegankelijkheid stemlokalen</w:t>
        </w:r>
      </w:hyperlink>
      <w:r w:rsidRPr="007C3602">
        <w:rPr>
          <w:i/>
          <w:iCs/>
          <w:lang w:val="nl-NL"/>
        </w:rPr>
        <w:t>),</w:t>
      </w:r>
      <w:r>
        <w:rPr>
          <w:lang w:val="nl-NL"/>
        </w:rPr>
        <w:t xml:space="preserve"> </w:t>
      </w:r>
      <w:r w:rsidR="007C3602">
        <w:rPr>
          <w:lang w:val="nl-NL"/>
        </w:rPr>
        <w:t>Eindhoven, Bureau Ongehinderd.</w:t>
      </w:r>
    </w:p>
  </w:footnote>
  <w:footnote w:id="59">
    <w:p w14:paraId="320E66C4" w14:textId="4FF29488" w:rsidR="00757FD9" w:rsidRPr="007811E4" w:rsidRDefault="00757FD9" w:rsidP="00757FD9">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BC1A73">
        <w:rPr>
          <w:i/>
          <w:iCs/>
          <w:lang w:val="nl-NL"/>
        </w:rPr>
        <w:t>Ministerie van Binnenlandse Zaken en Koninkrijksrelaties</w:t>
      </w:r>
      <w:r>
        <w:rPr>
          <w:lang w:val="nl-NL"/>
        </w:rPr>
        <w:t xml:space="preserve">) (2023), </w:t>
      </w:r>
      <w:r w:rsidRPr="00BC1A73">
        <w:rPr>
          <w:lang w:val="nl-NL"/>
        </w:rPr>
        <w:t xml:space="preserve">Evaluation of elections. </w:t>
      </w:r>
      <w:r w:rsidRPr="00A94DDC">
        <w:rPr>
          <w:lang w:val="nl-NL"/>
        </w:rPr>
        <w:t>Evaluation of provincial council and water board member elections (15 March 2023) (</w:t>
      </w:r>
      <w:hyperlink r:id="rId58" w:history="1">
        <w:r w:rsidRPr="00A94DDC">
          <w:rPr>
            <w:rStyle w:val="Hyperlink"/>
            <w:i/>
            <w:iCs/>
            <w:lang w:val="nl-NL"/>
          </w:rPr>
          <w:t xml:space="preserve">Evaluatie verkiezingen. </w:t>
        </w:r>
        <w:r w:rsidRPr="00B3632A">
          <w:rPr>
            <w:rStyle w:val="Hyperlink"/>
            <w:i/>
            <w:iCs/>
            <w:lang w:val="nl-NL"/>
          </w:rPr>
          <w:t>Evaluatie van de verkiezingen van de leden van de Provinciale Staten en van de Waterschappen (15 maart 2023))</w:t>
        </w:r>
      </w:hyperlink>
    </w:p>
  </w:footnote>
  <w:footnote w:id="60">
    <w:p w14:paraId="4881B263" w14:textId="28D5AED0" w:rsidR="00C92A47" w:rsidRPr="006F0839" w:rsidRDefault="00C92A47" w:rsidP="00C92A47">
      <w:pPr>
        <w:pStyle w:val="FootnoteText"/>
        <w:rPr>
          <w:lang w:val="nl-NL"/>
        </w:rPr>
      </w:pPr>
      <w:r>
        <w:rPr>
          <w:rStyle w:val="FootnoteReference"/>
        </w:rPr>
        <w:footnoteRef/>
      </w:r>
      <w:r w:rsidRPr="001737B3">
        <w:rPr>
          <w:lang w:val="nl-NL"/>
        </w:rPr>
        <w:t xml:space="preserve"> </w:t>
      </w:r>
      <w:r>
        <w:rPr>
          <w:lang w:val="nl-NL"/>
        </w:rPr>
        <w:t>The Netherlands, Netherlands Patient Federation (</w:t>
      </w:r>
      <w:r w:rsidRPr="008E0DAD">
        <w:rPr>
          <w:i/>
          <w:iCs/>
          <w:lang w:val="nl-NL"/>
        </w:rPr>
        <w:t>Nederlandse Patientenfederatie</w:t>
      </w:r>
      <w:r>
        <w:rPr>
          <w:lang w:val="nl-NL"/>
        </w:rPr>
        <w:t xml:space="preserve">) (2023), </w:t>
      </w:r>
      <w:r w:rsidR="006F0839">
        <w:rPr>
          <w:lang w:val="nl-NL"/>
        </w:rPr>
        <w:t>‘</w:t>
      </w:r>
      <w:r w:rsidR="006F0839" w:rsidRPr="006F0839">
        <w:rPr>
          <w:lang w:val="nl-NL"/>
        </w:rPr>
        <w:t>Accessibility to public buildings and workplaces</w:t>
      </w:r>
      <w:r w:rsidR="006F0839">
        <w:rPr>
          <w:lang w:val="nl-NL"/>
        </w:rPr>
        <w:t xml:space="preserve">’, </w:t>
      </w:r>
      <w:r w:rsidR="006F0839" w:rsidRPr="006F0839">
        <w:rPr>
          <w:lang w:val="nl-NL"/>
        </w:rPr>
        <w:t>(</w:t>
      </w:r>
      <w:r w:rsidR="006F0839">
        <w:rPr>
          <w:lang w:val="nl-NL"/>
        </w:rPr>
        <w:t>‘</w:t>
      </w:r>
      <w:hyperlink r:id="rId59" w:history="1">
        <w:r w:rsidR="006F0839" w:rsidRPr="00AF005A">
          <w:rPr>
            <w:rStyle w:val="Hyperlink"/>
            <w:lang w:val="nl-NL"/>
          </w:rPr>
          <w:t>Toegankelijkheid openbare gebouwen en werkplekken’</w:t>
        </w:r>
      </w:hyperlink>
      <w:r w:rsidR="006F0839" w:rsidRPr="007C3602">
        <w:rPr>
          <w:i/>
          <w:iCs/>
          <w:lang w:val="nl-NL"/>
        </w:rPr>
        <w:t>)</w:t>
      </w:r>
      <w:r w:rsidR="006F0839">
        <w:rPr>
          <w:i/>
          <w:iCs/>
          <w:lang w:val="nl-NL"/>
        </w:rPr>
        <w:t xml:space="preserve">, </w:t>
      </w:r>
      <w:r w:rsidR="00AF005A">
        <w:rPr>
          <w:lang w:val="nl-NL"/>
        </w:rPr>
        <w:t>Web page, 20 august 2023.</w:t>
      </w:r>
    </w:p>
  </w:footnote>
  <w:footnote w:id="61">
    <w:p w14:paraId="6F25014F" w14:textId="77777777" w:rsidR="005A72B7" w:rsidRPr="00EA6BD8" w:rsidRDefault="005A72B7" w:rsidP="005A72B7">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(2021), Action Programme Accessible Voting (</w:t>
      </w:r>
      <w:hyperlink r:id="rId60" w:history="1">
        <w:r w:rsidRPr="001737B3">
          <w:rPr>
            <w:rStyle w:val="Hyperlink"/>
            <w:i/>
            <w:iCs/>
            <w:lang w:val="nl-NL"/>
          </w:rPr>
          <w:t>Actieplan Toegankelijk Stemmen</w:t>
        </w:r>
      </w:hyperlink>
      <w:r w:rsidRPr="001737B3">
        <w:rPr>
          <w:lang w:val="nl-NL"/>
        </w:rPr>
        <w:t>).</w:t>
      </w:r>
    </w:p>
  </w:footnote>
  <w:footnote w:id="62">
    <w:p w14:paraId="79B0219E" w14:textId="77777777" w:rsidR="005A72B7" w:rsidRPr="00EA6BD8" w:rsidRDefault="005A72B7" w:rsidP="005A72B7">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(2022), Evaluation. Action Programme Accessible Voting (</w:t>
      </w:r>
      <w:hyperlink r:id="rId61" w:history="1">
        <w:r w:rsidRPr="001737B3">
          <w:rPr>
            <w:rStyle w:val="Hyperlink"/>
            <w:i/>
            <w:iCs/>
            <w:lang w:val="nl-NL"/>
          </w:rPr>
          <w:t>Evaluatie Actieplan Toegankelijk Stemmen</w:t>
        </w:r>
        <w:r w:rsidRPr="001737B3">
          <w:rPr>
            <w:rStyle w:val="Hyperlink"/>
            <w:lang w:val="nl-NL"/>
          </w:rPr>
          <w:t>)</w:t>
        </w:r>
      </w:hyperlink>
      <w:r w:rsidRPr="001737B3">
        <w:rPr>
          <w:lang w:val="nl-NL"/>
        </w:rPr>
        <w:t>.</w:t>
      </w:r>
    </w:p>
  </w:footnote>
  <w:footnote w:id="63">
    <w:p w14:paraId="75069638" w14:textId="77777777" w:rsidR="005A72B7" w:rsidRPr="0025653C" w:rsidRDefault="005A72B7" w:rsidP="005A72B7">
      <w:pPr>
        <w:pStyle w:val="FootnoteText"/>
        <w:rPr>
          <w:lang w:val="nl-NL"/>
        </w:rPr>
      </w:pPr>
      <w:r>
        <w:rPr>
          <w:rStyle w:val="FootnoteReference"/>
        </w:rPr>
        <w:footnoteRef/>
      </w:r>
      <w:r w:rsidRPr="001737B3">
        <w:rPr>
          <w:lang w:val="nl-NL"/>
        </w:rPr>
        <w:t xml:space="preserve"> The Netherlands, Association of Netherlands  Municipalities (</w:t>
      </w:r>
      <w:r w:rsidRPr="001737B3">
        <w:rPr>
          <w:i/>
          <w:iCs/>
          <w:lang w:val="nl-NL"/>
        </w:rPr>
        <w:t>Vereniging van Nederlandse Gemeenten</w:t>
      </w:r>
      <w:r w:rsidRPr="001737B3">
        <w:rPr>
          <w:lang w:val="nl-NL"/>
        </w:rPr>
        <w:t xml:space="preserve">) (2022),  Accessible voting guide. </w:t>
      </w:r>
      <w:r w:rsidRPr="00FD6577">
        <w:t>Tips and examples for setting up a polling station for a specific target group</w:t>
      </w:r>
      <w:r w:rsidRPr="00EA6BD8">
        <w:t>) (</w:t>
      </w:r>
      <w:hyperlink r:id="rId62" w:history="1">
        <w:r w:rsidRPr="003C5083">
          <w:rPr>
            <w:rStyle w:val="Hyperlink"/>
            <w:i/>
            <w:iCs/>
          </w:rPr>
          <w:t xml:space="preserve">Handreiking Toegankelijk stemmen. </w:t>
        </w:r>
        <w:r w:rsidRPr="001737B3">
          <w:rPr>
            <w:rStyle w:val="Hyperlink"/>
            <w:i/>
            <w:iCs/>
            <w:lang w:val="nl-NL"/>
          </w:rPr>
          <w:t>Tips en voorbeelden voor het inrichten van een stemlokaal voor een specifieke doelgroep</w:t>
        </w:r>
      </w:hyperlink>
      <w:r w:rsidRPr="001737B3">
        <w:rPr>
          <w:lang w:val="nl-NL"/>
        </w:rPr>
        <w:t>).</w:t>
      </w:r>
    </w:p>
  </w:footnote>
  <w:footnote w:id="64">
    <w:p w14:paraId="18BDCADF" w14:textId="77777777" w:rsidR="005A72B7" w:rsidRPr="001737B3" w:rsidRDefault="005A72B7" w:rsidP="005A72B7">
      <w:pPr>
        <w:pStyle w:val="FootnoteText"/>
      </w:pPr>
      <w:r>
        <w:rPr>
          <w:rStyle w:val="FootnoteReference"/>
        </w:rPr>
        <w:footnoteRef/>
      </w:r>
      <w:r>
        <w:t xml:space="preserve"> </w:t>
      </w:r>
      <w:r w:rsidRPr="001737B3">
        <w:t>The Netherlands, Electoral Council (</w:t>
      </w:r>
      <w:r w:rsidRPr="001737B3">
        <w:rPr>
          <w:i/>
          <w:iCs/>
        </w:rPr>
        <w:t>Kiesraa</w:t>
      </w:r>
      <w:r w:rsidRPr="001737B3">
        <w:t xml:space="preserve">d) (2023),  </w:t>
      </w:r>
      <w:hyperlink r:id="rId63" w:history="1">
        <w:r w:rsidRPr="001737B3">
          <w:rPr>
            <w:rStyle w:val="Hyperlink"/>
          </w:rPr>
          <w:t>Website kiesraad.nl.</w:t>
        </w:r>
      </w:hyperlink>
    </w:p>
  </w:footnote>
  <w:footnote w:id="65">
    <w:p w14:paraId="441C8F79" w14:textId="77777777" w:rsidR="005A72B7" w:rsidRPr="001737B3" w:rsidRDefault="005A72B7" w:rsidP="005A72B7">
      <w:pPr>
        <w:pStyle w:val="FootnoteText"/>
      </w:pPr>
      <w:r>
        <w:rPr>
          <w:rStyle w:val="FootnoteReference"/>
        </w:rPr>
        <w:footnoteRef/>
      </w:r>
      <w:r>
        <w:t xml:space="preserve"> </w:t>
      </w:r>
      <w:r w:rsidRPr="001737B3">
        <w:t>The Netherlands, National Government (</w:t>
      </w:r>
      <w:r w:rsidRPr="001737B3">
        <w:rPr>
          <w:i/>
          <w:iCs/>
        </w:rPr>
        <w:t>Rijksoverheid</w:t>
      </w:r>
      <w:r w:rsidRPr="001737B3">
        <w:t xml:space="preserve">) (2023),   </w:t>
      </w:r>
      <w:hyperlink r:id="rId64" w:history="1">
        <w:r w:rsidRPr="001737B3">
          <w:rPr>
            <w:rStyle w:val="Hyperlink"/>
          </w:rPr>
          <w:t>www.elkestemtelt.nl</w:t>
        </w:r>
      </w:hyperlink>
      <w:r w:rsidRPr="001737B3">
        <w:t xml:space="preserve"> .</w:t>
      </w:r>
    </w:p>
  </w:footnote>
  <w:footnote w:id="66">
    <w:p w14:paraId="16B8F338" w14:textId="77777777" w:rsidR="005A72B7" w:rsidRPr="003C6084" w:rsidRDefault="005A72B7" w:rsidP="005A72B7">
      <w:pPr>
        <w:pStyle w:val="FootnoteText"/>
        <w:rPr>
          <w:lang w:val="nl-NL"/>
        </w:rPr>
      </w:pPr>
      <w:r>
        <w:rPr>
          <w:rStyle w:val="FootnoteReference"/>
        </w:rPr>
        <w:footnoteRef/>
      </w:r>
      <w:r>
        <w:t xml:space="preserve"> </w:t>
      </w:r>
      <w:r w:rsidRPr="00EA6BD8">
        <w:t>The Netherlands, Ministry of Interior and Kingdom Relations (</w:t>
      </w:r>
      <w:r w:rsidRPr="003B22F0">
        <w:rPr>
          <w:i/>
          <w:iCs/>
        </w:rPr>
        <w:t>Ministerie van Binnenlandse Zaken en Koninkrijksrelaties</w:t>
      </w:r>
      <w:r w:rsidRPr="00EA6BD8">
        <w:t>) (202</w:t>
      </w:r>
      <w:r>
        <w:t>3</w:t>
      </w:r>
      <w:r w:rsidRPr="00EA6BD8">
        <w:t>),</w:t>
      </w:r>
      <w:r>
        <w:t xml:space="preserve">  ‘Where is my polling station?’, Website. </w:t>
      </w:r>
      <w:r w:rsidRPr="003C6084">
        <w:rPr>
          <w:lang w:val="nl-NL"/>
        </w:rPr>
        <w:t>( ‘</w:t>
      </w:r>
      <w:hyperlink r:id="rId65" w:history="1">
        <w:r w:rsidRPr="003C6084">
          <w:rPr>
            <w:rStyle w:val="Hyperlink"/>
            <w:lang w:val="nl-NL"/>
          </w:rPr>
          <w:t>Waar is mijn stemlokaal</w:t>
        </w:r>
        <w:bookmarkStart w:id="6" w:name="_Hlk152590746"/>
      </w:hyperlink>
      <w:r w:rsidRPr="003C6084">
        <w:rPr>
          <w:lang w:val="nl-NL"/>
        </w:rPr>
        <w:t>?’ Website’)</w:t>
      </w:r>
      <w:bookmarkEnd w:id="6"/>
      <w:r w:rsidRPr="003C6084">
        <w:rPr>
          <w:lang w:val="nl-NL"/>
        </w:rPr>
        <w:t>.</w:t>
      </w:r>
    </w:p>
  </w:footnote>
  <w:footnote w:id="67">
    <w:p w14:paraId="50577226" w14:textId="77777777" w:rsidR="005A72B7" w:rsidRPr="003C6084" w:rsidRDefault="005A72B7" w:rsidP="005A72B7">
      <w:pPr>
        <w:pStyle w:val="FootnoteText"/>
        <w:rPr>
          <w:lang w:val="nl-NL"/>
        </w:rPr>
      </w:pPr>
      <w:r>
        <w:rPr>
          <w:rStyle w:val="FootnoteReference"/>
        </w:rPr>
        <w:footnoteRef/>
      </w:r>
      <w:r w:rsidRPr="003C6084">
        <w:rPr>
          <w:lang w:val="nl-NL"/>
        </w:rPr>
        <w:t xml:space="preserve"> The Netherlands, Electoral council  (</w:t>
      </w:r>
      <w:r w:rsidRPr="003C6084">
        <w:rPr>
          <w:i/>
          <w:iCs/>
          <w:lang w:val="nl-NL"/>
        </w:rPr>
        <w:t>Kiesraa</w:t>
      </w:r>
      <w:r w:rsidRPr="003C6084">
        <w:rPr>
          <w:lang w:val="nl-NL"/>
        </w:rPr>
        <w:t>d) (2022),  An accessible polling station for all voters (</w:t>
      </w:r>
      <w:hyperlink r:id="rId66" w:history="1">
        <w:r w:rsidRPr="003C6084">
          <w:rPr>
            <w:rStyle w:val="Hyperlink"/>
            <w:i/>
            <w:iCs/>
            <w:lang w:val="nl-NL"/>
          </w:rPr>
          <w:t>Een toegankelijk stemlokaal voor alle kiezers</w:t>
        </w:r>
      </w:hyperlink>
      <w:r w:rsidRPr="003C6084">
        <w:rPr>
          <w:lang w:val="nl-NL"/>
        </w:rPr>
        <w:t>)</w:t>
      </w:r>
    </w:p>
  </w:footnote>
  <w:footnote w:id="68">
    <w:p w14:paraId="45C30E98" w14:textId="77777777" w:rsidR="005A72B7" w:rsidRPr="003C6084" w:rsidRDefault="005A72B7" w:rsidP="005A72B7">
      <w:pPr>
        <w:pStyle w:val="FootnoteText"/>
        <w:rPr>
          <w:lang w:val="nl-NL"/>
        </w:rPr>
      </w:pPr>
      <w:r>
        <w:rPr>
          <w:rStyle w:val="FootnoteReference"/>
        </w:rPr>
        <w:footnoteRef/>
      </w:r>
      <w:r w:rsidRPr="003C6084">
        <w:rPr>
          <w:lang w:val="nl-NL"/>
        </w:rPr>
        <w:t xml:space="preserve"> The Netherlands, ProDemos, Ieder(In) and Stichting Lezen en Schrijven (2023),  Politics for everyone  (</w:t>
      </w:r>
      <w:hyperlink r:id="rId67" w:history="1">
        <w:r w:rsidRPr="003C6084">
          <w:rPr>
            <w:rStyle w:val="Hyperlink"/>
            <w:i/>
            <w:iCs/>
            <w:lang w:val="nl-NL"/>
          </w:rPr>
          <w:t>Politiek voor iedereen</w:t>
        </w:r>
      </w:hyperlink>
      <w:r w:rsidRPr="003C6084">
        <w:rPr>
          <w:lang w:val="nl-NL"/>
        </w:rPr>
        <w:t>)</w:t>
      </w:r>
    </w:p>
  </w:footnote>
  <w:footnote w:id="69">
    <w:p w14:paraId="631F06A5" w14:textId="6FC2A183" w:rsidR="00D26B98" w:rsidRPr="00EA6BD8" w:rsidRDefault="00D26B98" w:rsidP="00E86044">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xml:space="preserve">) (2023),  Draft Bill </w:t>
      </w:r>
      <w:r w:rsidR="00E86044" w:rsidRPr="001737B3">
        <w:rPr>
          <w:lang w:val="nl-NL"/>
        </w:rPr>
        <w:t>for Temporary Experiments Act voting assistance (</w:t>
      </w:r>
      <w:hyperlink r:id="rId68" w:history="1">
        <w:r w:rsidR="00E86044" w:rsidRPr="001737B3">
          <w:rPr>
            <w:rStyle w:val="Hyperlink"/>
            <w:i/>
            <w:iCs/>
            <w:lang w:val="nl-NL"/>
          </w:rPr>
          <w:t>Concept wetsvoorstel voor Tijdelijke experimentenwet assistentie bij het stemmen</w:t>
        </w:r>
      </w:hyperlink>
      <w:r w:rsidR="00E86044" w:rsidRPr="001737B3">
        <w:rPr>
          <w:lang w:val="nl-NL"/>
        </w:rPr>
        <w:t>).</w:t>
      </w:r>
    </w:p>
  </w:footnote>
  <w:footnote w:id="70">
    <w:p w14:paraId="6C2AF2BB" w14:textId="77777777" w:rsidR="00C71676" w:rsidRPr="00185298" w:rsidRDefault="00C71676" w:rsidP="00C71676">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BC1A73">
        <w:rPr>
          <w:i/>
          <w:iCs/>
          <w:lang w:val="nl-NL"/>
        </w:rPr>
        <w:t>Ministerie van Binnenlandse Zaken en Koninkrijksrelaties</w:t>
      </w:r>
      <w:r>
        <w:rPr>
          <w:lang w:val="nl-NL"/>
        </w:rPr>
        <w:t>) (2023),</w:t>
      </w:r>
      <w:r w:rsidRPr="001737B3">
        <w:rPr>
          <w:lang w:val="nl-NL"/>
        </w:rPr>
        <w:t xml:space="preserve"> S</w:t>
      </w:r>
      <w:r w:rsidRPr="00185298">
        <w:rPr>
          <w:lang w:val="nl-NL"/>
        </w:rPr>
        <w:t>ample accessibility polling stations</w:t>
      </w:r>
      <w:r>
        <w:rPr>
          <w:lang w:val="nl-NL"/>
        </w:rPr>
        <w:t xml:space="preserve"> (</w:t>
      </w:r>
      <w:hyperlink r:id="rId69" w:history="1">
        <w:r w:rsidRPr="007C3602">
          <w:rPr>
            <w:rStyle w:val="Hyperlink"/>
            <w:i/>
            <w:iCs/>
            <w:lang w:val="nl-NL"/>
          </w:rPr>
          <w:t>Steekproef toegankelijkheid stemlokalen</w:t>
        </w:r>
      </w:hyperlink>
      <w:r w:rsidRPr="007C3602">
        <w:rPr>
          <w:i/>
          <w:iCs/>
          <w:lang w:val="nl-NL"/>
        </w:rPr>
        <w:t>),</w:t>
      </w:r>
      <w:r>
        <w:rPr>
          <w:lang w:val="nl-NL"/>
        </w:rPr>
        <w:t xml:space="preserve"> Eindhoven, Bureau Ongehinderd.</w:t>
      </w:r>
    </w:p>
  </w:footnote>
  <w:footnote w:id="71">
    <w:p w14:paraId="79C39FF6" w14:textId="04EE27D3" w:rsidR="00C71676" w:rsidRPr="007811E4" w:rsidRDefault="00C71676" w:rsidP="00C71676">
      <w:pPr>
        <w:pStyle w:val="FootnoteText"/>
        <w:rPr>
          <w:lang w:val="nl-NL"/>
        </w:rPr>
      </w:pPr>
      <w:r>
        <w:rPr>
          <w:rStyle w:val="FootnoteReference"/>
        </w:rPr>
        <w:footnoteRef/>
      </w:r>
      <w:r w:rsidRPr="001737B3">
        <w:rPr>
          <w:lang w:val="nl-NL"/>
        </w:rPr>
        <w:t xml:space="preserve"> </w:t>
      </w:r>
      <w:r>
        <w:rPr>
          <w:lang w:val="nl-NL"/>
        </w:rPr>
        <w:t>The Netherlands, Ministry of Interior and Kingdom Relations (</w:t>
      </w:r>
      <w:r w:rsidRPr="00BC1A73">
        <w:rPr>
          <w:i/>
          <w:iCs/>
          <w:lang w:val="nl-NL"/>
        </w:rPr>
        <w:t>Ministerie van Binnenlandse Zaken en Koninkrijksrelaties</w:t>
      </w:r>
      <w:r>
        <w:rPr>
          <w:lang w:val="nl-NL"/>
        </w:rPr>
        <w:t xml:space="preserve">) (2023), </w:t>
      </w:r>
      <w:r w:rsidRPr="00BC1A73">
        <w:rPr>
          <w:lang w:val="nl-NL"/>
        </w:rPr>
        <w:t>Evaluation of elections. Evaluation of provincial council and water board member elections (15 March 2023)</w:t>
      </w:r>
      <w:r>
        <w:rPr>
          <w:lang w:val="nl-NL"/>
        </w:rPr>
        <w:t xml:space="preserve"> (</w:t>
      </w:r>
      <w:hyperlink r:id="rId70" w:history="1">
        <w:r w:rsidRPr="00B3632A">
          <w:rPr>
            <w:rStyle w:val="Hyperlink"/>
            <w:i/>
            <w:iCs/>
            <w:lang w:val="nl-NL"/>
          </w:rPr>
          <w:t>Evaluatie verkiezingen. Evaluatie van de verkiezingen van de leden van de Provinciale Staten en van de Waterschappen (15 maart 2023)</w:t>
        </w:r>
      </w:hyperlink>
      <w:r w:rsidRPr="00B064B9">
        <w:rPr>
          <w:i/>
          <w:iCs/>
          <w:lang w:val="nl-NL"/>
        </w:rPr>
        <w:t>)</w:t>
      </w:r>
    </w:p>
  </w:footnote>
  <w:footnote w:id="72">
    <w:p w14:paraId="21C57CB4" w14:textId="7BCE0C92" w:rsidR="00EC3445" w:rsidRPr="006D644F" w:rsidRDefault="00EC3445" w:rsidP="00EC3445">
      <w:pPr>
        <w:pStyle w:val="FootnoteText"/>
        <w:rPr>
          <w:lang w:val="nl-NL"/>
        </w:rPr>
      </w:pPr>
      <w:r>
        <w:rPr>
          <w:rStyle w:val="FootnoteReference"/>
        </w:rPr>
        <w:footnoteRef/>
      </w:r>
      <w:r w:rsidRPr="001737B3">
        <w:rPr>
          <w:lang w:val="nl-NL"/>
        </w:rPr>
        <w:t xml:space="preserve"> </w:t>
      </w:r>
      <w:r>
        <w:rPr>
          <w:lang w:val="nl-NL"/>
        </w:rPr>
        <w:t>The Netherlands, Ieder(in) (202</w:t>
      </w:r>
      <w:r w:rsidR="00927805">
        <w:rPr>
          <w:lang w:val="nl-NL"/>
        </w:rPr>
        <w:t>2</w:t>
      </w:r>
      <w:r>
        <w:rPr>
          <w:lang w:val="nl-NL"/>
        </w:rPr>
        <w:t>),</w:t>
      </w:r>
      <w:r w:rsidR="00681035" w:rsidRPr="00681035">
        <w:rPr>
          <w:lang w:val="nl-NL"/>
        </w:rPr>
        <w:t>Hotline Unlimited voting municipal elections 2022</w:t>
      </w:r>
      <w:r w:rsidR="00EB6E4C">
        <w:rPr>
          <w:lang w:val="nl-NL"/>
        </w:rPr>
        <w:t xml:space="preserve">  </w:t>
      </w:r>
      <w:r w:rsidR="00FA627C">
        <w:rPr>
          <w:lang w:val="nl-NL"/>
        </w:rPr>
        <w:t xml:space="preserve">   (</w:t>
      </w:r>
      <w:hyperlink r:id="rId71" w:history="1">
        <w:r w:rsidR="00EB6E4C" w:rsidRPr="00681035">
          <w:rPr>
            <w:rStyle w:val="Hyperlink"/>
            <w:i/>
            <w:iCs/>
            <w:lang w:val="nl-NL"/>
          </w:rPr>
          <w:t>Meldpunt Onbeperkt stemmen gemeenteraadsverkiezingen 2022</w:t>
        </w:r>
      </w:hyperlink>
      <w:r w:rsidR="00FA627C">
        <w:rPr>
          <w:lang w:val="nl-NL"/>
        </w:rPr>
        <w:t>)</w:t>
      </w:r>
      <w:r w:rsidR="00EB6E4C">
        <w:rPr>
          <w:lang w:val="nl-NL"/>
        </w:rPr>
        <w:t>.</w:t>
      </w:r>
    </w:p>
  </w:footnote>
  <w:footnote w:id="73">
    <w:p w14:paraId="36B3ADF3" w14:textId="1B661813" w:rsidR="00E03F98" w:rsidRPr="006D644F" w:rsidRDefault="00E03F98" w:rsidP="00E03F98">
      <w:pPr>
        <w:pStyle w:val="FootnoteText"/>
        <w:rPr>
          <w:lang w:val="nl-NL"/>
        </w:rPr>
      </w:pPr>
      <w:r>
        <w:rPr>
          <w:rStyle w:val="FootnoteReference"/>
        </w:rPr>
        <w:footnoteRef/>
      </w:r>
      <w:r w:rsidRPr="001737B3">
        <w:rPr>
          <w:lang w:val="nl-NL"/>
        </w:rPr>
        <w:t xml:space="preserve"> </w:t>
      </w:r>
      <w:r>
        <w:rPr>
          <w:lang w:val="nl-NL"/>
        </w:rPr>
        <w:t>The Netherlands, Ieder(in) (202</w:t>
      </w:r>
      <w:r w:rsidR="00524038">
        <w:rPr>
          <w:lang w:val="nl-NL"/>
        </w:rPr>
        <w:t>3</w:t>
      </w:r>
      <w:r>
        <w:rPr>
          <w:lang w:val="nl-NL"/>
        </w:rPr>
        <w:t>),</w:t>
      </w:r>
      <w:r w:rsidR="00B346D9">
        <w:rPr>
          <w:lang w:val="nl-NL"/>
        </w:rPr>
        <w:t xml:space="preserve"> </w:t>
      </w:r>
      <w:r w:rsidRPr="00681035">
        <w:rPr>
          <w:lang w:val="nl-NL"/>
        </w:rPr>
        <w:t>Hotline Unlimited voting elections 202</w:t>
      </w:r>
      <w:r w:rsidR="00524038">
        <w:rPr>
          <w:lang w:val="nl-NL"/>
        </w:rPr>
        <w:t>3</w:t>
      </w:r>
      <w:r>
        <w:rPr>
          <w:lang w:val="nl-NL"/>
        </w:rPr>
        <w:t xml:space="preserve"> </w:t>
      </w:r>
      <w:hyperlink r:id="rId72" w:history="1">
        <w:r w:rsidRPr="0094001D">
          <w:rPr>
            <w:rStyle w:val="Hyperlink"/>
            <w:lang w:val="nl-NL"/>
          </w:rPr>
          <w:t>(</w:t>
        </w:r>
        <w:r w:rsidRPr="0094001D">
          <w:rPr>
            <w:rStyle w:val="Hyperlink"/>
            <w:i/>
            <w:iCs/>
            <w:lang w:val="nl-NL"/>
          </w:rPr>
          <w:t>Meldpunt Onbeperkt stemmen verkiezingen 202</w:t>
        </w:r>
        <w:r w:rsidR="00524038" w:rsidRPr="0094001D">
          <w:rPr>
            <w:rStyle w:val="Hyperlink"/>
            <w:i/>
            <w:iCs/>
            <w:lang w:val="nl-NL"/>
          </w:rPr>
          <w:t>3</w:t>
        </w:r>
        <w:r w:rsidRPr="0094001D">
          <w:rPr>
            <w:rStyle w:val="Hyperlink"/>
            <w:lang w:val="nl-NL"/>
          </w:rPr>
          <w:t>)</w:t>
        </w:r>
      </w:hyperlink>
      <w:r>
        <w:rPr>
          <w:lang w:val="nl-NL"/>
        </w:rPr>
        <w:t>.</w:t>
      </w:r>
    </w:p>
  </w:footnote>
  <w:footnote w:id="74">
    <w:p w14:paraId="74B85F93" w14:textId="77777777" w:rsidR="000B2D49" w:rsidRPr="006D644F" w:rsidRDefault="000B2D49" w:rsidP="000B2D49">
      <w:pPr>
        <w:pStyle w:val="FootnoteText"/>
        <w:rPr>
          <w:lang w:val="nl-NL"/>
        </w:rPr>
      </w:pPr>
      <w:r>
        <w:rPr>
          <w:rStyle w:val="FootnoteReference"/>
        </w:rPr>
        <w:footnoteRef/>
      </w:r>
      <w:r w:rsidRPr="001737B3">
        <w:rPr>
          <w:lang w:val="nl-NL"/>
        </w:rPr>
        <w:t xml:space="preserve"> </w:t>
      </w:r>
      <w:r>
        <w:rPr>
          <w:lang w:val="nl-NL"/>
        </w:rPr>
        <w:t>The Netherlands, Ieder(in) (2023), ‘</w:t>
      </w:r>
      <w:r w:rsidRPr="00A13FC7">
        <w:rPr>
          <w:lang w:val="nl-NL"/>
        </w:rPr>
        <w:t>Accessible election manifestos</w:t>
      </w:r>
      <w:r>
        <w:rPr>
          <w:lang w:val="nl-NL"/>
        </w:rPr>
        <w:t>’ (‘</w:t>
      </w:r>
      <w:hyperlink r:id="rId73" w:history="1">
        <w:r w:rsidRPr="00E16522">
          <w:rPr>
            <w:rStyle w:val="Hyperlink"/>
            <w:lang w:val="nl-NL"/>
          </w:rPr>
          <w:t>Toegankelijke verkiezingsprogramma’s’</w:t>
        </w:r>
      </w:hyperlink>
      <w:r>
        <w:rPr>
          <w:lang w:val="nl-NL"/>
        </w:rPr>
        <w:t>), Webpage, 17 November 2023,</w:t>
      </w:r>
    </w:p>
  </w:footnote>
  <w:footnote w:id="75">
    <w:p w14:paraId="2FAE7B39" w14:textId="7A447EFB" w:rsidR="005C25F4" w:rsidRPr="005C25F4" w:rsidRDefault="005C25F4">
      <w:pPr>
        <w:pStyle w:val="FootnoteText"/>
        <w:rPr>
          <w:lang w:val="nl-NL"/>
        </w:rPr>
      </w:pPr>
      <w:r>
        <w:rPr>
          <w:rStyle w:val="FootnoteReference"/>
        </w:rPr>
        <w:footnoteRef/>
      </w:r>
      <w:r w:rsidRPr="001737B3">
        <w:rPr>
          <w:lang w:val="nl-NL"/>
        </w:rPr>
        <w:t xml:space="preserve"> The Netherlands, Association of Netherlands  Municipalities</w:t>
      </w:r>
      <w:r w:rsidR="006F6594">
        <w:rPr>
          <w:lang w:val="nl-NL"/>
        </w:rPr>
        <w:t xml:space="preserve"> (</w:t>
      </w:r>
      <w:r w:rsidR="006F6594" w:rsidRPr="006F6594">
        <w:rPr>
          <w:i/>
          <w:iCs/>
          <w:lang w:val="nl-NL"/>
        </w:rPr>
        <w:t>Vereniging van Nederlandse Gemeenten</w:t>
      </w:r>
      <w:r w:rsidR="006F6594">
        <w:rPr>
          <w:lang w:val="nl-NL"/>
        </w:rPr>
        <w:t>)</w:t>
      </w:r>
      <w:r w:rsidRPr="001737B3">
        <w:rPr>
          <w:lang w:val="nl-NL"/>
        </w:rPr>
        <w:t xml:space="preserve">  (2022), ‘Voting template used more often for blind and visually impaired voters’, (‘</w:t>
      </w:r>
      <w:hyperlink r:id="rId74" w:history="1">
        <w:r w:rsidRPr="00AF470A">
          <w:rPr>
            <w:rStyle w:val="Hyperlink"/>
            <w:lang w:val="nl-NL"/>
          </w:rPr>
          <w:t>Stemmal vaker ingezet voor blinde en slechtziende kiezers’</w:t>
        </w:r>
      </w:hyperlink>
      <w:r w:rsidRPr="001737B3">
        <w:rPr>
          <w:lang w:val="nl-NL"/>
        </w:rPr>
        <w:t>), News release, 17 February 2022.</w:t>
      </w:r>
    </w:p>
  </w:footnote>
  <w:footnote w:id="76">
    <w:p w14:paraId="09BF84ED" w14:textId="11AC6BD1" w:rsidR="0002708E" w:rsidRPr="0002708E" w:rsidRDefault="0002708E">
      <w:pPr>
        <w:pStyle w:val="FootnoteText"/>
        <w:rPr>
          <w:lang w:val="nl-NL"/>
        </w:rPr>
      </w:pPr>
      <w:r>
        <w:rPr>
          <w:rStyle w:val="FootnoteReference"/>
        </w:rPr>
        <w:footnoteRef/>
      </w:r>
      <w:r w:rsidRPr="001737B3">
        <w:rPr>
          <w:lang w:val="nl-NL"/>
        </w:rPr>
        <w:t xml:space="preserve"> </w:t>
      </w:r>
      <w:r w:rsidR="0048289A" w:rsidRPr="001737B3">
        <w:rPr>
          <w:lang w:val="nl-NL"/>
        </w:rPr>
        <w:t>The Netherlands, Eye Association Netherlands (</w:t>
      </w:r>
      <w:r w:rsidR="0048289A" w:rsidRPr="001737B3">
        <w:rPr>
          <w:i/>
          <w:iCs/>
          <w:lang w:val="nl-NL"/>
        </w:rPr>
        <w:t>Oogvereniging</w:t>
      </w:r>
      <w:r w:rsidR="0048289A" w:rsidRPr="001737B3">
        <w:rPr>
          <w:lang w:val="nl-NL"/>
        </w:rPr>
        <w:t xml:space="preserve">) (2023), ‘ </w:t>
      </w:r>
      <w:r w:rsidR="00646B30" w:rsidRPr="001737B3">
        <w:rPr>
          <w:lang w:val="nl-NL"/>
        </w:rPr>
        <w:t>More and more municipalities use voting template for visually impaired people’ (‘</w:t>
      </w:r>
      <w:hyperlink r:id="rId75" w:history="1">
        <w:r w:rsidR="007E10C2" w:rsidRPr="001737B3">
          <w:rPr>
            <w:rStyle w:val="Hyperlink"/>
            <w:lang w:val="nl-NL"/>
          </w:rPr>
          <w:t>Steeds meer gemeenten gebruiken stemmal voor slechtzienden’</w:t>
        </w:r>
      </w:hyperlink>
      <w:r w:rsidR="00646B30" w:rsidRPr="001737B3">
        <w:rPr>
          <w:lang w:val="nl-NL"/>
        </w:rPr>
        <w:t>)</w:t>
      </w:r>
      <w:r w:rsidR="0048289A" w:rsidRPr="001737B3">
        <w:rPr>
          <w:lang w:val="nl-NL"/>
        </w:rPr>
        <w:t xml:space="preserve"> </w:t>
      </w:r>
      <w:r w:rsidR="007E10C2" w:rsidRPr="001737B3">
        <w:rPr>
          <w:lang w:val="nl-NL"/>
        </w:rPr>
        <w:t xml:space="preserve">, News item, </w:t>
      </w:r>
      <w:r w:rsidR="00C31733" w:rsidRPr="001737B3">
        <w:rPr>
          <w:lang w:val="nl-NL"/>
        </w:rPr>
        <w:t>13 November 2023.</w:t>
      </w:r>
    </w:p>
  </w:footnote>
  <w:footnote w:id="77">
    <w:p w14:paraId="03E72288" w14:textId="77777777" w:rsidR="001E0058" w:rsidRPr="00EA6BD8" w:rsidRDefault="001E0058" w:rsidP="001E0058">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xml:space="preserve">) (2022), Evaluation. </w:t>
      </w:r>
      <w:r w:rsidRPr="00101A13">
        <w:rPr>
          <w:lang w:val="nl-NL"/>
        </w:rPr>
        <w:t>Action Programme Accessible Voting (</w:t>
      </w:r>
      <w:hyperlink r:id="rId76" w:history="1">
        <w:r w:rsidRPr="00101A13">
          <w:rPr>
            <w:rStyle w:val="Hyperlink"/>
            <w:i/>
            <w:iCs/>
            <w:lang w:val="nl-NL"/>
          </w:rPr>
          <w:t>Evaluatie Actieplan Toegankelijk Stemmen</w:t>
        </w:r>
        <w:r w:rsidRPr="00101A13">
          <w:rPr>
            <w:rStyle w:val="Hyperlink"/>
            <w:lang w:val="nl-NL"/>
          </w:rPr>
          <w:t>)</w:t>
        </w:r>
      </w:hyperlink>
      <w:r w:rsidRPr="00101A13">
        <w:rPr>
          <w:lang w:val="nl-NL"/>
        </w:rPr>
        <w:t>.</w:t>
      </w:r>
    </w:p>
  </w:footnote>
  <w:footnote w:id="78">
    <w:p w14:paraId="6AC893E7" w14:textId="77777777" w:rsidR="004F5013" w:rsidRPr="00EA6BD8" w:rsidRDefault="004F5013" w:rsidP="004F5013">
      <w:pPr>
        <w:pStyle w:val="FootnoteText"/>
        <w:rPr>
          <w:lang w:val="nl-NL"/>
        </w:rPr>
      </w:pPr>
      <w:r>
        <w:rPr>
          <w:rStyle w:val="FootnoteReference"/>
        </w:rPr>
        <w:footnoteRef/>
      </w:r>
      <w:r w:rsidRPr="001737B3">
        <w:rPr>
          <w:lang w:val="nl-NL"/>
        </w:rPr>
        <w:t xml:space="preserve"> The Netherlands, Ministry of Interior and Kingdom Relations (</w:t>
      </w:r>
      <w:r w:rsidRPr="001737B3">
        <w:rPr>
          <w:i/>
          <w:iCs/>
          <w:lang w:val="nl-NL"/>
        </w:rPr>
        <w:t>Ministerie van Binnenlandse Zaken en Koninkrijksrelaties</w:t>
      </w:r>
      <w:r w:rsidRPr="001737B3">
        <w:rPr>
          <w:lang w:val="nl-NL"/>
        </w:rPr>
        <w:t xml:space="preserve">) (2022), Evaluation. </w:t>
      </w:r>
      <w:r w:rsidRPr="00101A13">
        <w:rPr>
          <w:lang w:val="nl-NL"/>
        </w:rPr>
        <w:t>Action Programme Accessible Voting (</w:t>
      </w:r>
      <w:hyperlink r:id="rId77" w:history="1">
        <w:r w:rsidRPr="00101A13">
          <w:rPr>
            <w:rStyle w:val="Hyperlink"/>
            <w:i/>
            <w:iCs/>
            <w:lang w:val="nl-NL"/>
          </w:rPr>
          <w:t>Evaluatie Actieplan Toegankelijk Stemmen</w:t>
        </w:r>
        <w:r w:rsidRPr="00101A13">
          <w:rPr>
            <w:rStyle w:val="Hyperlink"/>
            <w:lang w:val="nl-NL"/>
          </w:rPr>
          <w:t>)</w:t>
        </w:r>
      </w:hyperlink>
      <w:r w:rsidRPr="00101A13">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A05A7" w14:textId="77777777" w:rsidR="00BE16CE" w:rsidRDefault="00BE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Page Number - In Header"/>
      <w:tag w:val="rustgbTodqcIXC6jnYNaU0-Tz4Wf3Ws02PVbyArcGaiF2"/>
      <w:id w:val="-1984222376"/>
      <w:showingPlcHdr/>
    </w:sdtPr>
    <w:sdtEndPr/>
    <w:sdtContent>
      <w:p w14:paraId="0ACB2392" w14:textId="081EA918" w:rsidR="00610C73" w:rsidRDefault="009E72AE">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FF85" w14:textId="77777777" w:rsidR="00BE16CE" w:rsidRDefault="00BE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7F6E"/>
    <w:multiLevelType w:val="multilevel"/>
    <w:tmpl w:val="1B9A6BE2"/>
    <w:name w:val="ListNumberNumbering"/>
    <w:lvl w:ilvl="0">
      <w:start w:val="1"/>
      <w:numFmt w:val="decimal"/>
      <w:pStyle w:val="ListNumber"/>
      <w:lvlText w:val="%1."/>
      <w:lvlJc w:val="left"/>
      <w:pPr>
        <w:ind w:left="1134" w:hanging="567"/>
      </w:pPr>
      <w:rPr>
        <w:rFonts w:hint="default"/>
        <w:color w:val="525E65"/>
      </w:rPr>
    </w:lvl>
    <w:lvl w:ilvl="1">
      <w:start w:val="1"/>
      <w:numFmt w:val="decimal"/>
      <w:pStyle w:val="ListNumberLevel2"/>
      <w:lvlText w:val="%1.%2."/>
      <w:lvlJc w:val="left"/>
      <w:pPr>
        <w:ind w:left="1701" w:hanging="567"/>
      </w:pPr>
      <w:rPr>
        <w:rFonts w:hint="default"/>
        <w:color w:val="525E65"/>
      </w:rPr>
    </w:lvl>
    <w:lvl w:ilvl="2">
      <w:start w:val="1"/>
      <w:numFmt w:val="decimal"/>
      <w:pStyle w:val="ListNumberLevel3"/>
      <w:lvlText w:val="%1.%2.%3."/>
      <w:lvlJc w:val="left"/>
      <w:pPr>
        <w:ind w:left="2268" w:hanging="851"/>
      </w:pPr>
      <w:rPr>
        <w:rFonts w:hint="default"/>
        <w:color w:val="525E65"/>
      </w:rPr>
    </w:lvl>
    <w:lvl w:ilvl="3">
      <w:start w:val="1"/>
      <w:numFmt w:val="decimal"/>
      <w:pStyle w:val="ListNumberLevel4"/>
      <w:lvlText w:val="%1.%2.%3.%4."/>
      <w:lvlJc w:val="left"/>
      <w:pPr>
        <w:ind w:left="3118" w:hanging="1134"/>
      </w:pPr>
      <w:rPr>
        <w:rFonts w:ascii="Calibri" w:hAnsi="Calibri" w:hint="default"/>
        <w:color w:val="525E65"/>
      </w:rPr>
    </w:lvl>
    <w:lvl w:ilvl="4">
      <w:start w:val="1"/>
      <w:numFmt w:val="decimal"/>
      <w:pStyle w:val="ListNumberLevel5"/>
      <w:lvlText w:val="%1.%2.%3.%4.%5."/>
      <w:lvlJc w:val="left"/>
      <w:pPr>
        <w:ind w:left="3969" w:hanging="1134"/>
      </w:pPr>
      <w:rPr>
        <w:rFonts w:ascii="Calibri" w:hAnsi="Calibri" w:hint="default"/>
        <w:color w:val="525E65"/>
      </w:rPr>
    </w:lvl>
    <w:lvl w:ilvl="5">
      <w:start w:val="1"/>
      <w:numFmt w:val="decimal"/>
      <w:lvlText w:val="%1.%2.%3.%4.%5."/>
      <w:lvlJc w:val="left"/>
      <w:pPr>
        <w:ind w:left="3969" w:hanging="1134"/>
      </w:pPr>
      <w:rPr>
        <w:rFonts w:ascii="Calibri" w:hAnsi="Calibri" w:hint="default"/>
      </w:rPr>
    </w:lvl>
    <w:lvl w:ilvl="6">
      <w:start w:val="1"/>
      <w:numFmt w:val="decimal"/>
      <w:lvlText w:val="%1.%2.%3.%4.%5."/>
      <w:lvlJc w:val="left"/>
      <w:pPr>
        <w:ind w:left="3969" w:hanging="1134"/>
      </w:pPr>
      <w:rPr>
        <w:rFonts w:ascii="Calibri" w:hAnsi="Calibri" w:hint="default"/>
      </w:rPr>
    </w:lvl>
    <w:lvl w:ilvl="7">
      <w:start w:val="1"/>
      <w:numFmt w:val="decimal"/>
      <w:lvlText w:val="%1.%2.%3.%4.%5."/>
      <w:lvlJc w:val="left"/>
      <w:pPr>
        <w:ind w:left="3969" w:hanging="1134"/>
      </w:pPr>
      <w:rPr>
        <w:rFonts w:ascii="Calibri" w:hAnsi="Calibri" w:hint="default"/>
      </w:rPr>
    </w:lvl>
    <w:lvl w:ilvl="8">
      <w:start w:val="1"/>
      <w:numFmt w:val="decimal"/>
      <w:lvlText w:val="%1.%2.%3.%4.%5."/>
      <w:lvlJc w:val="left"/>
      <w:pPr>
        <w:ind w:left="3969" w:hanging="1134"/>
      </w:pPr>
      <w:rPr>
        <w:rFonts w:ascii="Calibri" w:hAnsi="Calibri" w:hint="default"/>
      </w:rPr>
    </w:lvl>
  </w:abstractNum>
  <w:abstractNum w:abstractNumId="1"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771D7B"/>
      </w:rPr>
    </w:lvl>
    <w:lvl w:ilvl="1">
      <w:start w:val="1"/>
      <w:numFmt w:val="bullet"/>
      <w:pStyle w:val="ListDashLevel2"/>
      <w:lvlText w:val="—"/>
      <w:lvlJc w:val="left"/>
      <w:pPr>
        <w:ind w:left="964" w:hanging="482"/>
      </w:pPr>
      <w:rPr>
        <w:rFonts w:ascii="Calibri" w:hAnsi="Calibri" w:hint="default"/>
        <w:color w:val="771D7B"/>
      </w:rPr>
    </w:lvl>
    <w:lvl w:ilvl="2">
      <w:start w:val="1"/>
      <w:numFmt w:val="bullet"/>
      <w:pStyle w:val="ListDashLevel3"/>
      <w:lvlText w:val="—"/>
      <w:lvlJc w:val="left"/>
      <w:pPr>
        <w:ind w:left="1446" w:hanging="482"/>
      </w:pPr>
      <w:rPr>
        <w:rFonts w:ascii="Calibri" w:hAnsi="Calibri" w:hint="default"/>
        <w:color w:val="771D7B"/>
      </w:rPr>
    </w:lvl>
    <w:lvl w:ilvl="3">
      <w:start w:val="1"/>
      <w:numFmt w:val="bullet"/>
      <w:pStyle w:val="ListDash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06111C7"/>
    <w:multiLevelType w:val="singleLevel"/>
    <w:tmpl w:val="8D7C626C"/>
    <w:name w:val="RomanParagraphNumbering"/>
    <w:lvl w:ilvl="0">
      <w:start w:val="1"/>
      <w:numFmt w:val="upperRoman"/>
      <w:lvlRestart w:val="0"/>
      <w:pStyle w:val="RomanParagraph"/>
      <w:suff w:val="space"/>
      <w:lvlText w:val="%1"/>
      <w:lvlJc w:val="left"/>
      <w:pPr>
        <w:ind w:firstLine="0"/>
      </w:pPr>
      <w:rPr>
        <w:rFonts w:hint="default"/>
        <w:b/>
        <w:color w:val="771D7B"/>
        <w:sz w:val="28"/>
      </w:rPr>
    </w:lvl>
  </w:abstractNum>
  <w:abstractNum w:abstractNumId="3" w15:restartNumberingAfterBreak="0">
    <w:nsid w:val="11153D01"/>
    <w:multiLevelType w:val="multilevel"/>
    <w:tmpl w:val="111E0B01"/>
    <w:name w:val="HeadingNumbering"/>
    <w:lvl w:ilvl="0">
      <w:start w:val="1"/>
      <w:numFmt w:val="decimal"/>
      <w:pStyle w:val="HeadingNumbered1"/>
      <w:lvlText w:val="%1."/>
      <w:lvlJc w:val="left"/>
      <w:pPr>
        <w:ind w:left="1417" w:hanging="1417"/>
      </w:pPr>
      <w:rPr>
        <w:rFonts w:hint="default"/>
      </w:rPr>
    </w:lvl>
    <w:lvl w:ilvl="1">
      <w:start w:val="1"/>
      <w:numFmt w:val="decimal"/>
      <w:pStyle w:val="HeadingNumbered2"/>
      <w:lvlText w:val="%1.%2."/>
      <w:lvlJc w:val="left"/>
      <w:pPr>
        <w:ind w:left="1417" w:hanging="1417"/>
      </w:pPr>
      <w:rPr>
        <w:rFonts w:hint="default"/>
      </w:rPr>
    </w:lvl>
    <w:lvl w:ilvl="2">
      <w:start w:val="1"/>
      <w:numFmt w:val="decimal"/>
      <w:pStyle w:val="HeadingNumbered3"/>
      <w:lvlText w:val="%1.%2.%3."/>
      <w:lvlJc w:val="left"/>
      <w:pPr>
        <w:ind w:left="1417" w:hanging="1417"/>
      </w:pPr>
      <w:rPr>
        <w:rFonts w:ascii="Calibri" w:hAnsi="Calibri" w:hint="default"/>
      </w:rPr>
    </w:lvl>
    <w:lvl w:ilvl="3">
      <w:start w:val="1"/>
      <w:numFmt w:val="decimal"/>
      <w:pStyle w:val="HeadingNumbered4"/>
      <w:lvlText w:val="%1.%2.%3.%4."/>
      <w:lvlJc w:val="left"/>
      <w:pPr>
        <w:ind w:left="1417" w:hanging="1417"/>
      </w:pPr>
      <w:rPr>
        <w:rFonts w:ascii="Calibri" w:hAnsi="Calibri" w:hint="default"/>
      </w:rPr>
    </w:lvl>
    <w:lvl w:ilvl="4">
      <w:start w:val="1"/>
      <w:numFmt w:val="decimal"/>
      <w:lvlText w:val="%1.%2.%3.%4."/>
      <w:lvlJc w:val="left"/>
      <w:pPr>
        <w:ind w:left="1417" w:hanging="1417"/>
      </w:pPr>
      <w:rPr>
        <w:rFonts w:ascii="Calibri" w:hAnsi="Calibri" w:hint="default"/>
      </w:rPr>
    </w:lvl>
    <w:lvl w:ilvl="5">
      <w:start w:val="1"/>
      <w:numFmt w:val="decimal"/>
      <w:lvlText w:val="%1.%2.%3.%4."/>
      <w:lvlJc w:val="left"/>
      <w:pPr>
        <w:ind w:left="1417" w:hanging="1417"/>
      </w:pPr>
      <w:rPr>
        <w:rFonts w:ascii="Calibri" w:hAnsi="Calibri" w:hint="default"/>
      </w:rPr>
    </w:lvl>
    <w:lvl w:ilvl="6">
      <w:start w:val="1"/>
      <w:numFmt w:val="decimal"/>
      <w:lvlText w:val="%1.%2.%3.%4."/>
      <w:lvlJc w:val="left"/>
      <w:pPr>
        <w:ind w:left="1417" w:hanging="1417"/>
      </w:pPr>
      <w:rPr>
        <w:rFonts w:ascii="Calibri" w:hAnsi="Calibri" w:hint="default"/>
      </w:rPr>
    </w:lvl>
    <w:lvl w:ilvl="7">
      <w:start w:val="1"/>
      <w:numFmt w:val="decimal"/>
      <w:lvlText w:val="%1.%2.%3.%4."/>
      <w:lvlJc w:val="left"/>
      <w:pPr>
        <w:ind w:left="1417" w:hanging="1417"/>
      </w:pPr>
      <w:rPr>
        <w:rFonts w:ascii="Calibri" w:hAnsi="Calibri" w:hint="default"/>
      </w:rPr>
    </w:lvl>
    <w:lvl w:ilvl="8">
      <w:start w:val="1"/>
      <w:numFmt w:val="decimal"/>
      <w:lvlText w:val="%1.%2.%3.%4."/>
      <w:lvlJc w:val="left"/>
      <w:pPr>
        <w:ind w:left="1417" w:hanging="1417"/>
      </w:pPr>
      <w:rPr>
        <w:rFonts w:ascii="Calibri" w:hAnsi="Calibri" w:hint="default"/>
      </w:rPr>
    </w:lvl>
  </w:abstractNum>
  <w:abstractNum w:abstractNumId="4" w15:restartNumberingAfterBreak="0">
    <w:nsid w:val="11153D02"/>
    <w:multiLevelType w:val="multilevel"/>
    <w:tmpl w:val="111E0B02"/>
    <w:name w:val="ListNumberNonindentedNumbering"/>
    <w:lvl w:ilvl="0">
      <w:start w:val="1"/>
      <w:numFmt w:val="decimal"/>
      <w:pStyle w:val="ListNumberNonindented"/>
      <w:lvlText w:val="%1."/>
      <w:lvlJc w:val="left"/>
      <w:pPr>
        <w:ind w:left="567" w:hanging="567"/>
      </w:pPr>
      <w:rPr>
        <w:rFonts w:hint="default"/>
        <w:color w:val="525E65"/>
      </w:rPr>
    </w:lvl>
    <w:lvl w:ilvl="1">
      <w:start w:val="1"/>
      <w:numFmt w:val="decimal"/>
      <w:pStyle w:val="ListNumberNonindentedLevel2"/>
      <w:lvlText w:val="%1.%2."/>
      <w:lvlJc w:val="left"/>
      <w:pPr>
        <w:ind w:left="850" w:hanging="850"/>
      </w:pPr>
      <w:rPr>
        <w:rFonts w:hint="default"/>
        <w:color w:val="525E65"/>
      </w:rPr>
    </w:lvl>
    <w:lvl w:ilvl="2">
      <w:start w:val="1"/>
      <w:numFmt w:val="decimal"/>
      <w:pStyle w:val="ListNumberNonindentedLevel3"/>
      <w:lvlText w:val="%1.%2.%3."/>
      <w:lvlJc w:val="left"/>
      <w:pPr>
        <w:ind w:left="1134" w:hanging="1134"/>
      </w:pPr>
      <w:rPr>
        <w:rFonts w:hint="default"/>
        <w:color w:val="525E65"/>
      </w:rPr>
    </w:lvl>
    <w:lvl w:ilvl="3">
      <w:start w:val="1"/>
      <w:numFmt w:val="decimal"/>
      <w:pStyle w:val="ListNumberNonindentedLevel4"/>
      <w:lvlText w:val="%1.%2.%3.%4."/>
      <w:lvlJc w:val="left"/>
      <w:pPr>
        <w:ind w:left="1417" w:hanging="1417"/>
      </w:pPr>
      <w:rPr>
        <w:rFonts w:ascii="Calibri" w:hAnsi="Calibri" w:hint="default"/>
        <w:color w:val="525E65"/>
      </w:rPr>
    </w:lvl>
    <w:lvl w:ilvl="4">
      <w:start w:val="1"/>
      <w:numFmt w:val="decimal"/>
      <w:pStyle w:val="ListNumberNonindentedLevel5"/>
      <w:lvlText w:val="%1.%2.%3.%4.%5."/>
      <w:lvlJc w:val="left"/>
      <w:pPr>
        <w:ind w:left="1701" w:hanging="1701"/>
      </w:pPr>
      <w:rPr>
        <w:rFonts w:ascii="Calibri" w:hAnsi="Calibri" w:hint="default"/>
        <w:color w:val="525E65"/>
      </w:rPr>
    </w:lvl>
    <w:lvl w:ilvl="5">
      <w:start w:val="1"/>
      <w:numFmt w:val="decimal"/>
      <w:lvlText w:val="%1.%2.%3.%4.%5."/>
      <w:lvlJc w:val="left"/>
      <w:pPr>
        <w:ind w:left="1701" w:hanging="1701"/>
      </w:pPr>
      <w:rPr>
        <w:rFonts w:ascii="Calibri" w:hAnsi="Calibri" w:hint="default"/>
      </w:rPr>
    </w:lvl>
    <w:lvl w:ilvl="6">
      <w:start w:val="1"/>
      <w:numFmt w:val="decimal"/>
      <w:lvlText w:val="%1.%2.%3.%4.%5."/>
      <w:lvlJc w:val="left"/>
      <w:pPr>
        <w:ind w:left="1701" w:hanging="1701"/>
      </w:pPr>
      <w:rPr>
        <w:rFonts w:ascii="Calibri" w:hAnsi="Calibri" w:hint="default"/>
      </w:rPr>
    </w:lvl>
    <w:lvl w:ilvl="7">
      <w:start w:val="1"/>
      <w:numFmt w:val="decimal"/>
      <w:lvlText w:val="%1.%2.%3.%4.%5."/>
      <w:lvlJc w:val="left"/>
      <w:pPr>
        <w:ind w:left="1701" w:hanging="1701"/>
      </w:pPr>
      <w:rPr>
        <w:rFonts w:ascii="Calibri" w:hAnsi="Calibri" w:hint="default"/>
      </w:rPr>
    </w:lvl>
    <w:lvl w:ilvl="8">
      <w:start w:val="1"/>
      <w:numFmt w:val="decimal"/>
      <w:lvlText w:val="%1.%2.%3.%4.%5."/>
      <w:lvlJc w:val="left"/>
      <w:pPr>
        <w:ind w:left="1701" w:hanging="1701"/>
      </w:pPr>
      <w:rPr>
        <w:rFonts w:ascii="Calibri" w:hAnsi="Calibri" w:hint="default"/>
      </w:rPr>
    </w:lvl>
  </w:abstractNum>
  <w:abstractNum w:abstractNumId="5" w15:restartNumberingAfterBreak="0">
    <w:nsid w:val="11153D03"/>
    <w:multiLevelType w:val="multilevel"/>
    <w:tmpl w:val="111E0B03"/>
    <w:name w:val="ListMixedNumbering"/>
    <w:lvl w:ilvl="0">
      <w:start w:val="1"/>
      <w:numFmt w:val="decimal"/>
      <w:pStyle w:val="ListMixed"/>
      <w:lvlText w:val="%1."/>
      <w:lvlJc w:val="left"/>
      <w:pPr>
        <w:ind w:left="1134" w:hanging="567"/>
      </w:pPr>
      <w:rPr>
        <w:rFonts w:hint="default"/>
        <w:color w:val="525E65"/>
      </w:rPr>
    </w:lvl>
    <w:lvl w:ilvl="1">
      <w:start w:val="1"/>
      <w:numFmt w:val="lowerLetter"/>
      <w:pStyle w:val="ListMixedLevel2"/>
      <w:lvlText w:val="(%2)"/>
      <w:lvlJc w:val="left"/>
      <w:pPr>
        <w:ind w:left="1701" w:hanging="567"/>
      </w:pPr>
      <w:rPr>
        <w:rFonts w:hint="default"/>
        <w:color w:val="525E65"/>
      </w:rPr>
    </w:lvl>
    <w:lvl w:ilvl="2">
      <w:start w:val="1"/>
      <w:numFmt w:val="bullet"/>
      <w:pStyle w:val="ListMixedLevel3"/>
      <w:lvlText w:val="—"/>
      <w:lvlJc w:val="left"/>
      <w:pPr>
        <w:ind w:left="2268" w:hanging="567"/>
      </w:pPr>
      <w:rPr>
        <w:rFonts w:hint="default"/>
        <w:color w:val="525E65"/>
      </w:rPr>
    </w:lvl>
    <w:lvl w:ilvl="3">
      <w:start w:val="1"/>
      <w:numFmt w:val="bullet"/>
      <w:pStyle w:val="ListMixedLevel4"/>
      <w:lvlText w:val="▪"/>
      <w:lvlJc w:val="left"/>
      <w:pPr>
        <w:ind w:left="2835" w:hanging="567"/>
      </w:pPr>
      <w:rPr>
        <w:rFonts w:ascii="Calibri" w:hAnsi="Calibri" w:hint="default"/>
        <w:color w:val="525E65"/>
      </w:rPr>
    </w:lvl>
    <w:lvl w:ilvl="4">
      <w:start w:val="1"/>
      <w:numFmt w:val="bullet"/>
      <w:lvlText w:val="▪"/>
      <w:lvlJc w:val="left"/>
      <w:pPr>
        <w:ind w:left="3402" w:hanging="567"/>
      </w:pPr>
      <w:rPr>
        <w:rFonts w:ascii="Calibri" w:hAnsi="Calibri" w:hint="default"/>
        <w:color w:val="525E65"/>
      </w:rPr>
    </w:lvl>
    <w:lvl w:ilvl="5">
      <w:start w:val="1"/>
      <w:numFmt w:val="bullet"/>
      <w:lvlText w:val="▪"/>
      <w:lvlJc w:val="left"/>
      <w:pPr>
        <w:ind w:left="3402" w:hanging="567"/>
      </w:pPr>
      <w:rPr>
        <w:rFonts w:ascii="Calibri" w:hAnsi="Calibri" w:hint="default"/>
      </w:rPr>
    </w:lvl>
    <w:lvl w:ilvl="6">
      <w:start w:val="1"/>
      <w:numFmt w:val="bullet"/>
      <w:lvlText w:val="▪"/>
      <w:lvlJc w:val="left"/>
      <w:pPr>
        <w:ind w:left="3402" w:hanging="567"/>
      </w:pPr>
      <w:rPr>
        <w:rFonts w:ascii="Calibri" w:hAnsi="Calibri" w:hint="default"/>
      </w:rPr>
    </w:lvl>
    <w:lvl w:ilvl="7">
      <w:start w:val="1"/>
      <w:numFmt w:val="bullet"/>
      <w:lvlText w:val="▪"/>
      <w:lvlJc w:val="left"/>
      <w:pPr>
        <w:ind w:left="3402" w:hanging="567"/>
      </w:pPr>
      <w:rPr>
        <w:rFonts w:ascii="Calibri" w:hAnsi="Calibri" w:hint="default"/>
      </w:rPr>
    </w:lvl>
    <w:lvl w:ilvl="8">
      <w:start w:val="1"/>
      <w:numFmt w:val="bullet"/>
      <w:lvlText w:val="▪"/>
      <w:lvlJc w:val="left"/>
      <w:pPr>
        <w:ind w:left="3402" w:hanging="567"/>
      </w:pPr>
      <w:rPr>
        <w:rFonts w:ascii="Calibri" w:hAnsi="Calibri" w:hint="default"/>
      </w:rPr>
    </w:lvl>
  </w:abstractNum>
  <w:abstractNum w:abstractNumId="6" w15:restartNumberingAfterBreak="0">
    <w:nsid w:val="13B83123"/>
    <w:multiLevelType w:val="singleLevel"/>
    <w:tmpl w:val="0FDA6064"/>
    <w:name w:val="NumberedParagraphNumbering"/>
    <w:lvl w:ilvl="0">
      <w:start w:val="1"/>
      <w:numFmt w:val="decimalZero"/>
      <w:pStyle w:val="NumberedParagraph"/>
      <w:suff w:val="space"/>
      <w:lvlText w:val="%1"/>
      <w:lvlJc w:val="left"/>
      <w:pPr>
        <w:ind w:firstLine="0"/>
      </w:pPr>
      <w:rPr>
        <w:rFonts w:hint="default"/>
        <w:b/>
        <w:color w:val="771D7B"/>
        <w:sz w:val="28"/>
      </w:rPr>
    </w:lvl>
  </w:abstractNum>
  <w:abstractNum w:abstractNumId="7" w15:restartNumberingAfterBreak="0">
    <w:nsid w:val="1A78160C"/>
    <w:multiLevelType w:val="multilevel"/>
    <w:tmpl w:val="FB78DD9E"/>
    <w:lvl w:ilvl="0">
      <w:start w:val="2"/>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8649B9"/>
    <w:multiLevelType w:val="multilevel"/>
    <w:tmpl w:val="0EA2D634"/>
    <w:name w:val="ListBulletNumbering"/>
    <w:lvl w:ilvl="0">
      <w:start w:val="1"/>
      <w:numFmt w:val="bullet"/>
      <w:pStyle w:val="ListBullet"/>
      <w:lvlText w:val="●"/>
      <w:lvlJc w:val="left"/>
      <w:pPr>
        <w:ind w:left="482" w:hanging="482"/>
      </w:pPr>
      <w:rPr>
        <w:rFonts w:ascii="Calibri" w:hAnsi="Calibri" w:hint="default"/>
        <w:color w:val="771D7B"/>
      </w:rPr>
    </w:lvl>
    <w:lvl w:ilvl="1">
      <w:start w:val="1"/>
      <w:numFmt w:val="bullet"/>
      <w:pStyle w:val="ListBulletLevel2"/>
      <w:lvlText w:val="■"/>
      <w:lvlJc w:val="left"/>
      <w:pPr>
        <w:ind w:left="964" w:hanging="482"/>
      </w:pPr>
      <w:rPr>
        <w:rFonts w:ascii="Arial" w:hAnsi="Arial" w:hint="default"/>
        <w:color w:val="771D7B"/>
        <w:sz w:val="20"/>
      </w:rPr>
    </w:lvl>
    <w:lvl w:ilvl="2">
      <w:start w:val="1"/>
      <w:numFmt w:val="bullet"/>
      <w:pStyle w:val="ListBulletLevel3"/>
      <w:lvlText w:val="—"/>
      <w:lvlJc w:val="left"/>
      <w:pPr>
        <w:ind w:left="1446" w:hanging="482"/>
      </w:pPr>
      <w:rPr>
        <w:rFonts w:ascii="Calibri" w:hAnsi="Calibri" w:hint="default"/>
        <w:color w:val="771D7B"/>
      </w:rPr>
    </w:lvl>
    <w:lvl w:ilvl="3">
      <w:start w:val="1"/>
      <w:numFmt w:val="bullet"/>
      <w:pStyle w:val="ListBulletLevel4"/>
      <w:lvlText w:val="—"/>
      <w:lvlJc w:val="left"/>
      <w:pPr>
        <w:ind w:left="1928" w:hanging="482"/>
      </w:pPr>
      <w:rPr>
        <w:rFonts w:ascii="Calibri" w:hAnsi="Calibri" w:hint="default"/>
        <w:color w:val="771D7B"/>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89F2328"/>
    <w:multiLevelType w:val="hybridMultilevel"/>
    <w:tmpl w:val="011CF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46B1C24"/>
    <w:multiLevelType w:val="hybridMultilevel"/>
    <w:tmpl w:val="553AE984"/>
    <w:lvl w:ilvl="0" w:tplc="2474F1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8448D9"/>
    <w:multiLevelType w:val="multilevel"/>
    <w:tmpl w:val="68363FBC"/>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4" w15:restartNumberingAfterBreak="0">
    <w:nsid w:val="66AF1754"/>
    <w:multiLevelType w:val="hybridMultilevel"/>
    <w:tmpl w:val="03C046CE"/>
    <w:lvl w:ilvl="0" w:tplc="DE10C3DE">
      <w:numFmt w:val="none"/>
      <w:lvlText w:val=""/>
      <w:lvlJc w:val="left"/>
      <w:pPr>
        <w:tabs>
          <w:tab w:val="num" w:pos="360"/>
        </w:tabs>
      </w:pPr>
    </w:lvl>
    <w:lvl w:ilvl="1" w:tplc="BCC2FE04">
      <w:start w:val="1"/>
      <w:numFmt w:val="lowerLetter"/>
      <w:lvlText w:val="%2."/>
      <w:lvlJc w:val="left"/>
      <w:pPr>
        <w:ind w:left="1440" w:hanging="360"/>
      </w:pPr>
    </w:lvl>
    <w:lvl w:ilvl="2" w:tplc="9E58FC3C">
      <w:start w:val="1"/>
      <w:numFmt w:val="lowerRoman"/>
      <w:lvlText w:val="%3."/>
      <w:lvlJc w:val="right"/>
      <w:pPr>
        <w:ind w:left="2160" w:hanging="180"/>
      </w:pPr>
    </w:lvl>
    <w:lvl w:ilvl="3" w:tplc="25C084AC">
      <w:start w:val="1"/>
      <w:numFmt w:val="decimal"/>
      <w:lvlText w:val="%4."/>
      <w:lvlJc w:val="left"/>
      <w:pPr>
        <w:ind w:left="2880" w:hanging="360"/>
      </w:pPr>
    </w:lvl>
    <w:lvl w:ilvl="4" w:tplc="22881276">
      <w:start w:val="1"/>
      <w:numFmt w:val="lowerLetter"/>
      <w:lvlText w:val="%5."/>
      <w:lvlJc w:val="left"/>
      <w:pPr>
        <w:ind w:left="3600" w:hanging="360"/>
      </w:pPr>
    </w:lvl>
    <w:lvl w:ilvl="5" w:tplc="A5508EF4">
      <w:start w:val="1"/>
      <w:numFmt w:val="lowerRoman"/>
      <w:lvlText w:val="%6."/>
      <w:lvlJc w:val="right"/>
      <w:pPr>
        <w:ind w:left="4320" w:hanging="180"/>
      </w:pPr>
    </w:lvl>
    <w:lvl w:ilvl="6" w:tplc="AE3828AA">
      <w:start w:val="1"/>
      <w:numFmt w:val="decimal"/>
      <w:lvlText w:val="%7."/>
      <w:lvlJc w:val="left"/>
      <w:pPr>
        <w:ind w:left="5040" w:hanging="360"/>
      </w:pPr>
    </w:lvl>
    <w:lvl w:ilvl="7" w:tplc="78EC757C">
      <w:start w:val="1"/>
      <w:numFmt w:val="lowerLetter"/>
      <w:lvlText w:val="%8."/>
      <w:lvlJc w:val="left"/>
      <w:pPr>
        <w:ind w:left="5760" w:hanging="360"/>
      </w:pPr>
    </w:lvl>
    <w:lvl w:ilvl="8" w:tplc="AB6E1EAA">
      <w:start w:val="1"/>
      <w:numFmt w:val="lowerRoman"/>
      <w:lvlText w:val="%9."/>
      <w:lvlJc w:val="right"/>
      <w:pPr>
        <w:ind w:left="6480" w:hanging="180"/>
      </w:pPr>
    </w:lvl>
  </w:abstractNum>
  <w:abstractNum w:abstractNumId="15" w15:restartNumberingAfterBreak="0">
    <w:nsid w:val="775CEFEA"/>
    <w:multiLevelType w:val="hybridMultilevel"/>
    <w:tmpl w:val="4488672C"/>
    <w:lvl w:ilvl="0" w:tplc="6C705DF0">
      <w:start w:val="1"/>
      <w:numFmt w:val="decimal"/>
      <w:lvlText w:val="%1."/>
      <w:lvlJc w:val="left"/>
      <w:pPr>
        <w:ind w:left="720" w:hanging="360"/>
      </w:pPr>
    </w:lvl>
    <w:lvl w:ilvl="1" w:tplc="54A48640">
      <w:start w:val="2"/>
      <w:numFmt w:val="decimal"/>
      <w:lvlText w:val="%2."/>
      <w:lvlJc w:val="left"/>
      <w:pPr>
        <w:ind w:left="1440" w:hanging="360"/>
      </w:pPr>
    </w:lvl>
    <w:lvl w:ilvl="2" w:tplc="AAE6B1B6">
      <w:start w:val="1"/>
      <w:numFmt w:val="lowerRoman"/>
      <w:lvlText w:val="%3."/>
      <w:lvlJc w:val="right"/>
      <w:pPr>
        <w:ind w:left="2160" w:hanging="180"/>
      </w:pPr>
    </w:lvl>
    <w:lvl w:ilvl="3" w:tplc="43881A4E">
      <w:start w:val="1"/>
      <w:numFmt w:val="decimal"/>
      <w:lvlText w:val="%4."/>
      <w:lvlJc w:val="left"/>
      <w:pPr>
        <w:ind w:left="2880" w:hanging="360"/>
      </w:pPr>
    </w:lvl>
    <w:lvl w:ilvl="4" w:tplc="AA82ED0E">
      <w:start w:val="1"/>
      <w:numFmt w:val="lowerLetter"/>
      <w:lvlText w:val="%5."/>
      <w:lvlJc w:val="left"/>
      <w:pPr>
        <w:ind w:left="3600" w:hanging="360"/>
      </w:pPr>
    </w:lvl>
    <w:lvl w:ilvl="5" w:tplc="E8326F5A">
      <w:start w:val="1"/>
      <w:numFmt w:val="lowerRoman"/>
      <w:lvlText w:val="%6."/>
      <w:lvlJc w:val="right"/>
      <w:pPr>
        <w:ind w:left="4320" w:hanging="180"/>
      </w:pPr>
    </w:lvl>
    <w:lvl w:ilvl="6" w:tplc="3CBEB3E6">
      <w:start w:val="1"/>
      <w:numFmt w:val="decimal"/>
      <w:lvlText w:val="%7."/>
      <w:lvlJc w:val="left"/>
      <w:pPr>
        <w:ind w:left="5040" w:hanging="360"/>
      </w:pPr>
    </w:lvl>
    <w:lvl w:ilvl="7" w:tplc="FA82EB8A">
      <w:start w:val="1"/>
      <w:numFmt w:val="lowerLetter"/>
      <w:lvlText w:val="%8."/>
      <w:lvlJc w:val="left"/>
      <w:pPr>
        <w:ind w:left="5760" w:hanging="360"/>
      </w:pPr>
    </w:lvl>
    <w:lvl w:ilvl="8" w:tplc="AE348600">
      <w:start w:val="1"/>
      <w:numFmt w:val="lowerRoman"/>
      <w:lvlText w:val="%9."/>
      <w:lvlJc w:val="right"/>
      <w:pPr>
        <w:ind w:left="6480" w:hanging="180"/>
      </w:pPr>
    </w:lvl>
  </w:abstractNum>
  <w:num w:numId="1" w16cid:durableId="1346051549">
    <w:abstractNumId w:val="4"/>
  </w:num>
  <w:num w:numId="2" w16cid:durableId="321353744">
    <w:abstractNumId w:val="1"/>
  </w:num>
  <w:num w:numId="3" w16cid:durableId="1728264502">
    <w:abstractNumId w:val="9"/>
  </w:num>
  <w:num w:numId="4" w16cid:durableId="1957254934">
    <w:abstractNumId w:val="2"/>
  </w:num>
  <w:num w:numId="5" w16cid:durableId="1609970589">
    <w:abstractNumId w:val="3"/>
  </w:num>
  <w:num w:numId="6" w16cid:durableId="566259517">
    <w:abstractNumId w:val="6"/>
  </w:num>
  <w:num w:numId="7" w16cid:durableId="212620542">
    <w:abstractNumId w:val="0"/>
  </w:num>
  <w:num w:numId="8" w16cid:durableId="677584958">
    <w:abstractNumId w:val="5"/>
  </w:num>
  <w:num w:numId="9" w16cid:durableId="655764653">
    <w:abstractNumId w:val="8"/>
  </w:num>
  <w:num w:numId="10" w16cid:durableId="277681172">
    <w:abstractNumId w:val="11"/>
  </w:num>
  <w:num w:numId="11" w16cid:durableId="896283301">
    <w:abstractNumId w:val="13"/>
  </w:num>
  <w:num w:numId="12" w16cid:durableId="1166941836">
    <w:abstractNumId w:val="7"/>
  </w:num>
  <w:num w:numId="13" w16cid:durableId="544101142">
    <w:abstractNumId w:val="14"/>
  </w:num>
  <w:num w:numId="14" w16cid:durableId="990597383">
    <w:abstractNumId w:val="15"/>
  </w:num>
  <w:num w:numId="15" w16cid:durableId="1245141976">
    <w:abstractNumId w:val="12"/>
  </w:num>
  <w:num w:numId="16" w16cid:durableId="409237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2"/>
    <w:rsid w:val="000062E9"/>
    <w:rsid w:val="00010053"/>
    <w:rsid w:val="0001427C"/>
    <w:rsid w:val="00015EC2"/>
    <w:rsid w:val="000226F0"/>
    <w:rsid w:val="00025D55"/>
    <w:rsid w:val="0002708E"/>
    <w:rsid w:val="00041C27"/>
    <w:rsid w:val="0004609A"/>
    <w:rsid w:val="000473F4"/>
    <w:rsid w:val="00054135"/>
    <w:rsid w:val="00071927"/>
    <w:rsid w:val="00071C58"/>
    <w:rsid w:val="00072220"/>
    <w:rsid w:val="00075A38"/>
    <w:rsid w:val="00077386"/>
    <w:rsid w:val="00081108"/>
    <w:rsid w:val="000819FB"/>
    <w:rsid w:val="00084FED"/>
    <w:rsid w:val="000878EF"/>
    <w:rsid w:val="00091AE6"/>
    <w:rsid w:val="00093103"/>
    <w:rsid w:val="0009632C"/>
    <w:rsid w:val="000A573B"/>
    <w:rsid w:val="000A645D"/>
    <w:rsid w:val="000A65F0"/>
    <w:rsid w:val="000A7165"/>
    <w:rsid w:val="000B2D49"/>
    <w:rsid w:val="000B6D21"/>
    <w:rsid w:val="000C3C8B"/>
    <w:rsid w:val="000C3CA4"/>
    <w:rsid w:val="000C600F"/>
    <w:rsid w:val="000D69DC"/>
    <w:rsid w:val="000F38BE"/>
    <w:rsid w:val="000F45AB"/>
    <w:rsid w:val="000F49FA"/>
    <w:rsid w:val="001007A4"/>
    <w:rsid w:val="001012D5"/>
    <w:rsid w:val="0010149D"/>
    <w:rsid w:val="00101A13"/>
    <w:rsid w:val="00104701"/>
    <w:rsid w:val="001072B5"/>
    <w:rsid w:val="0010771C"/>
    <w:rsid w:val="00113244"/>
    <w:rsid w:val="00114AAC"/>
    <w:rsid w:val="001151D6"/>
    <w:rsid w:val="00115795"/>
    <w:rsid w:val="00123489"/>
    <w:rsid w:val="00146D4F"/>
    <w:rsid w:val="00147B12"/>
    <w:rsid w:val="001510CB"/>
    <w:rsid w:val="00151393"/>
    <w:rsid w:val="00151894"/>
    <w:rsid w:val="0015427C"/>
    <w:rsid w:val="00155CDC"/>
    <w:rsid w:val="001607CC"/>
    <w:rsid w:val="0016276C"/>
    <w:rsid w:val="00165666"/>
    <w:rsid w:val="00167AED"/>
    <w:rsid w:val="00172528"/>
    <w:rsid w:val="00172E70"/>
    <w:rsid w:val="001737B3"/>
    <w:rsid w:val="00185298"/>
    <w:rsid w:val="001866AA"/>
    <w:rsid w:val="00186B44"/>
    <w:rsid w:val="00192945"/>
    <w:rsid w:val="00194004"/>
    <w:rsid w:val="00194EB2"/>
    <w:rsid w:val="0019610F"/>
    <w:rsid w:val="00196ECE"/>
    <w:rsid w:val="001A0058"/>
    <w:rsid w:val="001A6E5D"/>
    <w:rsid w:val="001B1B37"/>
    <w:rsid w:val="001B1BB4"/>
    <w:rsid w:val="001B3927"/>
    <w:rsid w:val="001B45E3"/>
    <w:rsid w:val="001C08FB"/>
    <w:rsid w:val="001C52A5"/>
    <w:rsid w:val="001D028D"/>
    <w:rsid w:val="001D3205"/>
    <w:rsid w:val="001E0058"/>
    <w:rsid w:val="001E2A79"/>
    <w:rsid w:val="001E4738"/>
    <w:rsid w:val="001F37B4"/>
    <w:rsid w:val="001F5DBE"/>
    <w:rsid w:val="001F5FF2"/>
    <w:rsid w:val="00206846"/>
    <w:rsid w:val="00206AB5"/>
    <w:rsid w:val="00210D8D"/>
    <w:rsid w:val="00214BD1"/>
    <w:rsid w:val="00220F02"/>
    <w:rsid w:val="00223C6C"/>
    <w:rsid w:val="00223E72"/>
    <w:rsid w:val="0022538B"/>
    <w:rsid w:val="00226D94"/>
    <w:rsid w:val="00236602"/>
    <w:rsid w:val="002402C9"/>
    <w:rsid w:val="002408F9"/>
    <w:rsid w:val="00240F44"/>
    <w:rsid w:val="002432A7"/>
    <w:rsid w:val="00257068"/>
    <w:rsid w:val="00257723"/>
    <w:rsid w:val="002607BB"/>
    <w:rsid w:val="00260A63"/>
    <w:rsid w:val="00260C23"/>
    <w:rsid w:val="00266F39"/>
    <w:rsid w:val="00274E14"/>
    <w:rsid w:val="00276BF3"/>
    <w:rsid w:val="00282B5B"/>
    <w:rsid w:val="00284E28"/>
    <w:rsid w:val="00286F72"/>
    <w:rsid w:val="00291392"/>
    <w:rsid w:val="002975AB"/>
    <w:rsid w:val="002B07DA"/>
    <w:rsid w:val="002B479B"/>
    <w:rsid w:val="002C3B0E"/>
    <w:rsid w:val="002C797E"/>
    <w:rsid w:val="002D4C98"/>
    <w:rsid w:val="002E6373"/>
    <w:rsid w:val="002E77F2"/>
    <w:rsid w:val="002F1297"/>
    <w:rsid w:val="002F48FB"/>
    <w:rsid w:val="002F626D"/>
    <w:rsid w:val="002F6FAB"/>
    <w:rsid w:val="00304BA7"/>
    <w:rsid w:val="00304C24"/>
    <w:rsid w:val="00316482"/>
    <w:rsid w:val="00322FB6"/>
    <w:rsid w:val="00325EAA"/>
    <w:rsid w:val="00330628"/>
    <w:rsid w:val="00331077"/>
    <w:rsid w:val="003351E2"/>
    <w:rsid w:val="0034175C"/>
    <w:rsid w:val="00350D40"/>
    <w:rsid w:val="00355BBF"/>
    <w:rsid w:val="00361997"/>
    <w:rsid w:val="00364CF9"/>
    <w:rsid w:val="00365C2E"/>
    <w:rsid w:val="0036718D"/>
    <w:rsid w:val="00367564"/>
    <w:rsid w:val="0036759F"/>
    <w:rsid w:val="00367DDC"/>
    <w:rsid w:val="0037462C"/>
    <w:rsid w:val="003849D0"/>
    <w:rsid w:val="00384B6D"/>
    <w:rsid w:val="00384F81"/>
    <w:rsid w:val="00385B44"/>
    <w:rsid w:val="00390A29"/>
    <w:rsid w:val="0039179F"/>
    <w:rsid w:val="0039375D"/>
    <w:rsid w:val="003944DF"/>
    <w:rsid w:val="003978BD"/>
    <w:rsid w:val="00397C0E"/>
    <w:rsid w:val="003A442C"/>
    <w:rsid w:val="003B0B5D"/>
    <w:rsid w:val="003B22F0"/>
    <w:rsid w:val="003C40CB"/>
    <w:rsid w:val="003C6084"/>
    <w:rsid w:val="003C75F6"/>
    <w:rsid w:val="003D36E4"/>
    <w:rsid w:val="003D5ED3"/>
    <w:rsid w:val="003D65DF"/>
    <w:rsid w:val="003D7D34"/>
    <w:rsid w:val="003E3787"/>
    <w:rsid w:val="003E4FD8"/>
    <w:rsid w:val="003E5FDC"/>
    <w:rsid w:val="003F0811"/>
    <w:rsid w:val="003F149D"/>
    <w:rsid w:val="003F434B"/>
    <w:rsid w:val="003F6446"/>
    <w:rsid w:val="00400690"/>
    <w:rsid w:val="00401553"/>
    <w:rsid w:val="004051D5"/>
    <w:rsid w:val="004108AF"/>
    <w:rsid w:val="00415348"/>
    <w:rsid w:val="00415A2F"/>
    <w:rsid w:val="0041611B"/>
    <w:rsid w:val="004178C1"/>
    <w:rsid w:val="004231F5"/>
    <w:rsid w:val="00426B63"/>
    <w:rsid w:val="004313E5"/>
    <w:rsid w:val="0043149E"/>
    <w:rsid w:val="00431A16"/>
    <w:rsid w:val="00431EB3"/>
    <w:rsid w:val="00432D7B"/>
    <w:rsid w:val="00437BFE"/>
    <w:rsid w:val="00437F0D"/>
    <w:rsid w:val="0044219A"/>
    <w:rsid w:val="0044380B"/>
    <w:rsid w:val="00443AB4"/>
    <w:rsid w:val="00443B12"/>
    <w:rsid w:val="00445650"/>
    <w:rsid w:val="0044732A"/>
    <w:rsid w:val="00450778"/>
    <w:rsid w:val="004512DA"/>
    <w:rsid w:val="00454582"/>
    <w:rsid w:val="0045540B"/>
    <w:rsid w:val="00455762"/>
    <w:rsid w:val="004569B5"/>
    <w:rsid w:val="00470E5F"/>
    <w:rsid w:val="0047252D"/>
    <w:rsid w:val="0047437F"/>
    <w:rsid w:val="00481619"/>
    <w:rsid w:val="0048289A"/>
    <w:rsid w:val="00484361"/>
    <w:rsid w:val="004875CB"/>
    <w:rsid w:val="0049171F"/>
    <w:rsid w:val="004922F7"/>
    <w:rsid w:val="0049740F"/>
    <w:rsid w:val="00497BC0"/>
    <w:rsid w:val="004A0A0C"/>
    <w:rsid w:val="004A0D86"/>
    <w:rsid w:val="004A21D9"/>
    <w:rsid w:val="004A7706"/>
    <w:rsid w:val="004B1B56"/>
    <w:rsid w:val="004B509C"/>
    <w:rsid w:val="004B5FD3"/>
    <w:rsid w:val="004C07F2"/>
    <w:rsid w:val="004C1A41"/>
    <w:rsid w:val="004C3F3E"/>
    <w:rsid w:val="004C5C08"/>
    <w:rsid w:val="004C6642"/>
    <w:rsid w:val="004D06B8"/>
    <w:rsid w:val="004D1D4A"/>
    <w:rsid w:val="004D60A8"/>
    <w:rsid w:val="004E0021"/>
    <w:rsid w:val="004E09E0"/>
    <w:rsid w:val="004E42A0"/>
    <w:rsid w:val="004E53D9"/>
    <w:rsid w:val="004E5807"/>
    <w:rsid w:val="004E648A"/>
    <w:rsid w:val="004F36CE"/>
    <w:rsid w:val="004F5013"/>
    <w:rsid w:val="005003F9"/>
    <w:rsid w:val="0050191A"/>
    <w:rsid w:val="00501DFB"/>
    <w:rsid w:val="005103B7"/>
    <w:rsid w:val="005125C8"/>
    <w:rsid w:val="00514A3C"/>
    <w:rsid w:val="005151FE"/>
    <w:rsid w:val="0051553C"/>
    <w:rsid w:val="00521ECB"/>
    <w:rsid w:val="00523C51"/>
    <w:rsid w:val="00524038"/>
    <w:rsid w:val="005246D0"/>
    <w:rsid w:val="00524D93"/>
    <w:rsid w:val="0052591E"/>
    <w:rsid w:val="00531769"/>
    <w:rsid w:val="005322C9"/>
    <w:rsid w:val="005340D2"/>
    <w:rsid w:val="005360B4"/>
    <w:rsid w:val="00537B70"/>
    <w:rsid w:val="00540886"/>
    <w:rsid w:val="00544CCC"/>
    <w:rsid w:val="00554F40"/>
    <w:rsid w:val="0055530E"/>
    <w:rsid w:val="005574E1"/>
    <w:rsid w:val="00562065"/>
    <w:rsid w:val="00566A68"/>
    <w:rsid w:val="00566B05"/>
    <w:rsid w:val="00567F94"/>
    <w:rsid w:val="00572FAA"/>
    <w:rsid w:val="00581469"/>
    <w:rsid w:val="00581F1F"/>
    <w:rsid w:val="00583F49"/>
    <w:rsid w:val="00585FCF"/>
    <w:rsid w:val="00586AB9"/>
    <w:rsid w:val="00587193"/>
    <w:rsid w:val="0059518A"/>
    <w:rsid w:val="0059639D"/>
    <w:rsid w:val="00597B7E"/>
    <w:rsid w:val="005A09DE"/>
    <w:rsid w:val="005A0A09"/>
    <w:rsid w:val="005A4A47"/>
    <w:rsid w:val="005A4F32"/>
    <w:rsid w:val="005A5C84"/>
    <w:rsid w:val="005A72B7"/>
    <w:rsid w:val="005A767A"/>
    <w:rsid w:val="005A7D09"/>
    <w:rsid w:val="005B18AD"/>
    <w:rsid w:val="005C25F4"/>
    <w:rsid w:val="005C7344"/>
    <w:rsid w:val="005D5337"/>
    <w:rsid w:val="005D76F4"/>
    <w:rsid w:val="005E2361"/>
    <w:rsid w:val="005E4BB6"/>
    <w:rsid w:val="005E7E37"/>
    <w:rsid w:val="005F1DAF"/>
    <w:rsid w:val="005F1E70"/>
    <w:rsid w:val="005F28E0"/>
    <w:rsid w:val="005F4897"/>
    <w:rsid w:val="005F6889"/>
    <w:rsid w:val="00600213"/>
    <w:rsid w:val="006041EA"/>
    <w:rsid w:val="00604681"/>
    <w:rsid w:val="00606918"/>
    <w:rsid w:val="00607E38"/>
    <w:rsid w:val="00610C73"/>
    <w:rsid w:val="00611644"/>
    <w:rsid w:val="00612045"/>
    <w:rsid w:val="006264CB"/>
    <w:rsid w:val="00635BFD"/>
    <w:rsid w:val="00635EFA"/>
    <w:rsid w:val="00636D46"/>
    <w:rsid w:val="00641F1B"/>
    <w:rsid w:val="0064277A"/>
    <w:rsid w:val="00646B30"/>
    <w:rsid w:val="006475E0"/>
    <w:rsid w:val="00651581"/>
    <w:rsid w:val="00654D2D"/>
    <w:rsid w:val="00656638"/>
    <w:rsid w:val="0066465E"/>
    <w:rsid w:val="006718D1"/>
    <w:rsid w:val="00674E7B"/>
    <w:rsid w:val="006767AA"/>
    <w:rsid w:val="00676BF6"/>
    <w:rsid w:val="00677D8C"/>
    <w:rsid w:val="00681035"/>
    <w:rsid w:val="00684FD7"/>
    <w:rsid w:val="0069048C"/>
    <w:rsid w:val="00690918"/>
    <w:rsid w:val="00695A68"/>
    <w:rsid w:val="006A3E01"/>
    <w:rsid w:val="006B30B1"/>
    <w:rsid w:val="006B4833"/>
    <w:rsid w:val="006C54A3"/>
    <w:rsid w:val="006D091F"/>
    <w:rsid w:val="006D2E6A"/>
    <w:rsid w:val="006D644F"/>
    <w:rsid w:val="006E3CDA"/>
    <w:rsid w:val="006E3DDF"/>
    <w:rsid w:val="006E56D0"/>
    <w:rsid w:val="006F0839"/>
    <w:rsid w:val="006F3A08"/>
    <w:rsid w:val="006F6594"/>
    <w:rsid w:val="0070231F"/>
    <w:rsid w:val="0070357F"/>
    <w:rsid w:val="0070464E"/>
    <w:rsid w:val="00704ACC"/>
    <w:rsid w:val="00713152"/>
    <w:rsid w:val="0071413B"/>
    <w:rsid w:val="00715615"/>
    <w:rsid w:val="0071688D"/>
    <w:rsid w:val="00717BF9"/>
    <w:rsid w:val="007361B4"/>
    <w:rsid w:val="0074155B"/>
    <w:rsid w:val="007438C1"/>
    <w:rsid w:val="007445AD"/>
    <w:rsid w:val="00744FED"/>
    <w:rsid w:val="00746EFF"/>
    <w:rsid w:val="00753226"/>
    <w:rsid w:val="00755058"/>
    <w:rsid w:val="007566C3"/>
    <w:rsid w:val="00756CC9"/>
    <w:rsid w:val="007574AC"/>
    <w:rsid w:val="00757FD9"/>
    <w:rsid w:val="007616E1"/>
    <w:rsid w:val="007624A8"/>
    <w:rsid w:val="00763D29"/>
    <w:rsid w:val="0077464A"/>
    <w:rsid w:val="00776828"/>
    <w:rsid w:val="007775A5"/>
    <w:rsid w:val="007804EE"/>
    <w:rsid w:val="007811E4"/>
    <w:rsid w:val="00783AE3"/>
    <w:rsid w:val="00786139"/>
    <w:rsid w:val="0079620B"/>
    <w:rsid w:val="00796C70"/>
    <w:rsid w:val="007A124D"/>
    <w:rsid w:val="007A1641"/>
    <w:rsid w:val="007B0339"/>
    <w:rsid w:val="007B3BD2"/>
    <w:rsid w:val="007B71AE"/>
    <w:rsid w:val="007C3602"/>
    <w:rsid w:val="007C6232"/>
    <w:rsid w:val="007D0811"/>
    <w:rsid w:val="007D7F7B"/>
    <w:rsid w:val="007E10C2"/>
    <w:rsid w:val="007E3484"/>
    <w:rsid w:val="007E4C1B"/>
    <w:rsid w:val="007F0228"/>
    <w:rsid w:val="007F6018"/>
    <w:rsid w:val="0080070B"/>
    <w:rsid w:val="00802831"/>
    <w:rsid w:val="00803402"/>
    <w:rsid w:val="00804927"/>
    <w:rsid w:val="0081018E"/>
    <w:rsid w:val="0081304D"/>
    <w:rsid w:val="008165EB"/>
    <w:rsid w:val="00826419"/>
    <w:rsid w:val="00826E6F"/>
    <w:rsid w:val="00832063"/>
    <w:rsid w:val="00834346"/>
    <w:rsid w:val="00834657"/>
    <w:rsid w:val="0084018D"/>
    <w:rsid w:val="008405BB"/>
    <w:rsid w:val="0084222F"/>
    <w:rsid w:val="00851AF1"/>
    <w:rsid w:val="008546E6"/>
    <w:rsid w:val="00855B44"/>
    <w:rsid w:val="00860381"/>
    <w:rsid w:val="0086108A"/>
    <w:rsid w:val="0086284A"/>
    <w:rsid w:val="00867AC2"/>
    <w:rsid w:val="00872E7F"/>
    <w:rsid w:val="00877719"/>
    <w:rsid w:val="00881865"/>
    <w:rsid w:val="0088567B"/>
    <w:rsid w:val="00887256"/>
    <w:rsid w:val="0089184D"/>
    <w:rsid w:val="00892116"/>
    <w:rsid w:val="008936DF"/>
    <w:rsid w:val="0089724A"/>
    <w:rsid w:val="008A1817"/>
    <w:rsid w:val="008A6CDC"/>
    <w:rsid w:val="008A755F"/>
    <w:rsid w:val="008B285E"/>
    <w:rsid w:val="008B4D09"/>
    <w:rsid w:val="008C038F"/>
    <w:rsid w:val="008C240A"/>
    <w:rsid w:val="008C51A2"/>
    <w:rsid w:val="008E028D"/>
    <w:rsid w:val="008E0DAD"/>
    <w:rsid w:val="008E5036"/>
    <w:rsid w:val="008F7EA9"/>
    <w:rsid w:val="009001AA"/>
    <w:rsid w:val="009006CF"/>
    <w:rsid w:val="009013FB"/>
    <w:rsid w:val="00901D49"/>
    <w:rsid w:val="00902E78"/>
    <w:rsid w:val="00902ECC"/>
    <w:rsid w:val="00904CDB"/>
    <w:rsid w:val="00907DEC"/>
    <w:rsid w:val="0091650B"/>
    <w:rsid w:val="00923329"/>
    <w:rsid w:val="00927498"/>
    <w:rsid w:val="00927805"/>
    <w:rsid w:val="0093004A"/>
    <w:rsid w:val="009323C8"/>
    <w:rsid w:val="0093262C"/>
    <w:rsid w:val="00934F66"/>
    <w:rsid w:val="0093779A"/>
    <w:rsid w:val="0093786F"/>
    <w:rsid w:val="0094001D"/>
    <w:rsid w:val="009460C5"/>
    <w:rsid w:val="00947CA5"/>
    <w:rsid w:val="00952480"/>
    <w:rsid w:val="00953219"/>
    <w:rsid w:val="0096069B"/>
    <w:rsid w:val="00961AEC"/>
    <w:rsid w:val="009621F4"/>
    <w:rsid w:val="0096468D"/>
    <w:rsid w:val="00972D20"/>
    <w:rsid w:val="009815B3"/>
    <w:rsid w:val="009828F8"/>
    <w:rsid w:val="00984FBA"/>
    <w:rsid w:val="009906FE"/>
    <w:rsid w:val="00991B94"/>
    <w:rsid w:val="009927DA"/>
    <w:rsid w:val="00996343"/>
    <w:rsid w:val="009A3FD9"/>
    <w:rsid w:val="009A7BAB"/>
    <w:rsid w:val="009B26D2"/>
    <w:rsid w:val="009C08A5"/>
    <w:rsid w:val="009C1A65"/>
    <w:rsid w:val="009C358F"/>
    <w:rsid w:val="009C396B"/>
    <w:rsid w:val="009C49FA"/>
    <w:rsid w:val="009C5899"/>
    <w:rsid w:val="009C67A1"/>
    <w:rsid w:val="009D0A43"/>
    <w:rsid w:val="009D3C83"/>
    <w:rsid w:val="009D718A"/>
    <w:rsid w:val="009D7E8E"/>
    <w:rsid w:val="009E062D"/>
    <w:rsid w:val="009E4E3E"/>
    <w:rsid w:val="009E5067"/>
    <w:rsid w:val="009E72AE"/>
    <w:rsid w:val="009F265B"/>
    <w:rsid w:val="009F5646"/>
    <w:rsid w:val="009F5999"/>
    <w:rsid w:val="009F6A5D"/>
    <w:rsid w:val="00A043FC"/>
    <w:rsid w:val="00A06C1B"/>
    <w:rsid w:val="00A10566"/>
    <w:rsid w:val="00A1095A"/>
    <w:rsid w:val="00A1238A"/>
    <w:rsid w:val="00A13ECB"/>
    <w:rsid w:val="00A13FC7"/>
    <w:rsid w:val="00A16A88"/>
    <w:rsid w:val="00A251D6"/>
    <w:rsid w:val="00A263FE"/>
    <w:rsid w:val="00A31AEC"/>
    <w:rsid w:val="00A36F51"/>
    <w:rsid w:val="00A40F38"/>
    <w:rsid w:val="00A44CFF"/>
    <w:rsid w:val="00A45CB6"/>
    <w:rsid w:val="00A50637"/>
    <w:rsid w:val="00A50D81"/>
    <w:rsid w:val="00A53754"/>
    <w:rsid w:val="00A6133C"/>
    <w:rsid w:val="00A64895"/>
    <w:rsid w:val="00A652A4"/>
    <w:rsid w:val="00A716F0"/>
    <w:rsid w:val="00A72910"/>
    <w:rsid w:val="00A80820"/>
    <w:rsid w:val="00A91D95"/>
    <w:rsid w:val="00A94DDC"/>
    <w:rsid w:val="00A94DF5"/>
    <w:rsid w:val="00A9560A"/>
    <w:rsid w:val="00AA0E78"/>
    <w:rsid w:val="00AA1FAB"/>
    <w:rsid w:val="00AA2772"/>
    <w:rsid w:val="00AA325F"/>
    <w:rsid w:val="00AB2D31"/>
    <w:rsid w:val="00AB3960"/>
    <w:rsid w:val="00AD0852"/>
    <w:rsid w:val="00AD13F1"/>
    <w:rsid w:val="00AD2E43"/>
    <w:rsid w:val="00AD3039"/>
    <w:rsid w:val="00AD737B"/>
    <w:rsid w:val="00AD74A9"/>
    <w:rsid w:val="00AE10D8"/>
    <w:rsid w:val="00AF005A"/>
    <w:rsid w:val="00AF108B"/>
    <w:rsid w:val="00AF1DE9"/>
    <w:rsid w:val="00AF3C0D"/>
    <w:rsid w:val="00AF470A"/>
    <w:rsid w:val="00AF7EBD"/>
    <w:rsid w:val="00B064B9"/>
    <w:rsid w:val="00B17E31"/>
    <w:rsid w:val="00B22CF6"/>
    <w:rsid w:val="00B24AD6"/>
    <w:rsid w:val="00B27119"/>
    <w:rsid w:val="00B33009"/>
    <w:rsid w:val="00B33351"/>
    <w:rsid w:val="00B346D9"/>
    <w:rsid w:val="00B35896"/>
    <w:rsid w:val="00B3632A"/>
    <w:rsid w:val="00B370D4"/>
    <w:rsid w:val="00B37D5F"/>
    <w:rsid w:val="00B40DD6"/>
    <w:rsid w:val="00B45EA8"/>
    <w:rsid w:val="00B472D3"/>
    <w:rsid w:val="00B47E72"/>
    <w:rsid w:val="00B50EFB"/>
    <w:rsid w:val="00B5336C"/>
    <w:rsid w:val="00B552AC"/>
    <w:rsid w:val="00B55B50"/>
    <w:rsid w:val="00B63701"/>
    <w:rsid w:val="00B6414C"/>
    <w:rsid w:val="00B64684"/>
    <w:rsid w:val="00B70454"/>
    <w:rsid w:val="00B70ECB"/>
    <w:rsid w:val="00B80339"/>
    <w:rsid w:val="00B85527"/>
    <w:rsid w:val="00B90F5E"/>
    <w:rsid w:val="00B95EE1"/>
    <w:rsid w:val="00BA1942"/>
    <w:rsid w:val="00BA69E4"/>
    <w:rsid w:val="00BB5AD0"/>
    <w:rsid w:val="00BC08BB"/>
    <w:rsid w:val="00BC13DD"/>
    <w:rsid w:val="00BC1A73"/>
    <w:rsid w:val="00BC38AB"/>
    <w:rsid w:val="00BC3CAE"/>
    <w:rsid w:val="00BC4A16"/>
    <w:rsid w:val="00BD2CEF"/>
    <w:rsid w:val="00BD56E9"/>
    <w:rsid w:val="00BE16CE"/>
    <w:rsid w:val="00BE35CC"/>
    <w:rsid w:val="00BE4E2F"/>
    <w:rsid w:val="00BE511B"/>
    <w:rsid w:val="00BE75EA"/>
    <w:rsid w:val="00BF0563"/>
    <w:rsid w:val="00BF5540"/>
    <w:rsid w:val="00BF562B"/>
    <w:rsid w:val="00BF567D"/>
    <w:rsid w:val="00BF76D3"/>
    <w:rsid w:val="00C00DB7"/>
    <w:rsid w:val="00C017EB"/>
    <w:rsid w:val="00C04248"/>
    <w:rsid w:val="00C154B1"/>
    <w:rsid w:val="00C17AB8"/>
    <w:rsid w:val="00C2468F"/>
    <w:rsid w:val="00C302F9"/>
    <w:rsid w:val="00C31733"/>
    <w:rsid w:val="00C32F22"/>
    <w:rsid w:val="00C34BE6"/>
    <w:rsid w:val="00C35214"/>
    <w:rsid w:val="00C43B6F"/>
    <w:rsid w:val="00C468EA"/>
    <w:rsid w:val="00C52438"/>
    <w:rsid w:val="00C5547E"/>
    <w:rsid w:val="00C5699E"/>
    <w:rsid w:val="00C5783A"/>
    <w:rsid w:val="00C57BC6"/>
    <w:rsid w:val="00C6001B"/>
    <w:rsid w:val="00C61A19"/>
    <w:rsid w:val="00C64D8A"/>
    <w:rsid w:val="00C701FC"/>
    <w:rsid w:val="00C70F0E"/>
    <w:rsid w:val="00C71676"/>
    <w:rsid w:val="00C71A5C"/>
    <w:rsid w:val="00C72941"/>
    <w:rsid w:val="00C7539B"/>
    <w:rsid w:val="00C81C19"/>
    <w:rsid w:val="00C83D6D"/>
    <w:rsid w:val="00C85F7D"/>
    <w:rsid w:val="00C9144E"/>
    <w:rsid w:val="00C91764"/>
    <w:rsid w:val="00C92524"/>
    <w:rsid w:val="00C92A47"/>
    <w:rsid w:val="00C9564C"/>
    <w:rsid w:val="00C96B5A"/>
    <w:rsid w:val="00C97F39"/>
    <w:rsid w:val="00CA28C7"/>
    <w:rsid w:val="00CA3447"/>
    <w:rsid w:val="00CA4621"/>
    <w:rsid w:val="00CA4CAF"/>
    <w:rsid w:val="00CB1D3E"/>
    <w:rsid w:val="00CC1CE0"/>
    <w:rsid w:val="00CC2CCC"/>
    <w:rsid w:val="00CC58EF"/>
    <w:rsid w:val="00CC6006"/>
    <w:rsid w:val="00CC6E05"/>
    <w:rsid w:val="00CD0986"/>
    <w:rsid w:val="00CD4D55"/>
    <w:rsid w:val="00CE0BF3"/>
    <w:rsid w:val="00CE4CD3"/>
    <w:rsid w:val="00CE7B28"/>
    <w:rsid w:val="00CF34A8"/>
    <w:rsid w:val="00CF3670"/>
    <w:rsid w:val="00D0027D"/>
    <w:rsid w:val="00D02251"/>
    <w:rsid w:val="00D05153"/>
    <w:rsid w:val="00D07C08"/>
    <w:rsid w:val="00D1449C"/>
    <w:rsid w:val="00D21D47"/>
    <w:rsid w:val="00D2214A"/>
    <w:rsid w:val="00D227CE"/>
    <w:rsid w:val="00D26B98"/>
    <w:rsid w:val="00D27B39"/>
    <w:rsid w:val="00D3251A"/>
    <w:rsid w:val="00D32AAE"/>
    <w:rsid w:val="00D372B5"/>
    <w:rsid w:val="00D4411E"/>
    <w:rsid w:val="00D4418B"/>
    <w:rsid w:val="00D448E3"/>
    <w:rsid w:val="00D4720B"/>
    <w:rsid w:val="00D54A16"/>
    <w:rsid w:val="00D54D40"/>
    <w:rsid w:val="00D62FEB"/>
    <w:rsid w:val="00D67952"/>
    <w:rsid w:val="00D70E0C"/>
    <w:rsid w:val="00D76700"/>
    <w:rsid w:val="00D81BD1"/>
    <w:rsid w:val="00D84418"/>
    <w:rsid w:val="00D86C96"/>
    <w:rsid w:val="00D87484"/>
    <w:rsid w:val="00D9008D"/>
    <w:rsid w:val="00D93451"/>
    <w:rsid w:val="00D97E64"/>
    <w:rsid w:val="00DA5137"/>
    <w:rsid w:val="00DB38FD"/>
    <w:rsid w:val="00DB7E86"/>
    <w:rsid w:val="00DC0639"/>
    <w:rsid w:val="00DC395B"/>
    <w:rsid w:val="00DC40C7"/>
    <w:rsid w:val="00DC49CD"/>
    <w:rsid w:val="00DC70DB"/>
    <w:rsid w:val="00DC71DE"/>
    <w:rsid w:val="00DD15A2"/>
    <w:rsid w:val="00DD4943"/>
    <w:rsid w:val="00DD4AD5"/>
    <w:rsid w:val="00DD7BA9"/>
    <w:rsid w:val="00DF1146"/>
    <w:rsid w:val="00DF416D"/>
    <w:rsid w:val="00DF5864"/>
    <w:rsid w:val="00E03F98"/>
    <w:rsid w:val="00E13214"/>
    <w:rsid w:val="00E15641"/>
    <w:rsid w:val="00E15A6A"/>
    <w:rsid w:val="00E15C85"/>
    <w:rsid w:val="00E16522"/>
    <w:rsid w:val="00E2580B"/>
    <w:rsid w:val="00E31745"/>
    <w:rsid w:val="00E31936"/>
    <w:rsid w:val="00E34E36"/>
    <w:rsid w:val="00E40229"/>
    <w:rsid w:val="00E4462F"/>
    <w:rsid w:val="00E50047"/>
    <w:rsid w:val="00E50394"/>
    <w:rsid w:val="00E57A39"/>
    <w:rsid w:val="00E64E49"/>
    <w:rsid w:val="00E65BEB"/>
    <w:rsid w:val="00E7121A"/>
    <w:rsid w:val="00E816F2"/>
    <w:rsid w:val="00E8231C"/>
    <w:rsid w:val="00E83FC0"/>
    <w:rsid w:val="00E86044"/>
    <w:rsid w:val="00E86BEB"/>
    <w:rsid w:val="00E93084"/>
    <w:rsid w:val="00E94980"/>
    <w:rsid w:val="00E962CB"/>
    <w:rsid w:val="00EA19AA"/>
    <w:rsid w:val="00EA3954"/>
    <w:rsid w:val="00EA6BD8"/>
    <w:rsid w:val="00EB4D52"/>
    <w:rsid w:val="00EB6E4C"/>
    <w:rsid w:val="00EC2842"/>
    <w:rsid w:val="00EC3445"/>
    <w:rsid w:val="00EC5D13"/>
    <w:rsid w:val="00EC6ECD"/>
    <w:rsid w:val="00ED21F1"/>
    <w:rsid w:val="00ED332F"/>
    <w:rsid w:val="00ED33F5"/>
    <w:rsid w:val="00ED486C"/>
    <w:rsid w:val="00ED668D"/>
    <w:rsid w:val="00ED7B0E"/>
    <w:rsid w:val="00EE7E01"/>
    <w:rsid w:val="00EF073A"/>
    <w:rsid w:val="00EF0837"/>
    <w:rsid w:val="00EF5FFE"/>
    <w:rsid w:val="00F04DDC"/>
    <w:rsid w:val="00F04EF2"/>
    <w:rsid w:val="00F0664F"/>
    <w:rsid w:val="00F06C49"/>
    <w:rsid w:val="00F130A0"/>
    <w:rsid w:val="00F13860"/>
    <w:rsid w:val="00F146F8"/>
    <w:rsid w:val="00F15507"/>
    <w:rsid w:val="00F202AA"/>
    <w:rsid w:val="00F236C4"/>
    <w:rsid w:val="00F24E27"/>
    <w:rsid w:val="00F25A84"/>
    <w:rsid w:val="00F266BB"/>
    <w:rsid w:val="00F3472C"/>
    <w:rsid w:val="00F36EDD"/>
    <w:rsid w:val="00F40A6C"/>
    <w:rsid w:val="00F420C0"/>
    <w:rsid w:val="00F5418E"/>
    <w:rsid w:val="00F54820"/>
    <w:rsid w:val="00F55FE4"/>
    <w:rsid w:val="00F57AD4"/>
    <w:rsid w:val="00F6041A"/>
    <w:rsid w:val="00F64505"/>
    <w:rsid w:val="00F668E3"/>
    <w:rsid w:val="00F671C7"/>
    <w:rsid w:val="00F72C03"/>
    <w:rsid w:val="00F7414E"/>
    <w:rsid w:val="00F7578E"/>
    <w:rsid w:val="00F92422"/>
    <w:rsid w:val="00F9313E"/>
    <w:rsid w:val="00F93478"/>
    <w:rsid w:val="00F95372"/>
    <w:rsid w:val="00F95649"/>
    <w:rsid w:val="00F971B7"/>
    <w:rsid w:val="00FA19F8"/>
    <w:rsid w:val="00FA2D0A"/>
    <w:rsid w:val="00FA3335"/>
    <w:rsid w:val="00FA627C"/>
    <w:rsid w:val="00FA7CFA"/>
    <w:rsid w:val="00FB54A3"/>
    <w:rsid w:val="00FC1F7D"/>
    <w:rsid w:val="00FC74CC"/>
    <w:rsid w:val="00FC7A82"/>
    <w:rsid w:val="00FD1445"/>
    <w:rsid w:val="00FD3ABD"/>
    <w:rsid w:val="00FD4CB2"/>
    <w:rsid w:val="00FD572B"/>
    <w:rsid w:val="00FD5DE2"/>
    <w:rsid w:val="00FE1950"/>
    <w:rsid w:val="00FE45DA"/>
    <w:rsid w:val="00FE4B64"/>
    <w:rsid w:val="00FE7F83"/>
    <w:rsid w:val="00FF08E8"/>
    <w:rsid w:val="00FF1B30"/>
    <w:rsid w:val="00FF2174"/>
    <w:rsid w:val="00FF462E"/>
    <w:rsid w:val="00FF5A3D"/>
    <w:rsid w:val="0CD4123A"/>
    <w:rsid w:val="158FA834"/>
    <w:rsid w:val="2141E379"/>
    <w:rsid w:val="2344E433"/>
    <w:rsid w:val="2D031D61"/>
    <w:rsid w:val="2FC47962"/>
    <w:rsid w:val="39E18277"/>
    <w:rsid w:val="3C3E2E4B"/>
    <w:rsid w:val="439E96B0"/>
    <w:rsid w:val="64661775"/>
    <w:rsid w:val="6793A0E0"/>
    <w:rsid w:val="6BE79646"/>
    <w:rsid w:val="6FCFC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lang w:val="en-GB" w:eastAsia="en-GB" w:bidi="ar-SA"/>
      </w:rPr>
    </w:rPrDefault>
    <w:pPrDefault>
      <w:pPr>
        <w:spacing w:after="240" w:line="281" w:lineRule="auto"/>
      </w:pPr>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uiPriority="2" w:unhideWhenUsed="1" w:qFormat="1"/>
    <w:lsdException w:name="heading 5" w:semiHidden="1" w:uiPriority="2"/>
    <w:lsdException w:name="heading 6" w:semiHidden="1" w:uiPriority="2"/>
    <w:lsdException w:name="heading 7" w:semiHidden="1" w:uiPriority="2"/>
    <w:lsdException w:name="heading 8" w:semiHidden="1" w:uiPriority="2"/>
    <w:lsdException w:name="heading 9" w:semiHidden="1" w:uiPriority="2"/>
    <w:lsdException w:name="index 1" w:unhideWhenUsed="1"/>
    <w:lsdException w:name="index 2"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lsdException w:name="toc 8" w:semiHidden="1"/>
    <w:lsdException w:name="toc 9" w:semiHidden="1"/>
    <w:lsdException w:name="Normal Indent" w:semiHidden="1"/>
    <w:lsdException w:name="footnote text" w:uiPriority="99" w:unhideWhenUsed="1" w:qFormat="1"/>
    <w:lsdException w:name="annotation text" w:semiHidden="1"/>
    <w:lsdException w:name="header" w:uiPriority="99" w:unhideWhenUsed="1"/>
    <w:lsdException w:name="footer" w:uiPriority="99" w:unhideWhenUsed="1"/>
    <w:lsdException w:name="index heading" w:semiHidden="1"/>
    <w:lsdException w:name="caption" w:uiPriority="35" w:unhideWhenUsed="1" w:qFormat="1"/>
    <w:lsdException w:name="table of figures" w:uiPriority="39" w:unhideWhenUsed="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uiPriority="99" w:unhideWhenUsed="1"/>
    <w:lsdException w:name="endnote text" w:uiPriority="99" w:unhideWhenUsed="1"/>
    <w:lsdException w:name="table of authorities" w:semiHidden="1"/>
    <w:lsdException w:name="macro" w:semiHidden="1"/>
    <w:lsdException w:name="toa heading" w:semiHidden="1"/>
    <w:lsdException w:name="List" w:semiHidden="1"/>
    <w:lsdException w:name="List Bullet" w:uiPriority="5" w:qFormat="1"/>
    <w:lsdException w:name="List Number" w:uiPriority="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4"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5" w:qFormat="1"/>
    <w:lsdException w:name="Salutation" w:semiHidden="1"/>
    <w:lsdException w:name="Date" w:uiPriority="19"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lsdException w:name="Strong" w:semiHidden="1" w:uiPriority="22" w:qFormat="1"/>
    <w:lsdException w:name="Emphasis" w:uiPriority="69"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1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9" w:unhideWhenUsed="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next w:val="Normal"/>
    <w:link w:val="Heading1Char"/>
    <w:uiPriority w:val="2"/>
    <w:qFormat/>
    <w:pPr>
      <w:keepNext/>
      <w:pageBreakBefore/>
      <w:spacing w:before="600" w:after="400" w:line="240" w:lineRule="auto"/>
      <w:outlineLvl w:val="0"/>
    </w:pPr>
    <w:rPr>
      <w:b/>
      <w:color w:val="006FB4"/>
      <w:kern w:val="24"/>
      <w:sz w:val="52"/>
    </w:rPr>
  </w:style>
  <w:style w:type="paragraph" w:styleId="Heading2">
    <w:name w:val="heading 2"/>
    <w:next w:val="Normal"/>
    <w:link w:val="Heading2Char"/>
    <w:uiPriority w:val="2"/>
    <w:qFormat/>
    <w:pPr>
      <w:keepNext/>
      <w:spacing w:before="520" w:after="320" w:line="240" w:lineRule="auto"/>
      <w:outlineLvl w:val="1"/>
    </w:pPr>
    <w:rPr>
      <w:color w:val="006FB4"/>
      <w:sz w:val="44"/>
    </w:rPr>
  </w:style>
  <w:style w:type="paragraph" w:styleId="Heading3">
    <w:name w:val="heading 3"/>
    <w:next w:val="Normal"/>
    <w:link w:val="Heading3Char"/>
    <w:uiPriority w:val="2"/>
    <w:qFormat/>
    <w:pPr>
      <w:keepNext/>
      <w:spacing w:before="320" w:line="240" w:lineRule="auto"/>
      <w:outlineLvl w:val="2"/>
    </w:pPr>
    <w:rPr>
      <w:b/>
      <w:color w:val="525E65"/>
      <w:sz w:val="36"/>
    </w:rPr>
  </w:style>
  <w:style w:type="paragraph" w:styleId="Heading4">
    <w:name w:val="heading 4"/>
    <w:next w:val="Normal"/>
    <w:link w:val="Heading4Char"/>
    <w:uiPriority w:val="2"/>
    <w:semiHidden/>
    <w:unhideWhenUsed/>
    <w:qFormat/>
    <w:pPr>
      <w:keepNext/>
      <w:spacing w:line="240" w:lineRule="auto"/>
      <w:outlineLvl w:val="3"/>
    </w:pPr>
    <w:rPr>
      <w:color w:val="525E65"/>
      <w:sz w:val="32"/>
    </w:rPr>
  </w:style>
  <w:style w:type="paragraph" w:styleId="Heading5">
    <w:name w:val="heading 5"/>
    <w:next w:val="Normal"/>
    <w:link w:val="Heading5Char"/>
    <w:uiPriority w:val="2"/>
    <w:semiHidden/>
    <w:pPr>
      <w:outlineLvl w:val="4"/>
    </w:pPr>
  </w:style>
  <w:style w:type="paragraph" w:styleId="Heading6">
    <w:name w:val="heading 6"/>
    <w:next w:val="Normal"/>
    <w:link w:val="Heading6Char"/>
    <w:uiPriority w:val="2"/>
    <w:semiHidden/>
    <w:pPr>
      <w:outlineLvl w:val="5"/>
    </w:pPr>
  </w:style>
  <w:style w:type="paragraph" w:styleId="Heading7">
    <w:name w:val="heading 7"/>
    <w:next w:val="Normal"/>
    <w:link w:val="Heading7Char"/>
    <w:uiPriority w:val="2"/>
    <w:semiHidden/>
    <w:pPr>
      <w:outlineLvl w:val="6"/>
    </w:pPr>
  </w:style>
  <w:style w:type="paragraph" w:styleId="Heading8">
    <w:name w:val="heading 8"/>
    <w:next w:val="Normal"/>
    <w:link w:val="Heading8Char"/>
    <w:uiPriority w:val="2"/>
    <w:semiHidden/>
    <w:pPr>
      <w:outlineLvl w:val="7"/>
    </w:pPr>
  </w:style>
  <w:style w:type="paragraph" w:styleId="Heading9">
    <w:name w:val="heading 9"/>
    <w:next w:val="Normal"/>
    <w:link w:val="Heading9Char"/>
    <w:uiPriority w:val="2"/>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gXX">
    <w:name w:val="lang_XX"/>
  </w:style>
  <w:style w:type="character" w:customStyle="1" w:styleId="langSV">
    <w:name w:val="lang_SV"/>
    <w:rPr>
      <w:lang w:val="sv-SE"/>
    </w:rPr>
  </w:style>
  <w:style w:type="character" w:customStyle="1" w:styleId="langES">
    <w:name w:val="lang_ES"/>
    <w:rPr>
      <w:lang w:val="es-ES"/>
    </w:rPr>
  </w:style>
  <w:style w:type="character" w:customStyle="1" w:styleId="langSL">
    <w:name w:val="lang_SL"/>
    <w:rPr>
      <w:lang w:val="sl-SI"/>
    </w:rPr>
  </w:style>
  <w:style w:type="character" w:customStyle="1" w:styleId="langSK">
    <w:name w:val="lang_SK"/>
    <w:rPr>
      <w:lang w:val="sk-SK"/>
    </w:rPr>
  </w:style>
  <w:style w:type="character" w:customStyle="1" w:styleId="langRO">
    <w:name w:val="lang_RO"/>
    <w:rPr>
      <w:lang w:val="ro-RO"/>
    </w:rPr>
  </w:style>
  <w:style w:type="character" w:customStyle="1" w:styleId="langPT">
    <w:name w:val="lang_PT"/>
    <w:rPr>
      <w:lang w:val="pt-PT"/>
    </w:rPr>
  </w:style>
  <w:style w:type="character" w:customStyle="1" w:styleId="langPL">
    <w:name w:val="lang_PL"/>
    <w:rPr>
      <w:lang w:val="pl-PL"/>
    </w:rPr>
  </w:style>
  <w:style w:type="character" w:customStyle="1" w:styleId="langMT">
    <w:name w:val="lang_MT"/>
    <w:rPr>
      <w:lang w:val="mt-MT"/>
    </w:rPr>
  </w:style>
  <w:style w:type="character" w:customStyle="1" w:styleId="langLT">
    <w:name w:val="lang_LT"/>
    <w:rPr>
      <w:lang w:val="lt-LT"/>
    </w:rPr>
  </w:style>
  <w:style w:type="character" w:customStyle="1" w:styleId="langLV">
    <w:name w:val="lang_LV"/>
    <w:rPr>
      <w:lang w:val="lv-LV"/>
    </w:rPr>
  </w:style>
  <w:style w:type="character" w:customStyle="1" w:styleId="langIT">
    <w:name w:val="lang_IT"/>
    <w:rPr>
      <w:lang w:val="it-IT"/>
    </w:rPr>
  </w:style>
  <w:style w:type="character" w:customStyle="1" w:styleId="langGA">
    <w:name w:val="lang_GA"/>
    <w:rPr>
      <w:lang w:val="ga-IE"/>
    </w:rPr>
  </w:style>
  <w:style w:type="character" w:customStyle="1" w:styleId="langHU">
    <w:name w:val="lang_HU"/>
    <w:rPr>
      <w:lang w:val="hu-HU"/>
    </w:rPr>
  </w:style>
  <w:style w:type="character" w:customStyle="1" w:styleId="langEL">
    <w:name w:val="lang_EL"/>
    <w:rPr>
      <w:lang w:val="el-GR"/>
    </w:rPr>
  </w:style>
  <w:style w:type="character" w:customStyle="1" w:styleId="langDE">
    <w:name w:val="lang_DE"/>
    <w:rPr>
      <w:lang w:val="de-DE"/>
    </w:rPr>
  </w:style>
  <w:style w:type="character" w:customStyle="1" w:styleId="langFR">
    <w:name w:val="lang_FR"/>
    <w:rPr>
      <w:lang w:val="fr-FR"/>
    </w:rPr>
  </w:style>
  <w:style w:type="character" w:customStyle="1" w:styleId="langFI">
    <w:name w:val="lang_FI"/>
    <w:rPr>
      <w:lang w:val="fi-FI"/>
    </w:rPr>
  </w:style>
  <w:style w:type="character" w:customStyle="1" w:styleId="langET">
    <w:name w:val="lang_ET"/>
    <w:rPr>
      <w:lang w:val="et-EE"/>
    </w:rPr>
  </w:style>
  <w:style w:type="character" w:customStyle="1" w:styleId="langEN">
    <w:name w:val="lang_EN"/>
    <w:rPr>
      <w:lang w:val="en-GB"/>
    </w:rPr>
  </w:style>
  <w:style w:type="character" w:customStyle="1" w:styleId="langNL">
    <w:name w:val="lang_NL"/>
    <w:rPr>
      <w:lang w:val="nl-NL"/>
    </w:rPr>
  </w:style>
  <w:style w:type="character" w:customStyle="1" w:styleId="langDA">
    <w:name w:val="lang_DA"/>
    <w:rPr>
      <w:lang w:val="da-DK"/>
    </w:rPr>
  </w:style>
  <w:style w:type="character" w:customStyle="1" w:styleId="langCS">
    <w:name w:val="lang_CS"/>
    <w:rPr>
      <w:lang w:val="cs-CZ"/>
    </w:rPr>
  </w:style>
  <w:style w:type="character" w:customStyle="1" w:styleId="langHR">
    <w:name w:val="lang_HR"/>
    <w:rPr>
      <w:lang w:val="hr-HR"/>
    </w:rPr>
  </w:style>
  <w:style w:type="character" w:customStyle="1" w:styleId="langBG">
    <w:name w:val="lang_BG"/>
    <w:rPr>
      <w:lang w:val="bg-BG"/>
    </w:rPr>
  </w:style>
  <w:style w:type="character" w:styleId="Hyperlink">
    <w:name w:val="Hyperlink"/>
    <w:uiPriority w:val="99"/>
    <w:unhideWhenUsed/>
    <w:rPr>
      <w:color w:val="337AB7"/>
      <w:u w:val="single"/>
      <w:shd w:val="clear" w:color="auto" w:fill="auto"/>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Pr>
      <w:color w:val="337AB7"/>
      <w:vertAlign w:val="superscript"/>
    </w:rPr>
  </w:style>
  <w:style w:type="character" w:styleId="EndnoteReference">
    <w:name w:val="endnote reference"/>
    <w:uiPriority w:val="99"/>
    <w:semiHidden/>
    <w:unhideWhenUsed/>
    <w:rPr>
      <w:vertAlign w:val="superscript"/>
    </w:rPr>
  </w:style>
  <w:style w:type="character" w:styleId="Emphasis">
    <w:name w:val="Emphasis"/>
    <w:uiPriority w:val="69"/>
    <w:qFormat/>
    <w:rPr>
      <w:i/>
    </w:rPr>
  </w:style>
  <w:style w:type="character" w:customStyle="1" w:styleId="CrossReference">
    <w:name w:val="Cross Reference"/>
    <w:uiPriority w:val="11"/>
    <w:rPr>
      <w:b/>
      <w:i/>
      <w:color w:val="337AB7"/>
    </w:rPr>
  </w:style>
  <w:style w:type="character" w:customStyle="1" w:styleId="Reference">
    <w:name w:val="Reference"/>
    <w:uiPriority w:val="10"/>
    <w:rPr>
      <w:b/>
      <w:i/>
      <w:shd w:val="clear" w:color="auto" w:fill="auto"/>
    </w:rPr>
  </w:style>
  <w:style w:type="character" w:customStyle="1" w:styleId="TOCPageNumber">
    <w:name w:val="TOC Page Number"/>
    <w:uiPriority w:val="39"/>
    <w:rPr>
      <w:b w:val="0"/>
      <w:noProof/>
      <w:color w:val="181717"/>
    </w:rP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3366CC"/>
    </w:rPr>
  </w:style>
  <w:style w:type="paragraph" w:customStyle="1" w:styleId="QuotationPull">
    <w:name w:val="Quotation Pull"/>
    <w:uiPriority w:val="1"/>
    <w:pPr>
      <w:spacing w:before="360" w:after="480"/>
      <w:ind w:left="567" w:right="567"/>
      <w:jc w:val="center"/>
    </w:pPr>
    <w:rPr>
      <w:i/>
      <w:color w:val="006FB4"/>
      <w:sz w:val="28"/>
    </w:rPr>
  </w:style>
  <w:style w:type="paragraph" w:customStyle="1" w:styleId="QuotationSource">
    <w:name w:val="Quotation Source"/>
    <w:uiPriority w:val="1"/>
    <w:pPr>
      <w:spacing w:before="120" w:after="360"/>
      <w:ind w:left="567" w:right="567"/>
      <w:jc w:val="right"/>
    </w:pPr>
    <w:rPr>
      <w:color w:val="8B82A1"/>
    </w:rPr>
  </w:style>
  <w:style w:type="paragraph" w:customStyle="1" w:styleId="Quotation">
    <w:name w:val="Quotation"/>
    <w:uiPriority w:val="1"/>
    <w:pPr>
      <w:spacing w:before="360" w:after="120"/>
      <w:ind w:left="567" w:right="567"/>
      <w:jc w:val="center"/>
    </w:pPr>
    <w:rPr>
      <w:i/>
      <w:color w:val="771D7B"/>
      <w:sz w:val="28"/>
    </w:rPr>
  </w:style>
  <w:style w:type="paragraph" w:customStyle="1" w:styleId="ListBulletLevel4">
    <w:name w:val="List Bullet (Level 4)"/>
    <w:uiPriority w:val="5"/>
    <w:qFormat/>
    <w:pPr>
      <w:numPr>
        <w:ilvl w:val="3"/>
        <w:numId w:val="3"/>
      </w:numPr>
      <w:ind w:left="1417" w:hanging="1417"/>
    </w:pPr>
  </w:style>
  <w:style w:type="paragraph" w:customStyle="1" w:styleId="ListBulletLevel3">
    <w:name w:val="List Bullet (Level 3)"/>
    <w:uiPriority w:val="5"/>
    <w:qFormat/>
    <w:pPr>
      <w:numPr>
        <w:ilvl w:val="2"/>
        <w:numId w:val="3"/>
      </w:numPr>
      <w:ind w:left="1134" w:hanging="1134"/>
    </w:pPr>
  </w:style>
  <w:style w:type="paragraph" w:customStyle="1" w:styleId="ListBulletLevel2">
    <w:name w:val="List Bullet (Level 2)"/>
    <w:uiPriority w:val="5"/>
    <w:qFormat/>
    <w:pPr>
      <w:numPr>
        <w:ilvl w:val="1"/>
        <w:numId w:val="3"/>
      </w:numPr>
      <w:ind w:left="850" w:hanging="850"/>
    </w:pPr>
  </w:style>
  <w:style w:type="paragraph" w:styleId="ListBullet">
    <w:name w:val="List Bullet"/>
    <w:uiPriority w:val="5"/>
    <w:qFormat/>
    <w:pPr>
      <w:numPr>
        <w:numId w:val="3"/>
      </w:numPr>
      <w:ind w:left="567" w:hanging="567"/>
    </w:pPr>
  </w:style>
  <w:style w:type="paragraph" w:customStyle="1" w:styleId="ListNumberNonindentedLevel5">
    <w:name w:val="List Number Nonindented (Level 5)"/>
    <w:uiPriority w:val="1"/>
    <w:qFormat/>
    <w:pPr>
      <w:numPr>
        <w:ilvl w:val="4"/>
        <w:numId w:val="1"/>
      </w:numPr>
    </w:pPr>
  </w:style>
  <w:style w:type="paragraph" w:customStyle="1" w:styleId="ListNumberNonindentedLevel4">
    <w:name w:val="List Number Nonindented (Level 4)"/>
    <w:uiPriority w:val="1"/>
    <w:qFormat/>
    <w:pPr>
      <w:numPr>
        <w:ilvl w:val="3"/>
        <w:numId w:val="1"/>
      </w:numPr>
    </w:pPr>
  </w:style>
  <w:style w:type="paragraph" w:customStyle="1" w:styleId="ListNumberNonindentedLevel3">
    <w:name w:val="List Number Nonindented (Level 3)"/>
    <w:uiPriority w:val="1"/>
    <w:qFormat/>
    <w:pPr>
      <w:numPr>
        <w:ilvl w:val="2"/>
        <w:numId w:val="1"/>
      </w:numPr>
    </w:pPr>
  </w:style>
  <w:style w:type="paragraph" w:customStyle="1" w:styleId="ListNumberNonindentedLevel2">
    <w:name w:val="List Number Nonindented (Level 2)"/>
    <w:uiPriority w:val="1"/>
    <w:qFormat/>
    <w:pPr>
      <w:numPr>
        <w:ilvl w:val="1"/>
        <w:numId w:val="1"/>
      </w:numPr>
    </w:pPr>
  </w:style>
  <w:style w:type="paragraph" w:customStyle="1" w:styleId="ListNumberNonindented">
    <w:name w:val="List Number Nonindented"/>
    <w:uiPriority w:val="1"/>
    <w:qFormat/>
    <w:pPr>
      <w:numPr>
        <w:numId w:val="1"/>
      </w:numPr>
      <w:ind w:firstLine="0"/>
    </w:pPr>
  </w:style>
  <w:style w:type="paragraph" w:customStyle="1" w:styleId="ImageSource">
    <w:name w:val="Image Source"/>
    <w:pPr>
      <w:spacing w:before="80" w:after="360" w:line="240" w:lineRule="auto"/>
    </w:pPr>
    <w:rPr>
      <w:sz w:val="20"/>
    </w:rPr>
  </w:style>
  <w:style w:type="paragraph" w:customStyle="1" w:styleId="ImageCopyrights">
    <w:name w:val="Image Copyrights"/>
    <w:pPr>
      <w:keepNext/>
      <w:spacing w:before="120" w:after="120"/>
    </w:pPr>
    <w:rPr>
      <w:color w:val="525E65"/>
    </w:rPr>
  </w:style>
  <w:style w:type="paragraph" w:customStyle="1" w:styleId="ImageCaption">
    <w:name w:val="Image Caption"/>
    <w:pPr>
      <w:keepNext/>
      <w:spacing w:before="120" w:after="120"/>
    </w:pPr>
    <w:rPr>
      <w:color w:val="525E65"/>
    </w:rPr>
  </w:style>
  <w:style w:type="paragraph" w:customStyle="1" w:styleId="ImageAlternative">
    <w:name w:val="Image Alternative"/>
    <w:pPr>
      <w:keepNext/>
      <w:spacing w:before="120" w:after="120"/>
    </w:pPr>
    <w:rPr>
      <w:color w:val="771D7B"/>
      <w:sz w:val="20"/>
    </w:rPr>
  </w:style>
  <w:style w:type="paragraph" w:customStyle="1" w:styleId="ImagePlaceholder">
    <w:name w:val="Image Placeholder"/>
    <w:next w:val="ImageAlternative"/>
    <w:pPr>
      <w:keepNext/>
      <w:spacing w:before="120" w:after="120"/>
      <w:jc w:val="center"/>
    </w:pPr>
    <w:rPr>
      <w:color w:val="525E65"/>
    </w:rPr>
  </w:style>
  <w:style w:type="paragraph" w:customStyle="1" w:styleId="ImageSubtitle">
    <w:name w:val="Image Subtitle"/>
    <w:next w:val="ImagePlaceholder"/>
    <w:pPr>
      <w:keepNext/>
      <w:spacing w:after="120"/>
    </w:pPr>
    <w:rPr>
      <w:color w:val="525E65"/>
      <w:sz w:val="28"/>
    </w:rPr>
  </w:style>
  <w:style w:type="paragraph" w:customStyle="1" w:styleId="ImageTitle">
    <w:name w:val="Image Title"/>
    <w:next w:val="ImageSubtitle"/>
    <w:pPr>
      <w:keepNext/>
      <w:spacing w:before="120" w:after="0"/>
    </w:pPr>
    <w:rPr>
      <w:b/>
      <w:color w:val="771D7B"/>
      <w:sz w:val="28"/>
    </w:rPr>
  </w:style>
  <w:style w:type="paragraph" w:customStyle="1" w:styleId="CaptionSourceorCopyright">
    <w:name w:val="Caption Source or Copyright"/>
    <w:uiPriority w:val="99"/>
    <w:qFormat/>
    <w:rPr>
      <w:sz w:val="20"/>
    </w:rPr>
  </w:style>
  <w:style w:type="paragraph" w:styleId="Caption">
    <w:name w:val="caption"/>
    <w:next w:val="Normal"/>
    <w:uiPriority w:val="35"/>
    <w:semiHidden/>
    <w:unhideWhenUsed/>
    <w:qFormat/>
    <w:pPr>
      <w:spacing w:after="200" w:line="240" w:lineRule="auto"/>
    </w:pPr>
    <w:rPr>
      <w:b/>
      <w:sz w:val="20"/>
    </w:rPr>
  </w:style>
  <w:style w:type="paragraph" w:customStyle="1" w:styleId="BoxText">
    <w:name w:val="Box Text"/>
    <w:uiPriority w:val="21"/>
  </w:style>
  <w:style w:type="paragraph" w:customStyle="1" w:styleId="BoxTitleC">
    <w:name w:val="Box Title C"/>
    <w:next w:val="BoxText"/>
    <w:uiPriority w:val="21"/>
    <w:pPr>
      <w:spacing w:before="120"/>
    </w:pPr>
    <w:rPr>
      <w:b/>
      <w:color w:val="525E65"/>
      <w:sz w:val="28"/>
    </w:rPr>
  </w:style>
  <w:style w:type="paragraph" w:customStyle="1" w:styleId="BoxTitleB">
    <w:name w:val="Box Title B"/>
    <w:next w:val="BoxText"/>
    <w:uiPriority w:val="21"/>
    <w:pPr>
      <w:spacing w:before="120"/>
    </w:pPr>
    <w:rPr>
      <w:b/>
      <w:color w:val="006FB4"/>
      <w:sz w:val="28"/>
    </w:rPr>
  </w:style>
  <w:style w:type="paragraph" w:customStyle="1" w:styleId="BoxTitleA">
    <w:name w:val="Box Title A"/>
    <w:next w:val="BoxText"/>
    <w:uiPriority w:val="21"/>
    <w:pPr>
      <w:spacing w:before="120"/>
    </w:pPr>
    <w:rPr>
      <w:b/>
      <w:color w:val="771D7B"/>
      <w:sz w:val="28"/>
    </w:rPr>
  </w:style>
  <w:style w:type="paragraph" w:customStyle="1" w:styleId="AdoptionFormula">
    <w:name w:val="Adoption Formula"/>
    <w:uiPriority w:val="20"/>
    <w:qFormat/>
    <w:pPr>
      <w:tabs>
        <w:tab w:val="center" w:pos="6520"/>
      </w:tabs>
    </w:pPr>
    <w:rPr>
      <w:noProof/>
    </w:rPr>
  </w:style>
  <w:style w:type="paragraph" w:customStyle="1" w:styleId="Filename">
    <w:name w:val="Filename"/>
    <w:uiPriority w:val="11"/>
    <w:qFormat/>
    <w:pPr>
      <w:spacing w:line="240" w:lineRule="auto"/>
      <w:jc w:val="center"/>
    </w:pPr>
  </w:style>
  <w:style w:type="paragraph" w:customStyle="1" w:styleId="SignatureDate">
    <w:name w:val="Signature Date"/>
    <w:uiPriority w:val="10"/>
    <w:qFormat/>
    <w:pPr>
      <w:spacing w:before="600" w:after="60" w:line="240" w:lineRule="auto"/>
      <w:jc w:val="center"/>
    </w:pPr>
    <w:rPr>
      <w:b/>
      <w:sz w:val="22"/>
    </w:rPr>
  </w:style>
  <w:style w:type="paragraph" w:customStyle="1" w:styleId="SignatureText">
    <w:name w:val="Signature Text"/>
    <w:uiPriority w:val="10"/>
    <w:qFormat/>
    <w:pPr>
      <w:spacing w:before="60" w:after="60" w:line="240" w:lineRule="auto"/>
      <w:jc w:val="center"/>
    </w:pPr>
    <w:rPr>
      <w:b/>
      <w:sz w:val="22"/>
    </w:rPr>
  </w:style>
  <w:style w:type="paragraph" w:customStyle="1" w:styleId="SignaturePlaceholder">
    <w:name w:val="Signature Placeholder"/>
    <w:uiPriority w:val="10"/>
    <w:qFormat/>
    <w:pPr>
      <w:jc w:val="center"/>
    </w:pPr>
    <w:rPr>
      <w:i/>
      <w:sz w:val="22"/>
    </w:rPr>
  </w:style>
  <w:style w:type="paragraph" w:customStyle="1" w:styleId="Comment">
    <w:name w:val="Comment"/>
    <w:basedOn w:val="Normal"/>
    <w:uiPriority w:val="36"/>
    <w:pPr>
      <w:shd w:val="thinDiagStripe" w:color="D9D9D9" w:fill="auto"/>
    </w:pPr>
    <w:rPr>
      <w:vanish/>
    </w:rPr>
  </w:style>
  <w:style w:type="paragraph" w:styleId="TOC9">
    <w:name w:val="toc 9"/>
    <w:semiHidden/>
    <w:pPr>
      <w:tabs>
        <w:tab w:val="right" w:leader="dot" w:pos="8504"/>
      </w:tabs>
      <w:spacing w:before="120" w:after="0" w:line="240" w:lineRule="auto"/>
    </w:pPr>
    <w:rPr>
      <w:color w:val="525E65"/>
      <w:sz w:val="22"/>
    </w:rPr>
  </w:style>
  <w:style w:type="paragraph" w:styleId="TOC8">
    <w:name w:val="toc 8"/>
    <w:semiHidden/>
    <w:pPr>
      <w:tabs>
        <w:tab w:val="right" w:leader="dot" w:pos="8504"/>
      </w:tabs>
      <w:spacing w:before="120" w:after="0" w:line="240" w:lineRule="auto"/>
    </w:pPr>
    <w:rPr>
      <w:color w:val="525E65"/>
      <w:sz w:val="22"/>
    </w:rPr>
  </w:style>
  <w:style w:type="paragraph" w:styleId="TOC7">
    <w:name w:val="toc 7"/>
    <w:semiHidden/>
    <w:pPr>
      <w:tabs>
        <w:tab w:val="right" w:leader="dot" w:pos="8504"/>
      </w:tabs>
      <w:spacing w:before="120" w:after="0" w:line="240" w:lineRule="auto"/>
    </w:pPr>
    <w:rPr>
      <w:color w:val="525E65"/>
      <w:sz w:val="22"/>
    </w:rPr>
  </w:style>
  <w:style w:type="paragraph" w:styleId="TOC6">
    <w:name w:val="toc 6"/>
    <w:next w:val="Normal"/>
    <w:uiPriority w:val="39"/>
    <w:semiHidden/>
    <w:unhideWhenUsed/>
    <w:pPr>
      <w:tabs>
        <w:tab w:val="right" w:leader="dot" w:pos="8504"/>
      </w:tabs>
      <w:spacing w:before="120" w:after="0" w:line="240" w:lineRule="auto"/>
      <w:ind w:left="612"/>
    </w:pPr>
    <w:rPr>
      <w:color w:val="525E65"/>
      <w:sz w:val="22"/>
    </w:rPr>
  </w:style>
  <w:style w:type="paragraph" w:styleId="TOC5">
    <w:name w:val="toc 5"/>
    <w:next w:val="Normal"/>
    <w:uiPriority w:val="39"/>
    <w:unhideWhenUsed/>
    <w:pPr>
      <w:tabs>
        <w:tab w:val="right" w:leader="dot" w:pos="8504"/>
      </w:tabs>
      <w:spacing w:before="120" w:after="0" w:line="240" w:lineRule="auto"/>
      <w:ind w:left="408"/>
    </w:pPr>
    <w:rPr>
      <w:color w:val="525E65"/>
      <w:sz w:val="22"/>
    </w:rPr>
  </w:style>
  <w:style w:type="paragraph" w:styleId="TOC4">
    <w:name w:val="toc 4"/>
    <w:next w:val="Normal"/>
    <w:uiPriority w:val="39"/>
    <w:unhideWhenUsed/>
    <w:pPr>
      <w:tabs>
        <w:tab w:val="right" w:leader="dot" w:pos="8504"/>
      </w:tabs>
      <w:spacing w:before="120" w:after="0" w:line="240" w:lineRule="auto"/>
      <w:ind w:left="204"/>
    </w:pPr>
    <w:rPr>
      <w:color w:val="525E65"/>
      <w:sz w:val="22"/>
    </w:rPr>
  </w:style>
  <w:style w:type="paragraph" w:styleId="TOC3">
    <w:name w:val="toc 3"/>
    <w:next w:val="Normal"/>
    <w:uiPriority w:val="39"/>
    <w:unhideWhenUsed/>
    <w:pPr>
      <w:tabs>
        <w:tab w:val="right" w:leader="dot" w:pos="8504"/>
      </w:tabs>
      <w:spacing w:before="120" w:after="0" w:line="240" w:lineRule="auto"/>
    </w:pPr>
    <w:rPr>
      <w:color w:val="525E65"/>
      <w:sz w:val="22"/>
    </w:rPr>
  </w:style>
  <w:style w:type="paragraph" w:styleId="TOC2">
    <w:name w:val="toc 2"/>
    <w:next w:val="Normal"/>
    <w:uiPriority w:val="39"/>
    <w:unhideWhenUsed/>
    <w:pPr>
      <w:tabs>
        <w:tab w:val="right" w:leader="dot" w:pos="8504"/>
      </w:tabs>
      <w:spacing w:after="0" w:line="240" w:lineRule="auto"/>
      <w:ind w:right="850"/>
    </w:pPr>
    <w:rPr>
      <w:b/>
      <w:color w:val="006FB4"/>
    </w:rPr>
  </w:style>
  <w:style w:type="paragraph" w:styleId="TOC1">
    <w:name w:val="toc 1"/>
    <w:next w:val="Normal"/>
    <w:uiPriority w:val="39"/>
    <w:unhideWhenUsed/>
    <w:pPr>
      <w:tabs>
        <w:tab w:val="right" w:pos="8504"/>
      </w:tabs>
      <w:spacing w:before="240" w:after="0" w:line="240" w:lineRule="auto"/>
      <w:ind w:right="850"/>
    </w:pPr>
    <w:rPr>
      <w:b/>
      <w:color w:val="006FB4"/>
    </w:rPr>
  </w:style>
  <w:style w:type="paragraph" w:styleId="Index9">
    <w:name w:val="index 9"/>
    <w:semiHidden/>
    <w:rPr>
      <w:color w:val="525E65"/>
    </w:rPr>
  </w:style>
  <w:style w:type="paragraph" w:styleId="Index8">
    <w:name w:val="index 8"/>
    <w:semiHidden/>
    <w:rPr>
      <w:color w:val="525E65"/>
    </w:rPr>
  </w:style>
  <w:style w:type="paragraph" w:styleId="Index7">
    <w:name w:val="index 7"/>
    <w:semiHidden/>
    <w:rPr>
      <w:color w:val="525E65"/>
    </w:rPr>
  </w:style>
  <w:style w:type="paragraph" w:styleId="Index6">
    <w:name w:val="index 6"/>
    <w:semiHidden/>
    <w:rPr>
      <w:color w:val="525E65"/>
    </w:rPr>
  </w:style>
  <w:style w:type="paragraph" w:styleId="Index5">
    <w:name w:val="index 5"/>
    <w:semiHidden/>
    <w:rPr>
      <w:color w:val="525E65"/>
    </w:rPr>
  </w:style>
  <w:style w:type="paragraph" w:styleId="Index4">
    <w:name w:val="index 4"/>
    <w:semiHidden/>
    <w:rPr>
      <w:color w:val="525E65"/>
    </w:rPr>
  </w:style>
  <w:style w:type="paragraph" w:styleId="Index3">
    <w:name w:val="index 3"/>
    <w:semiHidden/>
    <w:pPr>
      <w:ind w:left="408"/>
    </w:pPr>
    <w:rPr>
      <w:color w:val="525E65"/>
    </w:rPr>
  </w:style>
  <w:style w:type="paragraph" w:styleId="Index2">
    <w:name w:val="index 2"/>
    <w:semiHidden/>
    <w:unhideWhenUsed/>
    <w:pPr>
      <w:ind w:left="204"/>
    </w:pPr>
    <w:rPr>
      <w:color w:val="525E65"/>
    </w:rPr>
  </w:style>
  <w:style w:type="paragraph" w:styleId="Index1">
    <w:name w:val="index 1"/>
    <w:semiHidden/>
    <w:unhideWhenUsed/>
    <w:rPr>
      <w:color w:val="525E65"/>
    </w:rPr>
  </w:style>
  <w:style w:type="paragraph" w:styleId="TableofFigures">
    <w:name w:val="table of figures"/>
    <w:next w:val="Normal"/>
    <w:uiPriority w:val="39"/>
    <w:semiHidden/>
    <w:unhideWhenUsed/>
    <w:pPr>
      <w:tabs>
        <w:tab w:val="right" w:leader="dot" w:pos="8504"/>
      </w:tabs>
      <w:spacing w:before="120" w:after="0" w:line="240" w:lineRule="auto"/>
    </w:pPr>
    <w:rPr>
      <w:color w:val="525E65"/>
    </w:rPr>
  </w:style>
  <w:style w:type="paragraph" w:styleId="TOCHeading">
    <w:name w:val="TOC Heading"/>
    <w:next w:val="Normal"/>
    <w:uiPriority w:val="39"/>
    <w:unhideWhenUsed/>
    <w:qFormat/>
    <w:pPr>
      <w:keepNext/>
      <w:spacing w:before="240"/>
      <w:jc w:val="center"/>
    </w:pPr>
    <w:rPr>
      <w:b/>
      <w:color w:val="525E65"/>
    </w:rPr>
  </w:style>
  <w:style w:type="paragraph" w:customStyle="1" w:styleId="FigureSource">
    <w:name w:val="Figure Source"/>
    <w:next w:val="Normal"/>
    <w:uiPriority w:val="7"/>
    <w:pPr>
      <w:spacing w:line="240" w:lineRule="auto"/>
    </w:pPr>
    <w:rPr>
      <w:sz w:val="20"/>
    </w:rPr>
  </w:style>
  <w:style w:type="paragraph" w:customStyle="1" w:styleId="FigureNote">
    <w:name w:val="Figure Note"/>
    <w:next w:val="FigureSource"/>
    <w:uiPriority w:val="7"/>
    <w:pPr>
      <w:spacing w:line="240" w:lineRule="auto"/>
    </w:pPr>
    <w:rPr>
      <w:b/>
      <w:sz w:val="20"/>
    </w:rPr>
  </w:style>
  <w:style w:type="paragraph" w:customStyle="1" w:styleId="FigureBody">
    <w:name w:val="Figure Body"/>
    <w:next w:val="FigureNote"/>
    <w:uiPriority w:val="7"/>
    <w:pPr>
      <w:keepNext/>
      <w:spacing w:after="40" w:line="240" w:lineRule="auto"/>
    </w:pPr>
  </w:style>
  <w:style w:type="paragraph" w:customStyle="1" w:styleId="FigureSubtitle">
    <w:name w:val="Figure Subtitle"/>
    <w:next w:val="FigureBody"/>
    <w:uiPriority w:val="6"/>
    <w:pPr>
      <w:keepNext/>
      <w:spacing w:after="180"/>
    </w:pPr>
    <w:rPr>
      <w:color w:val="525E65"/>
      <w:sz w:val="28"/>
    </w:rPr>
  </w:style>
  <w:style w:type="paragraph" w:customStyle="1" w:styleId="FigureTitle">
    <w:name w:val="Figure Title"/>
    <w:next w:val="FigureBody"/>
    <w:uiPriority w:val="6"/>
    <w:pPr>
      <w:keepNext/>
      <w:spacing w:after="180"/>
    </w:pPr>
    <w:rPr>
      <w:b/>
      <w:color w:val="771D7B"/>
      <w:sz w:val="28"/>
    </w:rPr>
  </w:style>
  <w:style w:type="paragraph" w:customStyle="1" w:styleId="TableSource">
    <w:name w:val="Table Source"/>
    <w:next w:val="Normal"/>
    <w:uiPriority w:val="7"/>
    <w:pPr>
      <w:spacing w:before="80" w:after="360" w:line="240" w:lineRule="auto"/>
    </w:pPr>
    <w:rPr>
      <w:sz w:val="20"/>
    </w:rPr>
  </w:style>
  <w:style w:type="paragraph" w:customStyle="1" w:styleId="TableNote">
    <w:name w:val="Table Note"/>
    <w:next w:val="TableSource"/>
    <w:uiPriority w:val="7"/>
    <w:pPr>
      <w:spacing w:before="80" w:after="360" w:line="240" w:lineRule="auto"/>
    </w:pPr>
    <w:rPr>
      <w:b/>
      <w:sz w:val="20"/>
    </w:rPr>
  </w:style>
  <w:style w:type="paragraph" w:customStyle="1" w:styleId="TableBody">
    <w:name w:val="Table Body"/>
    <w:next w:val="TableNote"/>
    <w:uiPriority w:val="7"/>
    <w:pPr>
      <w:keepNext/>
      <w:spacing w:after="40" w:line="240" w:lineRule="auto"/>
    </w:pPr>
  </w:style>
  <w:style w:type="paragraph" w:customStyle="1" w:styleId="TableAlternative">
    <w:name w:val="Table Alternative"/>
    <w:pPr>
      <w:keepNext/>
      <w:spacing w:before="120" w:after="120"/>
    </w:pPr>
    <w:rPr>
      <w:color w:val="771D7B"/>
      <w:sz w:val="20"/>
    </w:rPr>
  </w:style>
  <w:style w:type="paragraph" w:customStyle="1" w:styleId="TableSubtitle">
    <w:name w:val="Table Subtitle"/>
    <w:next w:val="TableBody"/>
    <w:uiPriority w:val="6"/>
    <w:pPr>
      <w:keepNext/>
      <w:spacing w:after="120"/>
    </w:pPr>
    <w:rPr>
      <w:color w:val="525E65"/>
      <w:sz w:val="28"/>
    </w:rPr>
  </w:style>
  <w:style w:type="paragraph" w:customStyle="1" w:styleId="TableTitle">
    <w:name w:val="Table Title"/>
    <w:next w:val="TableBody"/>
    <w:uiPriority w:val="6"/>
    <w:pPr>
      <w:keepNext/>
      <w:spacing w:before="120" w:after="0"/>
    </w:pPr>
    <w:rPr>
      <w:b/>
      <w:color w:val="771D7B"/>
      <w:sz w:val="28"/>
    </w:rPr>
  </w:style>
  <w:style w:type="paragraph" w:styleId="ListParagraph">
    <w:name w:val="List Paragraph"/>
    <w:uiPriority w:val="5"/>
    <w:qFormat/>
    <w:pPr>
      <w:ind w:left="720"/>
      <w:contextualSpacing/>
    </w:pPr>
  </w:style>
  <w:style w:type="paragraph" w:customStyle="1" w:styleId="RomanParagraph">
    <w:name w:val="Roman Paragraph"/>
    <w:uiPriority w:val="3"/>
    <w:pPr>
      <w:numPr>
        <w:numId w:val="4"/>
      </w:numPr>
    </w:pPr>
  </w:style>
  <w:style w:type="paragraph" w:customStyle="1" w:styleId="References2">
    <w:name w:val="References 2"/>
    <w:next w:val="Normal"/>
    <w:uiPriority w:val="2"/>
    <w:qFormat/>
    <w:pPr>
      <w:keepNext/>
      <w:spacing w:before="520" w:after="320" w:line="240" w:lineRule="auto"/>
      <w:outlineLvl w:val="1"/>
    </w:pPr>
    <w:rPr>
      <w:color w:val="006FB4"/>
      <w:sz w:val="44"/>
    </w:rPr>
  </w:style>
  <w:style w:type="paragraph" w:customStyle="1" w:styleId="References1">
    <w:name w:val="References 1"/>
    <w:next w:val="Normal"/>
    <w:uiPriority w:val="2"/>
    <w:qFormat/>
    <w:pPr>
      <w:keepNext/>
      <w:pageBreakBefore/>
      <w:spacing w:before="600" w:after="400" w:line="240" w:lineRule="auto"/>
      <w:outlineLvl w:val="0"/>
    </w:pPr>
    <w:rPr>
      <w:b/>
      <w:color w:val="006FB4"/>
      <w:kern w:val="24"/>
      <w:sz w:val="52"/>
    </w:rPr>
  </w:style>
  <w:style w:type="paragraph" w:customStyle="1" w:styleId="HeadingNumbered4">
    <w:name w:val="Heading Numbered 4"/>
    <w:next w:val="Normal"/>
    <w:uiPriority w:val="2"/>
    <w:semiHidden/>
    <w:unhideWhenUsed/>
    <w:qFormat/>
    <w:pPr>
      <w:keepNext/>
      <w:numPr>
        <w:ilvl w:val="3"/>
        <w:numId w:val="5"/>
      </w:numPr>
      <w:spacing w:line="240" w:lineRule="auto"/>
      <w:ind w:left="1928" w:hanging="482"/>
      <w:outlineLvl w:val="3"/>
    </w:pPr>
    <w:rPr>
      <w:color w:val="525E65"/>
      <w:sz w:val="32"/>
    </w:rPr>
  </w:style>
  <w:style w:type="paragraph" w:customStyle="1" w:styleId="HeadingNumbered3">
    <w:name w:val="Heading Numbered 3"/>
    <w:next w:val="Normal"/>
    <w:uiPriority w:val="2"/>
    <w:unhideWhenUsed/>
    <w:qFormat/>
    <w:pPr>
      <w:keepNext/>
      <w:numPr>
        <w:ilvl w:val="2"/>
        <w:numId w:val="5"/>
      </w:numPr>
      <w:spacing w:before="320" w:line="240" w:lineRule="auto"/>
      <w:ind w:left="1446" w:hanging="482"/>
      <w:outlineLvl w:val="2"/>
    </w:pPr>
    <w:rPr>
      <w:b/>
      <w:color w:val="525E65"/>
      <w:sz w:val="36"/>
    </w:rPr>
  </w:style>
  <w:style w:type="paragraph" w:customStyle="1" w:styleId="HeadingNumbered2">
    <w:name w:val="Heading Numbered 2"/>
    <w:next w:val="Normal"/>
    <w:uiPriority w:val="2"/>
    <w:unhideWhenUsed/>
    <w:qFormat/>
    <w:pPr>
      <w:keepNext/>
      <w:numPr>
        <w:ilvl w:val="1"/>
        <w:numId w:val="5"/>
      </w:numPr>
      <w:spacing w:before="520" w:after="320" w:line="240" w:lineRule="auto"/>
      <w:outlineLvl w:val="1"/>
    </w:pPr>
    <w:rPr>
      <w:color w:val="006FB4"/>
      <w:sz w:val="44"/>
    </w:rPr>
  </w:style>
  <w:style w:type="paragraph" w:customStyle="1" w:styleId="HeadingNumbered1">
    <w:name w:val="Heading Numbered 1"/>
    <w:next w:val="Normal"/>
    <w:uiPriority w:val="2"/>
    <w:unhideWhenUsed/>
    <w:qFormat/>
    <w:pPr>
      <w:keepNext/>
      <w:pageBreakBefore/>
      <w:numPr>
        <w:numId w:val="5"/>
      </w:numPr>
      <w:spacing w:before="600" w:after="400" w:line="240" w:lineRule="auto"/>
      <w:outlineLvl w:val="0"/>
    </w:pPr>
    <w:rPr>
      <w:b/>
      <w:color w:val="006FB4"/>
      <w:kern w:val="24"/>
      <w:sz w:val="52"/>
    </w:rPr>
  </w:style>
  <w:style w:type="paragraph" w:customStyle="1" w:styleId="HeadingNoTOC4">
    <w:name w:val="Heading NoTOC 4"/>
    <w:next w:val="Normal"/>
    <w:uiPriority w:val="2"/>
    <w:semiHidden/>
    <w:unhideWhenUsed/>
    <w:qFormat/>
    <w:pPr>
      <w:keepNext/>
      <w:spacing w:line="240" w:lineRule="auto"/>
      <w:outlineLvl w:val="3"/>
    </w:pPr>
    <w:rPr>
      <w:color w:val="525E65"/>
      <w:sz w:val="32"/>
    </w:rPr>
  </w:style>
  <w:style w:type="paragraph" w:customStyle="1" w:styleId="HeadingNoTOC3">
    <w:name w:val="Heading NoTOC 3"/>
    <w:next w:val="Normal"/>
    <w:uiPriority w:val="2"/>
    <w:semiHidden/>
    <w:unhideWhenUsed/>
    <w:qFormat/>
    <w:pPr>
      <w:keepNext/>
      <w:spacing w:before="320" w:line="240" w:lineRule="auto"/>
      <w:outlineLvl w:val="2"/>
    </w:pPr>
    <w:rPr>
      <w:b/>
      <w:color w:val="525E65"/>
      <w:sz w:val="36"/>
    </w:rPr>
  </w:style>
  <w:style w:type="paragraph" w:customStyle="1" w:styleId="HeadingNoTOC2">
    <w:name w:val="Heading NoTOC 2"/>
    <w:next w:val="Normal"/>
    <w:uiPriority w:val="2"/>
    <w:unhideWhenUsed/>
    <w:qFormat/>
    <w:pPr>
      <w:keepNext/>
      <w:spacing w:before="520" w:after="320" w:line="240" w:lineRule="auto"/>
      <w:outlineLvl w:val="1"/>
    </w:pPr>
    <w:rPr>
      <w:color w:val="006FB4"/>
      <w:sz w:val="44"/>
    </w:rPr>
  </w:style>
  <w:style w:type="paragraph" w:customStyle="1" w:styleId="HeadingNoTOC1">
    <w:name w:val="Heading NoTOC 1"/>
    <w:next w:val="Normal"/>
    <w:uiPriority w:val="2"/>
    <w:qFormat/>
    <w:pPr>
      <w:keepNext/>
      <w:pageBreakBefore/>
      <w:spacing w:before="600" w:after="400" w:line="240" w:lineRule="auto"/>
      <w:outlineLvl w:val="0"/>
    </w:pPr>
    <w:rPr>
      <w:b/>
      <w:color w:val="006FB4"/>
      <w:kern w:val="24"/>
      <w:sz w:val="52"/>
    </w:rPr>
  </w:style>
  <w:style w:type="paragraph" w:customStyle="1" w:styleId="SectionSubsubtitle">
    <w:name w:val="Section Subsubtitle"/>
    <w:next w:val="Heading1"/>
    <w:pPr>
      <w:pBdr>
        <w:left w:val="single" w:sz="48" w:space="8" w:color="771D7B"/>
      </w:pBdr>
      <w:spacing w:after="0" w:line="240" w:lineRule="auto"/>
    </w:pPr>
    <w:rPr>
      <w:color w:val="8B82A1"/>
      <w:sz w:val="20"/>
    </w:rPr>
  </w:style>
  <w:style w:type="paragraph" w:customStyle="1" w:styleId="SectionSubtitle">
    <w:name w:val="Section Subtitle"/>
    <w:next w:val="SectionSubsubtitle"/>
    <w:pPr>
      <w:pBdr>
        <w:left w:val="single" w:sz="48" w:space="8" w:color="771D7B"/>
      </w:pBdr>
      <w:spacing w:after="0" w:line="240" w:lineRule="auto"/>
    </w:pPr>
    <w:rPr>
      <w:color w:val="8B82A1"/>
    </w:rPr>
  </w:style>
  <w:style w:type="paragraph" w:customStyle="1" w:styleId="SectionTitle">
    <w:name w:val="Section Title"/>
    <w:next w:val="SectionSubtitle"/>
    <w:pPr>
      <w:pBdr>
        <w:left w:val="single" w:sz="48" w:space="8" w:color="771D7B"/>
      </w:pBdr>
      <w:spacing w:after="0" w:line="240" w:lineRule="auto"/>
      <w:outlineLvl w:val="0"/>
    </w:pPr>
    <w:rPr>
      <w:b/>
      <w:color w:val="771D7B"/>
      <w:sz w:val="32"/>
    </w:rPr>
  </w:style>
  <w:style w:type="paragraph" w:customStyle="1" w:styleId="SectionNumber">
    <w:name w:val="Section Number"/>
    <w:next w:val="SectionTitle"/>
    <w:pPr>
      <w:pageBreakBefore/>
      <w:pBdr>
        <w:left w:val="single" w:sz="48" w:space="8" w:color="771D7B"/>
      </w:pBdr>
      <w:spacing w:after="0" w:line="240" w:lineRule="auto"/>
    </w:pPr>
    <w:rPr>
      <w:b/>
      <w:color w:val="8B82A1"/>
      <w:sz w:val="44"/>
    </w:rPr>
  </w:style>
  <w:style w:type="paragraph" w:customStyle="1" w:styleId="ChapterSubsubtitle">
    <w:name w:val="Chapter Subsubtitle"/>
    <w:next w:val="Heading1"/>
    <w:pPr>
      <w:pBdr>
        <w:left w:val="single" w:sz="48" w:space="8" w:color="771D7B"/>
      </w:pBdr>
      <w:spacing w:after="0" w:line="240" w:lineRule="auto"/>
    </w:pPr>
    <w:rPr>
      <w:color w:val="8B82A1"/>
    </w:rPr>
  </w:style>
  <w:style w:type="paragraph" w:customStyle="1" w:styleId="ChapterSubtitle">
    <w:name w:val="Chapter Subtitle"/>
    <w:next w:val="ChapterSubsubtitle"/>
    <w:pPr>
      <w:pBdr>
        <w:left w:val="single" w:sz="48" w:space="8" w:color="771D7B"/>
      </w:pBdr>
      <w:spacing w:after="0" w:line="240" w:lineRule="auto"/>
    </w:pPr>
    <w:rPr>
      <w:color w:val="8B82A1"/>
      <w:sz w:val="44"/>
    </w:rPr>
  </w:style>
  <w:style w:type="paragraph" w:customStyle="1" w:styleId="ChapterTitle">
    <w:name w:val="Chapter Title"/>
    <w:next w:val="ChapterSubtitle"/>
    <w:pPr>
      <w:pBdr>
        <w:left w:val="single" w:sz="48" w:space="8" w:color="771D7B"/>
      </w:pBdr>
      <w:spacing w:after="0" w:line="240" w:lineRule="auto"/>
      <w:outlineLvl w:val="0"/>
    </w:pPr>
    <w:rPr>
      <w:b/>
      <w:color w:val="771D7B"/>
      <w:sz w:val="56"/>
    </w:rPr>
  </w:style>
  <w:style w:type="paragraph" w:customStyle="1" w:styleId="ChapterNumber">
    <w:name w:val="Chapter Number"/>
    <w:next w:val="ChapterTitle"/>
    <w:pPr>
      <w:pageBreakBefore/>
      <w:pBdr>
        <w:left w:val="single" w:sz="48" w:space="8" w:color="771D7B"/>
      </w:pBdr>
      <w:spacing w:after="0" w:line="240" w:lineRule="auto"/>
    </w:pPr>
    <w:rPr>
      <w:b/>
      <w:color w:val="8B82A1"/>
      <w:sz w:val="72"/>
    </w:rPr>
  </w:style>
  <w:style w:type="paragraph" w:customStyle="1" w:styleId="PartSubsubtitle">
    <w:name w:val="Part Subsubtitle"/>
    <w:next w:val="Heading1"/>
    <w:pPr>
      <w:pBdr>
        <w:left w:val="single" w:sz="48" w:space="8" w:color="771D7B"/>
      </w:pBdr>
      <w:spacing w:after="0" w:line="240" w:lineRule="auto"/>
    </w:pPr>
    <w:rPr>
      <w:color w:val="8B82A1"/>
      <w:sz w:val="28"/>
    </w:rPr>
  </w:style>
  <w:style w:type="paragraph" w:customStyle="1" w:styleId="PartSubtitle">
    <w:name w:val="Part Subtitle"/>
    <w:next w:val="PartSubsubtitle"/>
    <w:pPr>
      <w:pBdr>
        <w:left w:val="single" w:sz="48" w:space="8" w:color="771D7B"/>
      </w:pBdr>
      <w:spacing w:after="0" w:line="240" w:lineRule="auto"/>
    </w:pPr>
    <w:rPr>
      <w:color w:val="8B82A1"/>
      <w:sz w:val="48"/>
    </w:rPr>
  </w:style>
  <w:style w:type="paragraph" w:customStyle="1" w:styleId="PartTitle">
    <w:name w:val="Part Title"/>
    <w:next w:val="PartSubtitle"/>
    <w:pPr>
      <w:pBdr>
        <w:left w:val="single" w:sz="48" w:space="8" w:color="771D7B"/>
      </w:pBdr>
      <w:spacing w:after="0" w:line="240" w:lineRule="auto"/>
      <w:outlineLvl w:val="0"/>
    </w:pPr>
    <w:rPr>
      <w:b/>
      <w:color w:val="771D7B"/>
      <w:sz w:val="84"/>
    </w:rPr>
  </w:style>
  <w:style w:type="paragraph" w:customStyle="1" w:styleId="PartNumber">
    <w:name w:val="Part Number"/>
    <w:next w:val="PartTitle"/>
    <w:pPr>
      <w:pageBreakBefore/>
      <w:pBdr>
        <w:left w:val="single" w:sz="48" w:space="8" w:color="771D7B"/>
      </w:pBdr>
      <w:spacing w:after="0" w:line="240" w:lineRule="auto"/>
    </w:pPr>
    <w:rPr>
      <w:b/>
      <w:color w:val="8B82A1"/>
      <w:sz w:val="156"/>
    </w:rPr>
  </w:style>
  <w:style w:type="paragraph" w:customStyle="1" w:styleId="PublicationDate">
    <w:name w:val="Publication Date"/>
    <w:uiPriority w:val="99"/>
    <w:qFormat/>
    <w:pPr>
      <w:spacing w:before="320" w:after="320"/>
      <w:jc w:val="right"/>
    </w:pPr>
    <w:rPr>
      <w:b/>
      <w:color w:val="525E65"/>
      <w:sz w:val="32"/>
    </w:rPr>
  </w:style>
  <w:style w:type="paragraph" w:customStyle="1" w:styleId="PublicationSubsubtitle">
    <w:name w:val="Publication Subsubtitle"/>
    <w:uiPriority w:val="99"/>
    <w:qFormat/>
    <w:pPr>
      <w:spacing w:after="400"/>
    </w:pPr>
    <w:rPr>
      <w:color w:val="8B82A1"/>
      <w:sz w:val="32"/>
    </w:rPr>
  </w:style>
  <w:style w:type="paragraph" w:customStyle="1" w:styleId="PublicationSubtitle">
    <w:name w:val="Publication Subtitle"/>
    <w:uiPriority w:val="99"/>
    <w:qFormat/>
    <w:pPr>
      <w:spacing w:before="600" w:after="0"/>
    </w:pPr>
    <w:rPr>
      <w:b/>
      <w:color w:val="8B82A1"/>
      <w:sz w:val="36"/>
    </w:rPr>
  </w:style>
  <w:style w:type="paragraph" w:customStyle="1" w:styleId="PublicationTitle">
    <w:name w:val="Publication Title"/>
    <w:uiPriority w:val="99"/>
    <w:qFormat/>
    <w:pPr>
      <w:spacing w:before="2000" w:after="400"/>
    </w:pPr>
    <w:rPr>
      <w:b/>
      <w:color w:val="771D7B"/>
      <w:sz w:val="72"/>
    </w:rPr>
  </w:style>
  <w:style w:type="paragraph" w:styleId="NoSpacing">
    <w:name w:val="No Spacing"/>
    <w:uiPriority w:val="2"/>
    <w:qFormat/>
    <w:pPr>
      <w:spacing w:line="240" w:lineRule="auto"/>
    </w:pPr>
  </w:style>
  <w:style w:type="paragraph" w:customStyle="1" w:styleId="NumberedParagraph">
    <w:name w:val="Numbered Paragraph"/>
    <w:uiPriority w:val="4"/>
    <w:pPr>
      <w:numPr>
        <w:numId w:val="6"/>
      </w:numPr>
    </w:pPr>
  </w:style>
  <w:style w:type="paragraph" w:customStyle="1" w:styleId="ListRoman">
    <w:name w:val="List Roman"/>
    <w:uiPriority w:val="1"/>
    <w:qFormat/>
    <w:pPr>
      <w:numPr>
        <w:numId w:val="10"/>
      </w:numPr>
    </w:pPr>
  </w:style>
  <w:style w:type="paragraph" w:customStyle="1" w:styleId="ListRomanLevel2">
    <w:name w:val="List Roman (Level 2)"/>
    <w:uiPriority w:val="1"/>
    <w:qFormat/>
    <w:pPr>
      <w:numPr>
        <w:ilvl w:val="1"/>
        <w:numId w:val="10"/>
      </w:numPr>
    </w:pPr>
  </w:style>
  <w:style w:type="paragraph" w:customStyle="1" w:styleId="ListRomanLevel3">
    <w:name w:val="List Roman (Level 3)"/>
    <w:uiPriority w:val="1"/>
    <w:qFormat/>
    <w:pPr>
      <w:numPr>
        <w:ilvl w:val="2"/>
        <w:numId w:val="10"/>
      </w:numPr>
    </w:pPr>
  </w:style>
  <w:style w:type="paragraph" w:customStyle="1" w:styleId="ListRomanLevel4">
    <w:name w:val="List Roman (Level 4)"/>
    <w:uiPriority w:val="1"/>
    <w:qFormat/>
    <w:pPr>
      <w:numPr>
        <w:ilvl w:val="3"/>
        <w:numId w:val="10"/>
      </w:numPr>
    </w:pPr>
  </w:style>
  <w:style w:type="paragraph" w:styleId="ListNumber">
    <w:name w:val="List Number"/>
    <w:basedOn w:val="Normal"/>
    <w:uiPriority w:val="1"/>
    <w:qFormat/>
    <w:pPr>
      <w:numPr>
        <w:numId w:val="7"/>
      </w:numPr>
    </w:pPr>
  </w:style>
  <w:style w:type="paragraph" w:customStyle="1" w:styleId="ListNumberLevel2">
    <w:name w:val="List Number (Level 2)"/>
    <w:basedOn w:val="ListNumber"/>
    <w:uiPriority w:val="1"/>
    <w:qFormat/>
    <w:pPr>
      <w:numPr>
        <w:ilvl w:val="1"/>
      </w:numPr>
    </w:pPr>
  </w:style>
  <w:style w:type="paragraph" w:customStyle="1" w:styleId="ListNumberLevel3">
    <w:name w:val="List Number (Level 3)"/>
    <w:basedOn w:val="ListNumber"/>
    <w:uiPriority w:val="1"/>
    <w:qFormat/>
    <w:pPr>
      <w:numPr>
        <w:ilvl w:val="2"/>
      </w:numPr>
    </w:pPr>
  </w:style>
  <w:style w:type="paragraph" w:customStyle="1" w:styleId="ListNumberLevel4">
    <w:name w:val="List Number (Level 4)"/>
    <w:basedOn w:val="ListNumber"/>
    <w:uiPriority w:val="1"/>
    <w:qFormat/>
    <w:pPr>
      <w:numPr>
        <w:ilvl w:val="3"/>
      </w:numPr>
    </w:pPr>
  </w:style>
  <w:style w:type="paragraph" w:customStyle="1" w:styleId="ListNumberLevel5">
    <w:name w:val="List Number (Level 5)"/>
    <w:uiPriority w:val="1"/>
    <w:qFormat/>
    <w:pPr>
      <w:numPr>
        <w:ilvl w:val="4"/>
        <w:numId w:val="7"/>
      </w:numPr>
    </w:pPr>
  </w:style>
  <w:style w:type="paragraph" w:customStyle="1" w:styleId="ListMixed">
    <w:name w:val="List Mixed"/>
    <w:uiPriority w:val="1"/>
    <w:qFormat/>
    <w:pPr>
      <w:numPr>
        <w:numId w:val="8"/>
      </w:numPr>
    </w:pPr>
  </w:style>
  <w:style w:type="paragraph" w:customStyle="1" w:styleId="ListMixedLevel2">
    <w:name w:val="List Mixed (Level 2)"/>
    <w:uiPriority w:val="1"/>
    <w:qFormat/>
    <w:pPr>
      <w:numPr>
        <w:ilvl w:val="1"/>
        <w:numId w:val="8"/>
      </w:numPr>
    </w:pPr>
  </w:style>
  <w:style w:type="paragraph" w:customStyle="1" w:styleId="ListMixedLevel3">
    <w:name w:val="List Mixed (Level 3)"/>
    <w:uiPriority w:val="1"/>
    <w:qFormat/>
    <w:pPr>
      <w:numPr>
        <w:ilvl w:val="2"/>
        <w:numId w:val="8"/>
      </w:numPr>
    </w:pPr>
  </w:style>
  <w:style w:type="paragraph" w:customStyle="1" w:styleId="ListMixedLevel4">
    <w:name w:val="List Mixed (Level 4)"/>
    <w:uiPriority w:val="1"/>
    <w:qFormat/>
    <w:pPr>
      <w:numPr>
        <w:ilvl w:val="3"/>
        <w:numId w:val="8"/>
      </w:numPr>
    </w:pPr>
  </w:style>
  <w:style w:type="paragraph" w:customStyle="1" w:styleId="ListMixedLevel5">
    <w:name w:val="List Mixed (Level 5)"/>
    <w:uiPriority w:val="1"/>
    <w:qFormat/>
    <w:pPr>
      <w:ind w:left="2835" w:hanging="567"/>
    </w:pPr>
  </w:style>
  <w:style w:type="paragraph" w:customStyle="1" w:styleId="Listabc">
    <w:name w:val="List abc"/>
    <w:uiPriority w:val="1"/>
    <w:qFormat/>
    <w:pPr>
      <w:numPr>
        <w:numId w:val="9"/>
      </w:numPr>
    </w:pPr>
  </w:style>
  <w:style w:type="paragraph" w:customStyle="1" w:styleId="ListabcLevel2">
    <w:name w:val="List abc (Level 2)"/>
    <w:uiPriority w:val="1"/>
    <w:qFormat/>
    <w:pPr>
      <w:numPr>
        <w:ilvl w:val="1"/>
        <w:numId w:val="9"/>
      </w:numPr>
    </w:pPr>
  </w:style>
  <w:style w:type="paragraph" w:customStyle="1" w:styleId="ListabcLevel3">
    <w:name w:val="List abc (Level 3)"/>
    <w:uiPriority w:val="1"/>
    <w:qFormat/>
    <w:pPr>
      <w:numPr>
        <w:ilvl w:val="2"/>
        <w:numId w:val="9"/>
      </w:numPr>
    </w:pPr>
  </w:style>
  <w:style w:type="paragraph" w:customStyle="1" w:styleId="ListabcLevel4">
    <w:name w:val="List abc (Level 4)"/>
    <w:uiPriority w:val="1"/>
    <w:qFormat/>
    <w:pPr>
      <w:numPr>
        <w:ilvl w:val="3"/>
        <w:numId w:val="9"/>
      </w:numPr>
    </w:pPr>
  </w:style>
  <w:style w:type="paragraph" w:customStyle="1" w:styleId="ListDash">
    <w:name w:val="List Dash"/>
    <w:uiPriority w:val="4"/>
    <w:qFormat/>
    <w:pPr>
      <w:numPr>
        <w:numId w:val="2"/>
      </w:numPr>
    </w:pPr>
  </w:style>
  <w:style w:type="paragraph" w:customStyle="1" w:styleId="ListDashLevel2">
    <w:name w:val="List Dash (Level 2)"/>
    <w:uiPriority w:val="4"/>
    <w:qFormat/>
    <w:pPr>
      <w:numPr>
        <w:ilvl w:val="1"/>
        <w:numId w:val="2"/>
      </w:numPr>
    </w:pPr>
  </w:style>
  <w:style w:type="paragraph" w:customStyle="1" w:styleId="ListDashLevel3">
    <w:name w:val="List Dash (Level 3)"/>
    <w:uiPriority w:val="4"/>
    <w:qFormat/>
    <w:pPr>
      <w:numPr>
        <w:ilvl w:val="2"/>
        <w:numId w:val="2"/>
      </w:numPr>
    </w:pPr>
  </w:style>
  <w:style w:type="paragraph" w:customStyle="1" w:styleId="ListDashLevel4">
    <w:name w:val="List Dash (Level 4)"/>
    <w:uiPriority w:val="4"/>
    <w:qFormat/>
    <w:pPr>
      <w:numPr>
        <w:ilvl w:val="3"/>
        <w:numId w:val="2"/>
      </w:numPr>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link w:val="FootnoteTextChar"/>
    <w:uiPriority w:val="99"/>
    <w:unhideWhenUsed/>
    <w:qFormat/>
    <w:pPr>
      <w:spacing w:after="120"/>
      <w:ind w:left="283" w:hanging="283"/>
    </w:pPr>
    <w:rPr>
      <w:color w:val="525E65"/>
      <w:sz w:val="22"/>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uiPriority w:val="99"/>
    <w:unhideWhenUsed/>
    <w:rPr>
      <w:color w:val="525E65"/>
      <w:sz w:val="22"/>
    </w:rPr>
  </w:style>
  <w:style w:type="paragraph" w:styleId="EndnoteText">
    <w:name w:val="endnote text"/>
    <w:link w:val="EndnoteTextChar"/>
    <w:uiPriority w:val="99"/>
    <w:semiHidden/>
    <w:unhideWhenUsed/>
    <w:pPr>
      <w:spacing w:after="120"/>
      <w:ind w:left="283" w:hanging="283"/>
    </w:pPr>
    <w:rPr>
      <w:color w:val="525E65"/>
      <w:sz w:val="22"/>
    </w:rPr>
  </w:style>
  <w:style w:type="character" w:customStyle="1" w:styleId="EndnoteTextChar">
    <w:name w:val="Endnote Text Char"/>
    <w:link w:val="EndnoteText"/>
    <w:uiPriority w:val="99"/>
    <w:semiHidden/>
    <w:unhideWhenUsed/>
    <w:rPr>
      <w:color w:val="525E65"/>
      <w:sz w:val="22"/>
    </w:rPr>
  </w:style>
  <w:style w:type="paragraph" w:styleId="Date">
    <w:name w:val="Date"/>
    <w:next w:val="Normal"/>
    <w:link w:val="DateChar"/>
    <w:uiPriority w:val="19"/>
    <w:semiHidden/>
    <w:unhideWhenUsed/>
    <w:pPr>
      <w:spacing w:after="0"/>
      <w:ind w:left="5669"/>
    </w:pPr>
  </w:style>
  <w:style w:type="character" w:customStyle="1" w:styleId="DateChar">
    <w:name w:val="Date Char"/>
    <w:link w:val="Date"/>
    <w:uiPriority w:val="19"/>
    <w:semiHidden/>
    <w:unhideWhenUsed/>
  </w:style>
  <w:style w:type="paragraph" w:styleId="Subtitle">
    <w:name w:val="Subtitle"/>
    <w:next w:val="Normal"/>
    <w:link w:val="SubtitleChar"/>
    <w:uiPriority w:val="15"/>
    <w:qFormat/>
    <w:pPr>
      <w:spacing w:before="2760"/>
      <w:jc w:val="center"/>
    </w:pPr>
    <w:rPr>
      <w:b/>
      <w:color w:val="056467"/>
      <w:sz w:val="52"/>
    </w:rPr>
  </w:style>
  <w:style w:type="character" w:customStyle="1" w:styleId="SubtitleChar">
    <w:name w:val="Subtitle Char"/>
    <w:link w:val="Subtitle"/>
    <w:uiPriority w:val="15"/>
    <w:qFormat/>
    <w:rPr>
      <w:b/>
      <w:color w:val="056467"/>
      <w:sz w:val="52"/>
    </w:rPr>
  </w:style>
  <w:style w:type="paragraph" w:styleId="Title">
    <w:name w:val="Title"/>
    <w:next w:val="Normal"/>
    <w:link w:val="TitleChar"/>
    <w:uiPriority w:val="14"/>
    <w:qFormat/>
    <w:pPr>
      <w:spacing w:beforeAutospacing="1"/>
      <w:jc w:val="center"/>
    </w:pPr>
    <w:rPr>
      <w:b/>
      <w:sz w:val="40"/>
    </w:rPr>
  </w:style>
  <w:style w:type="character" w:customStyle="1" w:styleId="TitleChar">
    <w:name w:val="Title Char"/>
    <w:link w:val="Title"/>
    <w:uiPriority w:val="14"/>
    <w:qFormat/>
    <w:rPr>
      <w:b/>
      <w:sz w:val="40"/>
    </w:rPr>
  </w:style>
  <w:style w:type="paragraph" w:customStyle="1" w:styleId="TOCParagraph">
    <w:name w:val="TOC Paragraph"/>
    <w:link w:val="TOCParagraphChar"/>
    <w:uiPriority w:val="38"/>
    <w:pPr>
      <w:spacing w:after="0"/>
      <w:jc w:val="right"/>
    </w:pPr>
    <w:rPr>
      <w:b/>
    </w:rPr>
  </w:style>
  <w:style w:type="character" w:customStyle="1" w:styleId="TOCParagraphChar">
    <w:name w:val="TOC Paragraph Char"/>
    <w:link w:val="TOCParagraph"/>
    <w:uiPriority w:val="38"/>
    <w:rPr>
      <w:b/>
    </w:rPr>
  </w:style>
  <w:style w:type="paragraph" w:styleId="Footer">
    <w:name w:val="footer"/>
    <w:link w:val="FooterChar"/>
    <w:uiPriority w:val="99"/>
    <w:unhideWhenUsed/>
    <w:pPr>
      <w:pBdr>
        <w:top w:val="single" w:sz="12" w:space="1" w:color="77777A"/>
      </w:pBdr>
      <w:tabs>
        <w:tab w:val="right" w:pos="8504"/>
      </w:tabs>
      <w:spacing w:after="0" w:line="240" w:lineRule="auto"/>
    </w:pPr>
    <w:rPr>
      <w:color w:val="525E65"/>
    </w:rPr>
  </w:style>
  <w:style w:type="character" w:customStyle="1" w:styleId="FooterChar">
    <w:name w:val="Footer Char"/>
    <w:link w:val="Footer"/>
    <w:uiPriority w:val="99"/>
    <w:unhideWhenUsed/>
    <w:rPr>
      <w:color w:val="525E65"/>
    </w:rPr>
  </w:style>
  <w:style w:type="paragraph" w:styleId="Header">
    <w:name w:val="header"/>
    <w:link w:val="HeaderChar"/>
    <w:uiPriority w:val="99"/>
    <w:unhideWhenUsed/>
    <w:pPr>
      <w:tabs>
        <w:tab w:val="right" w:pos="8504"/>
      </w:tabs>
    </w:pPr>
    <w:rPr>
      <w:color w:val="525E65"/>
    </w:rPr>
  </w:style>
  <w:style w:type="character" w:customStyle="1" w:styleId="HeaderChar">
    <w:name w:val="Header Char"/>
    <w:link w:val="Header"/>
    <w:uiPriority w:val="99"/>
    <w:unhideWhenUsed/>
    <w:rPr>
      <w:color w:val="525E65"/>
    </w:rPr>
  </w:style>
  <w:style w:type="character" w:customStyle="1" w:styleId="Heading9Char">
    <w:name w:val="Heading 9 Char"/>
    <w:link w:val="Heading9"/>
    <w:uiPriority w:val="2"/>
    <w:semiHidden/>
  </w:style>
  <w:style w:type="character" w:customStyle="1" w:styleId="Heading8Char">
    <w:name w:val="Heading 8 Char"/>
    <w:link w:val="Heading8"/>
    <w:uiPriority w:val="2"/>
    <w:semiHidden/>
  </w:style>
  <w:style w:type="character" w:customStyle="1" w:styleId="Heading7Char">
    <w:name w:val="Heading 7 Char"/>
    <w:link w:val="Heading7"/>
    <w:uiPriority w:val="2"/>
    <w:semiHidden/>
  </w:style>
  <w:style w:type="character" w:customStyle="1" w:styleId="Heading6Char">
    <w:name w:val="Heading 6 Char"/>
    <w:link w:val="Heading6"/>
    <w:uiPriority w:val="2"/>
    <w:semiHidden/>
  </w:style>
  <w:style w:type="character" w:customStyle="1" w:styleId="Heading5Char">
    <w:name w:val="Heading 5 Char"/>
    <w:link w:val="Heading5"/>
    <w:uiPriority w:val="2"/>
    <w:semiHidden/>
  </w:style>
  <w:style w:type="character" w:customStyle="1" w:styleId="Heading4Char">
    <w:name w:val="Heading 4 Char"/>
    <w:link w:val="Heading4"/>
    <w:uiPriority w:val="2"/>
    <w:semiHidden/>
    <w:unhideWhenUsed/>
    <w:qFormat/>
    <w:rPr>
      <w:color w:val="525E65"/>
      <w:sz w:val="32"/>
    </w:rPr>
  </w:style>
  <w:style w:type="character" w:customStyle="1" w:styleId="Heading3Char">
    <w:name w:val="Heading 3 Char"/>
    <w:link w:val="Heading3"/>
    <w:uiPriority w:val="2"/>
    <w:qFormat/>
    <w:rPr>
      <w:b/>
      <w:color w:val="525E65"/>
      <w:sz w:val="36"/>
    </w:rPr>
  </w:style>
  <w:style w:type="character" w:customStyle="1" w:styleId="Heading2Char">
    <w:name w:val="Heading 2 Char"/>
    <w:link w:val="Heading2"/>
    <w:uiPriority w:val="2"/>
    <w:qFormat/>
    <w:rPr>
      <w:color w:val="006FB4"/>
      <w:sz w:val="44"/>
    </w:rPr>
  </w:style>
  <w:style w:type="character" w:customStyle="1" w:styleId="Heading1Char">
    <w:name w:val="Heading 1 Char"/>
    <w:link w:val="Heading1"/>
    <w:uiPriority w:val="2"/>
    <w:qFormat/>
    <w:rPr>
      <w:b/>
      <w:color w:val="006FB4"/>
      <w:kern w:val="24"/>
      <w:sz w:val="52"/>
    </w:rPr>
  </w:style>
  <w:style w:type="table" w:styleId="TableGrid">
    <w:name w:val="Table Grid"/>
    <w:uiPriority w:val="10"/>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BodyTable">
    <w:name w:val="Body Table"/>
    <w:pPr>
      <w:spacing w:after="0" w:line="240" w:lineRule="auto"/>
    </w:pPr>
    <w:tblPr>
      <w:tblInd w:w="0" w:type="dxa"/>
      <w:tblBorders>
        <w:top w:val="single" w:sz="4" w:space="0" w:color="A4C4E6"/>
        <w:left w:val="single" w:sz="4" w:space="0" w:color="A4C4E6"/>
        <w:bottom w:val="single" w:sz="4" w:space="0" w:color="A4C4E6"/>
        <w:right w:val="single" w:sz="4" w:space="0" w:color="A4C4E6"/>
        <w:insideH w:val="single" w:sz="4" w:space="0" w:color="A4C4E6"/>
        <w:insideV w:val="single" w:sz="4" w:space="0" w:color="A4C4E6"/>
      </w:tblBorders>
      <w:tblCellMar>
        <w:top w:w="0" w:type="dxa"/>
        <w:left w:w="108" w:type="dxa"/>
        <w:bottom w:w="0" w:type="dxa"/>
        <w:right w:w="108" w:type="dxa"/>
      </w:tblCellMar>
    </w:tblPr>
    <w:tcPr>
      <w:shd w:val="clear" w:color="auto" w:fill="FFFFFF"/>
      <w:tcMar>
        <w:top w:w="80" w:type="dxa"/>
        <w:left w:w="120" w:type="dxa"/>
        <w:bottom w:w="80" w:type="dxa"/>
        <w:right w:w="120" w:type="dxa"/>
      </w:tcMar>
      <w:vAlign w:val="center"/>
    </w:tcPr>
    <w:tblStylePr w:type="firstRow">
      <w:pPr>
        <w:jc w:val="center"/>
      </w:pPr>
      <w:rPr>
        <w:rFonts w:ascii="Calibri" w:hAnsi="Calibri"/>
        <w:b/>
        <w:color w:val="006FB4"/>
        <w:sz w:val="24"/>
      </w:rPr>
      <w:tblPr/>
      <w:tcPr>
        <w:tcBorders>
          <w:bottom w:val="single" w:sz="4" w:space="0" w:color="FFFFFF"/>
          <w:insideH w:val="single" w:sz="4" w:space="0" w:color="FFFFFF"/>
          <w:insideV w:val="single" w:sz="4" w:space="0" w:color="FFFFFF"/>
        </w:tcBorders>
        <w:shd w:val="clear" w:color="auto" w:fill="A4C4E6"/>
        <w:vAlign w:val="center"/>
      </w:tcPr>
    </w:tblStylePr>
  </w:style>
  <w:style w:type="table" w:customStyle="1" w:styleId="TableBoxC">
    <w:name w:val="Table Box C"/>
    <w:uiPriority w:val="99"/>
    <w:pPr>
      <w:spacing w:line="240" w:lineRule="auto"/>
    </w:pPr>
    <w:tblPr>
      <w:tblInd w:w="108" w:type="dxa"/>
      <w:tblBorders>
        <w:bottom w:val="single" w:sz="48" w:space="0" w:color="FFFFFF"/>
        <w:insideH w:val="single" w:sz="4" w:space="0" w:color="A4C4E6"/>
        <w:insideV w:val="single" w:sz="4" w:space="0" w:color="A4C4E6"/>
      </w:tblBorders>
      <w:tblCellMar>
        <w:top w:w="0" w:type="dxa"/>
        <w:left w:w="108" w:type="dxa"/>
        <w:bottom w:w="0" w:type="dxa"/>
        <w:right w:w="108" w:type="dxa"/>
      </w:tblCellMar>
    </w:tblPr>
    <w:tcPr>
      <w:shd w:val="clear" w:color="auto" w:fill="D5D8DA"/>
    </w:tcPr>
  </w:style>
  <w:style w:type="table" w:customStyle="1" w:styleId="TableBoxB">
    <w:name w:val="Table Box B"/>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DDF2FF"/>
    </w:tcPr>
  </w:style>
  <w:style w:type="table" w:customStyle="1" w:styleId="TableBoxA">
    <w:name w:val="Table Box A"/>
    <w:uiPriority w:val="99"/>
    <w:pPr>
      <w:spacing w:line="240" w:lineRule="auto"/>
    </w:pPr>
    <w:tblPr>
      <w:tblInd w:w="108" w:type="dxa"/>
      <w:tblBorders>
        <w:bottom w:val="single" w:sz="48" w:space="0" w:color="FFFFFF" w:themeColor="background1"/>
        <w:insideH w:val="single" w:sz="4" w:space="0" w:color="A4C4E6"/>
        <w:insideV w:val="single" w:sz="4" w:space="0" w:color="A4C4E6"/>
      </w:tblBorders>
      <w:tblCellMar>
        <w:top w:w="0" w:type="dxa"/>
        <w:left w:w="108" w:type="dxa"/>
        <w:bottom w:w="0" w:type="dxa"/>
        <w:right w:w="108" w:type="dxa"/>
      </w:tblCellMar>
    </w:tblPr>
    <w:tcPr>
      <w:shd w:val="clear" w:color="auto" w:fill="E7DBED"/>
    </w:tcPr>
  </w:style>
  <w:style w:type="table" w:customStyle="1" w:styleId="TableAboutBox">
    <w:name w:val="Table About Box"/>
    <w:uiPriority w:val="99"/>
    <w:pPr>
      <w:spacing w:line="240" w:lineRule="auto"/>
    </w:pPr>
    <w:tblPr>
      <w:tblInd w:w="0" w:type="dxa"/>
      <w:tblCellMar>
        <w:top w:w="108" w:type="dxa"/>
        <w:left w:w="108" w:type="dxa"/>
        <w:bottom w:w="108" w:type="dxa"/>
        <w:right w:w="108" w:type="dxa"/>
      </w:tblCellMar>
    </w:tblPr>
    <w:tcPr>
      <w:shd w:val="clear" w:color="auto" w:fill="EFF1F0"/>
    </w:tcPr>
  </w:style>
  <w:style w:type="table" w:customStyle="1" w:styleId="ApprovalTable">
    <w:name w:val="Approval Table"/>
    <w:uiPriority w:val="99"/>
    <w:pPr>
      <w:spacing w:line="240" w:lineRule="auto"/>
    </w:pPr>
    <w:rPr>
      <w:sz w:val="20"/>
      <w:lang w:val="fr-FR" w:eastAsia="fr-FR"/>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Col">
      <w:pPr>
        <w:wordWrap/>
        <w:spacing w:beforeLines="0"/>
      </w:pPr>
      <w:rPr>
        <w:rFonts w:ascii="Calibri" w:hAnsi="Calibri"/>
        <w:b w:val="0"/>
        <w:sz w:val="24"/>
      </w:rPr>
      <w:tblPr>
        <w:jc w:val="center"/>
      </w:tblPr>
      <w:trPr>
        <w:jc w:val="center"/>
      </w:trPr>
    </w:tblStylePr>
  </w:style>
  <w:style w:type="table" w:customStyle="1" w:styleId="TableLetterhead">
    <w:name w:val="Table Letterhead"/>
    <w:uiPriority w:val="99"/>
    <w:pPr>
      <w:spacing w:line="240" w:lineRule="auto"/>
    </w:pPr>
    <w:tblPr>
      <w:jc w:val="center"/>
      <w:tblInd w:w="0" w:type="dxa"/>
      <w:tblCellMar>
        <w:top w:w="0" w:type="dxa"/>
        <w:left w:w="0" w:type="dxa"/>
        <w:bottom w:w="0" w:type="dxa"/>
        <w:right w:w="0" w:type="dxa"/>
      </w:tblCellMar>
    </w:tblPr>
    <w:trPr>
      <w:jc w:val="center"/>
    </w:trPr>
  </w:style>
  <w:style w:type="paragraph" w:customStyle="1" w:styleId="FRAHeading1">
    <w:name w:val="(FRA) Heading 1"/>
    <w:next w:val="FRAHeading2"/>
    <w:autoRedefine/>
    <w:uiPriority w:val="1"/>
    <w:qFormat/>
    <w:rsid w:val="00FD4CB2"/>
    <w:pPr>
      <w:keepNext/>
      <w:numPr>
        <w:numId w:val="11"/>
      </w:numPr>
      <w:tabs>
        <w:tab w:val="left" w:pos="907"/>
      </w:tabs>
      <w:spacing w:before="240" w:after="60" w:line="276" w:lineRule="auto"/>
      <w:outlineLvl w:val="0"/>
    </w:pPr>
    <w:rPr>
      <w:rFonts w:ascii="Verdana" w:eastAsia="Calibri" w:hAnsi="Verdana" w:cs="Arial"/>
      <w:b/>
      <w:sz w:val="32"/>
      <w:szCs w:val="32"/>
      <w:lang w:eastAsia="en-US" w:bidi="en-US"/>
    </w:rPr>
  </w:style>
  <w:style w:type="paragraph" w:customStyle="1" w:styleId="FRAHeading2">
    <w:name w:val="(FRA) Heading 2"/>
    <w:basedOn w:val="FRAHeading1"/>
    <w:next w:val="FRAHeading3"/>
    <w:uiPriority w:val="1"/>
    <w:qFormat/>
    <w:rsid w:val="00FD4CB2"/>
    <w:pPr>
      <w:numPr>
        <w:ilvl w:val="1"/>
      </w:numPr>
      <w:outlineLvl w:val="1"/>
    </w:pPr>
    <w:rPr>
      <w:sz w:val="28"/>
      <w:szCs w:val="28"/>
    </w:rPr>
  </w:style>
  <w:style w:type="paragraph" w:customStyle="1" w:styleId="FRAHeading3">
    <w:name w:val="(FRA) Heading 3"/>
    <w:basedOn w:val="FRAHeading2"/>
    <w:next w:val="Normal"/>
    <w:uiPriority w:val="1"/>
    <w:qFormat/>
    <w:rsid w:val="00FD4CB2"/>
    <w:pPr>
      <w:numPr>
        <w:ilvl w:val="2"/>
      </w:numPr>
      <w:outlineLvl w:val="2"/>
    </w:pPr>
    <w:rPr>
      <w:sz w:val="24"/>
      <w:szCs w:val="24"/>
    </w:rPr>
  </w:style>
  <w:style w:type="paragraph" w:customStyle="1" w:styleId="FRAListNumbered">
    <w:name w:val="(FRA) List Numbered"/>
    <w:basedOn w:val="Normal"/>
    <w:autoRedefine/>
    <w:qFormat/>
    <w:rsid w:val="00FD4CB2"/>
    <w:pPr>
      <w:numPr>
        <w:ilvl w:val="4"/>
        <w:numId w:val="11"/>
      </w:numPr>
      <w:spacing w:after="200" w:line="276" w:lineRule="auto"/>
      <w:jc w:val="both"/>
    </w:pPr>
    <w:rPr>
      <w:rFonts w:ascii="Verdana" w:eastAsia="Calibri" w:hAnsi="Verdana" w:cstheme="minorBidi"/>
      <w:sz w:val="20"/>
      <w:szCs w:val="22"/>
      <w:lang w:eastAsia="en-US" w:bidi="en-US"/>
    </w:rPr>
  </w:style>
  <w:style w:type="paragraph" w:customStyle="1" w:styleId="FRAHeading4Unnumbered">
    <w:name w:val="(FRA) Heading 4 Unnumbered"/>
    <w:basedOn w:val="FRAHeading3"/>
    <w:next w:val="Normal"/>
    <w:autoRedefine/>
    <w:qFormat/>
    <w:rsid w:val="00AD737B"/>
    <w:pPr>
      <w:numPr>
        <w:ilvl w:val="3"/>
      </w:numPr>
      <w:tabs>
        <w:tab w:val="left" w:pos="0"/>
      </w:tabs>
      <w:outlineLvl w:val="3"/>
    </w:pPr>
    <w:rPr>
      <w:sz w:val="22"/>
    </w:rPr>
  </w:style>
  <w:style w:type="numbering" w:customStyle="1" w:styleId="FRAHeadings">
    <w:name w:val="(FRA) Headings"/>
    <w:uiPriority w:val="99"/>
    <w:rsid w:val="00FD4CB2"/>
    <w:pPr>
      <w:numPr>
        <w:numId w:val="11"/>
      </w:numPr>
    </w:pPr>
  </w:style>
  <w:style w:type="paragraph" w:customStyle="1" w:styleId="FRAListBullet">
    <w:name w:val="(FRA) List Bullet"/>
    <w:basedOn w:val="Normal"/>
    <w:autoRedefine/>
    <w:qFormat/>
    <w:rsid w:val="00FD4CB2"/>
    <w:pPr>
      <w:numPr>
        <w:ilvl w:val="5"/>
        <w:numId w:val="11"/>
      </w:numPr>
      <w:spacing w:after="200" w:line="276" w:lineRule="auto"/>
      <w:jc w:val="both"/>
    </w:pPr>
    <w:rPr>
      <w:rFonts w:ascii="Verdana" w:eastAsia="Calibri" w:hAnsi="Verdana" w:cstheme="minorBidi"/>
      <w:sz w:val="20"/>
      <w:szCs w:val="22"/>
      <w:lang w:eastAsia="en-US" w:bidi="en-US"/>
    </w:rPr>
  </w:style>
  <w:style w:type="character" w:styleId="CommentReference">
    <w:name w:val="annotation reference"/>
    <w:basedOn w:val="DefaultParagraphFont"/>
    <w:semiHidden/>
    <w:rsid w:val="00206AB5"/>
    <w:rPr>
      <w:sz w:val="16"/>
      <w:szCs w:val="16"/>
    </w:rPr>
  </w:style>
  <w:style w:type="paragraph" w:styleId="CommentText">
    <w:name w:val="annotation text"/>
    <w:basedOn w:val="Normal"/>
    <w:link w:val="CommentTextChar"/>
    <w:semiHidden/>
    <w:rsid w:val="00206AB5"/>
    <w:pPr>
      <w:spacing w:line="240" w:lineRule="auto"/>
    </w:pPr>
    <w:rPr>
      <w:sz w:val="20"/>
    </w:rPr>
  </w:style>
  <w:style w:type="character" w:customStyle="1" w:styleId="CommentTextChar">
    <w:name w:val="Comment Text Char"/>
    <w:basedOn w:val="DefaultParagraphFont"/>
    <w:link w:val="CommentText"/>
    <w:semiHidden/>
    <w:rsid w:val="00206AB5"/>
    <w:rPr>
      <w:sz w:val="20"/>
    </w:rPr>
  </w:style>
  <w:style w:type="paragraph" w:styleId="CommentSubject">
    <w:name w:val="annotation subject"/>
    <w:basedOn w:val="CommentText"/>
    <w:next w:val="CommentText"/>
    <w:link w:val="CommentSubjectChar"/>
    <w:semiHidden/>
    <w:rsid w:val="00206AB5"/>
    <w:rPr>
      <w:b/>
      <w:bCs/>
    </w:rPr>
  </w:style>
  <w:style w:type="character" w:customStyle="1" w:styleId="CommentSubjectChar">
    <w:name w:val="Comment Subject Char"/>
    <w:basedOn w:val="CommentTextChar"/>
    <w:link w:val="CommentSubject"/>
    <w:semiHidden/>
    <w:rsid w:val="00206AB5"/>
    <w:rPr>
      <w:b/>
      <w:bCs/>
      <w:sz w:val="20"/>
    </w:rPr>
  </w:style>
  <w:style w:type="paragraph" w:customStyle="1" w:styleId="FRABodyText">
    <w:name w:val="(FRA) Body Text"/>
    <w:link w:val="FRABodyTextChar"/>
    <w:autoRedefine/>
    <w:qFormat/>
    <w:rsid w:val="00A94DDC"/>
    <w:pPr>
      <w:spacing w:after="0" w:line="240" w:lineRule="auto"/>
    </w:pPr>
    <w:rPr>
      <w:rFonts w:asciiTheme="minorHAnsi" w:eastAsia="Calibri" w:hAnsiTheme="minorHAnsi" w:cstheme="minorHAnsi"/>
      <w:szCs w:val="24"/>
      <w:lang w:eastAsia="en-IE" w:bidi="en-US"/>
    </w:rPr>
  </w:style>
  <w:style w:type="character" w:customStyle="1" w:styleId="FRABodyTextChar">
    <w:name w:val="(FRA) Body Text Char"/>
    <w:basedOn w:val="DefaultParagraphFont"/>
    <w:link w:val="FRABodyText"/>
    <w:rsid w:val="00A94DDC"/>
    <w:rPr>
      <w:rFonts w:asciiTheme="minorHAnsi" w:eastAsia="Calibri" w:hAnsiTheme="minorHAnsi" w:cstheme="minorHAnsi"/>
      <w:szCs w:val="24"/>
      <w:lang w:eastAsia="en-IE" w:bidi="en-US"/>
    </w:rPr>
  </w:style>
  <w:style w:type="paragraph" w:styleId="Revision">
    <w:name w:val="Revision"/>
    <w:hidden/>
    <w:semiHidden/>
    <w:rsid w:val="00572FAA"/>
    <w:pPr>
      <w:spacing w:after="0" w:line="240" w:lineRule="auto"/>
    </w:pPr>
  </w:style>
  <w:style w:type="paragraph" w:customStyle="1" w:styleId="FRATableRowHead">
    <w:name w:val="(FRA) Table Row Head"/>
    <w:basedOn w:val="FRABodyText"/>
    <w:next w:val="FRATableText"/>
    <w:autoRedefine/>
    <w:qFormat/>
    <w:rsid w:val="007616E1"/>
    <w:pPr>
      <w:spacing w:before="60" w:after="60"/>
      <w:contextualSpacing/>
    </w:pPr>
    <w:rPr>
      <w:rFonts w:eastAsia="Times New Roman"/>
      <w:b/>
    </w:rPr>
  </w:style>
  <w:style w:type="paragraph" w:customStyle="1" w:styleId="FRATableText">
    <w:name w:val="(FRA) Table Text"/>
    <w:basedOn w:val="FRABodyText"/>
    <w:autoRedefine/>
    <w:rsid w:val="007616E1"/>
    <w:pPr>
      <w:spacing w:before="40" w:after="40"/>
      <w:ind w:left="57"/>
      <w:contextualSpacing/>
    </w:pPr>
    <w:rPr>
      <w:rFonts w:cs="Arial"/>
      <w:bCs/>
      <w:szCs w:val="18"/>
      <w:lang w:eastAsia="en-US"/>
    </w:rPr>
  </w:style>
  <w:style w:type="character" w:styleId="UnresolvedMention">
    <w:name w:val="Unresolved Mention"/>
    <w:basedOn w:val="DefaultParagraphFont"/>
    <w:semiHidden/>
    <w:rsid w:val="00C2468F"/>
    <w:rPr>
      <w:color w:val="605E5C"/>
      <w:shd w:val="clear" w:color="auto" w:fill="E1DFDD"/>
    </w:rPr>
  </w:style>
  <w:style w:type="character" w:styleId="FollowedHyperlink">
    <w:name w:val="FollowedHyperlink"/>
    <w:basedOn w:val="DefaultParagraphFont"/>
    <w:semiHidden/>
    <w:rsid w:val="00F420C0"/>
    <w:rPr>
      <w:color w:val="954F72" w:themeColor="followed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F0664F"/>
    <w:pPr>
      <w:spacing w:after="160" w:line="240" w:lineRule="exact"/>
    </w:pPr>
    <w:rPr>
      <w:color w:val="337AB7"/>
      <w:vertAlign w:val="superscript"/>
    </w:rPr>
  </w:style>
  <w:style w:type="character" w:styleId="Strong">
    <w:name w:val="Strong"/>
    <w:basedOn w:val="DefaultParagraphFont"/>
    <w:uiPriority w:val="22"/>
    <w:qFormat/>
    <w:rsid w:val="002F1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248662937">
      <w:bodyDiv w:val="1"/>
      <w:marLeft w:val="0"/>
      <w:marRight w:val="0"/>
      <w:marTop w:val="0"/>
      <w:marBottom w:val="0"/>
      <w:divBdr>
        <w:top w:val="none" w:sz="0" w:space="0" w:color="auto"/>
        <w:left w:val="none" w:sz="0" w:space="0" w:color="auto"/>
        <w:bottom w:val="none" w:sz="0" w:space="0" w:color="auto"/>
        <w:right w:val="none" w:sz="0" w:space="0" w:color="auto"/>
      </w:divBdr>
    </w:div>
    <w:div w:id="1371690796">
      <w:bodyDiv w:val="1"/>
      <w:marLeft w:val="0"/>
      <w:marRight w:val="0"/>
      <w:marTop w:val="0"/>
      <w:marBottom w:val="0"/>
      <w:divBdr>
        <w:top w:val="none" w:sz="0" w:space="0" w:color="auto"/>
        <w:left w:val="none" w:sz="0" w:space="0" w:color="auto"/>
        <w:bottom w:val="none" w:sz="0" w:space="0" w:color="auto"/>
        <w:right w:val="none" w:sz="0" w:space="0" w:color="auto"/>
      </w:divBdr>
    </w:div>
    <w:div w:id="1734503701">
      <w:bodyDiv w:val="1"/>
      <w:marLeft w:val="0"/>
      <w:marRight w:val="0"/>
      <w:marTop w:val="0"/>
      <w:marBottom w:val="0"/>
      <w:divBdr>
        <w:top w:val="none" w:sz="0" w:space="0" w:color="auto"/>
        <w:left w:val="none" w:sz="0" w:space="0" w:color="auto"/>
        <w:bottom w:val="none" w:sz="0" w:space="0" w:color="auto"/>
        <w:right w:val="none" w:sz="0" w:space="0" w:color="auto"/>
      </w:divBdr>
    </w:div>
    <w:div w:id="1814180768">
      <w:bodyDiv w:val="1"/>
      <w:marLeft w:val="0"/>
      <w:marRight w:val="0"/>
      <w:marTop w:val="0"/>
      <w:marBottom w:val="0"/>
      <w:divBdr>
        <w:top w:val="none" w:sz="0" w:space="0" w:color="auto"/>
        <w:left w:val="none" w:sz="0" w:space="0" w:color="auto"/>
        <w:bottom w:val="none" w:sz="0" w:space="0" w:color="auto"/>
        <w:right w:val="none" w:sz="0" w:space="0" w:color="auto"/>
      </w:divBdr>
    </w:div>
    <w:div w:id="2039350391">
      <w:bodyDiv w:val="1"/>
      <w:marLeft w:val="0"/>
      <w:marRight w:val="0"/>
      <w:marTop w:val="0"/>
      <w:marBottom w:val="0"/>
      <w:divBdr>
        <w:top w:val="none" w:sz="0" w:space="0" w:color="auto"/>
        <w:left w:val="none" w:sz="0" w:space="0" w:color="auto"/>
        <w:bottom w:val="none" w:sz="0" w:space="0" w:color="auto"/>
        <w:right w:val="none" w:sz="0" w:space="0" w:color="auto"/>
      </w:divBdr>
    </w:div>
    <w:div w:id="207947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kiesraad.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iesraad.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esraa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aarismijnstemlokaal.n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ashboard.digitoegankelijk.nl" TargetMode="External"/><Relationship Id="rId10" Type="http://schemas.openxmlformats.org/officeDocument/2006/relationships/footnotes" Target="footnotes.xml"/><Relationship Id="rId19" Type="http://schemas.openxmlformats.org/officeDocument/2006/relationships/hyperlink" Target="http://www.kiesraad.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llesoveraudiodescriptie.n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open.overheid.nl/documenten/ronl-06ec603b-6ac0-41d2-b1b6-9322c6403f53/pdf" TargetMode="External"/><Relationship Id="rId21" Type="http://schemas.openxmlformats.org/officeDocument/2006/relationships/hyperlink" Target="https://uitspraken.rechtspraak.nl/" TargetMode="External"/><Relationship Id="rId42" Type="http://schemas.openxmlformats.org/officeDocument/2006/relationships/hyperlink" Target="https://www.toegankelijkheidsverklaring.nl/register/2506" TargetMode="External"/><Relationship Id="rId47" Type="http://schemas.openxmlformats.org/officeDocument/2006/relationships/hyperlink" Target="https://iederin.nl/toegankelijke-verkiezingsprogrammas/" TargetMode="External"/><Relationship Id="rId63" Type="http://schemas.openxmlformats.org/officeDocument/2006/relationships/hyperlink" Target="https://www.kiesraad.nl/" TargetMode="External"/><Relationship Id="rId68" Type="http://schemas.openxmlformats.org/officeDocument/2006/relationships/hyperlink" Target="https://www.internetconsultatie.nl/assistentie_in_stemhokje/document/7120" TargetMode="External"/><Relationship Id="rId16" Type="http://schemas.openxmlformats.org/officeDocument/2006/relationships/hyperlink" Target="https://wetten.overheid.nl/jci1.3:c:BWBR0004627&amp;afdeling=II&amp;hoofdstuk=L&amp;z=2023-06-20&amp;g=2023-06-20" TargetMode="External"/><Relationship Id="rId11" Type="http://schemas.openxmlformats.org/officeDocument/2006/relationships/hyperlink" Target="https://wetten.overheid.nl/jci1.3:c:BWBR0004627&amp;afdeling=II&amp;hoofdstuk=L&amp;paragraaf=1&amp;artikel=L_1&amp;z=2023-06-20&amp;g=2023-06-20" TargetMode="External"/><Relationship Id="rId24" Type="http://schemas.openxmlformats.org/officeDocument/2006/relationships/hyperlink" Target="https://www.tweedekamer.nl/kamerleden_en_commissies/alle_kamerleden" TargetMode="External"/><Relationship Id="rId32" Type="http://schemas.openxmlformats.org/officeDocument/2006/relationships/hyperlink" Target="https://open.overheid.nl/documenten/ronl-4c89f702-9b54-4633-b274-68f280bd1a8b/pdf" TargetMode="External"/><Relationship Id="rId37" Type="http://schemas.openxmlformats.org/officeDocument/2006/relationships/hyperlink" Target="https://open.overheid.nl/documenten/ronl-861c2c65-9425-4080-a741-629166d816cc/pdf" TargetMode="External"/><Relationship Id="rId40" Type="http://schemas.openxmlformats.org/officeDocument/2006/relationships/hyperlink" Target="https://www.kiesraad.nl/binaries/kiesraad/documenten/rapporten/2020/09/22/toegankelijkheidsonderzoek-kiesraad/WCAG+2.1+AA+inspectie+content+-+www.kiesraad.nl++english.kiesraad.nl+-+2.1.pdf" TargetMode="External"/><Relationship Id="rId45" Type="http://schemas.openxmlformats.org/officeDocument/2006/relationships/hyperlink" Target="https://iederin.nl/npo-maakt-meer-programmas-toegankelijk/" TargetMode="External"/><Relationship Id="rId53" Type="http://schemas.openxmlformats.org/officeDocument/2006/relationships/hyperlink" Target="https://wetten.overheid.nl/jci1.3:c:BWBR0025036&amp;hoofdstuk=3&amp;artikel=17&amp;z=2022-01-01&amp;g=2022-01-01" TargetMode="External"/><Relationship Id="rId58" Type="http://schemas.openxmlformats.org/officeDocument/2006/relationships/hyperlink" Target="https://open.overheid.nl/documenten/5ba4fe40-d1c3-4019-8bbf-41d04f197983/file" TargetMode="External"/><Relationship Id="rId66" Type="http://schemas.openxmlformats.org/officeDocument/2006/relationships/hyperlink" Target="https://www.rijksoverheid.nl/binaries/rijksoverheid/documenten/publicaties/2022/10/07/actielijst-toegankelijk-stemlokaal-voor-stembureauleden/Kiesraad+Actielijst+stemlokalen.pdf" TargetMode="External"/><Relationship Id="rId74" Type="http://schemas.openxmlformats.org/officeDocument/2006/relationships/hyperlink" Target="https://vng.nl/nieuws/stemmal-vaker-ingezet-voor-blinde-en-slechtziende-kiezers" TargetMode="External"/><Relationship Id="rId5" Type="http://schemas.openxmlformats.org/officeDocument/2006/relationships/hyperlink" Target="https://deeplink.rechtspraak.nl/uitspraak?id=ECLI:NL:RVS:2003:AM5435" TargetMode="External"/><Relationship Id="rId61" Type="http://schemas.openxmlformats.org/officeDocument/2006/relationships/hyperlink" Target="https://open.overheid.nl/repository/ronl-5a66fa77351b97cde4d75a4b8dd5c5817eb8f7b9/1/pdf/15-bijlage-bij-brief-evaluatie-actieplan-toegankelijk-stemmen-gr22.pdf" TargetMode="External"/><Relationship Id="rId19" Type="http://schemas.openxmlformats.org/officeDocument/2006/relationships/hyperlink" Target="https://wetten.overheid.nl/BWBR0039436/2008-04-27" TargetMode="External"/><Relationship Id="rId14" Type="http://schemas.openxmlformats.org/officeDocument/2006/relationships/hyperlink" Target="https://wetten.overheid.nl/jci1.3:c:BWBR0004627&amp;afdeling=II&amp;hoofdstuk=J&amp;paragraaf=6&amp;artikel=J_28&amp;z=2023-06-20&amp;g=2023-06-20" TargetMode="External"/><Relationship Id="rId22" Type="http://schemas.openxmlformats.org/officeDocument/2006/relationships/hyperlink" Target="https://deeplink.rechtspraak.nl/uitspraak?id=ECLI:NL:RVS:2003:AM5435" TargetMode="External"/><Relationship Id="rId27" Type="http://schemas.openxmlformats.org/officeDocument/2006/relationships/hyperlink" Target="https://open.overheid.nl/documenten/ronl-4ad369b6-2922-4161-95e9-6dadc91d435f/pdf" TargetMode="External"/><Relationship Id="rId30" Type="http://schemas.openxmlformats.org/officeDocument/2006/relationships/hyperlink" Target="https://open.overheid.nl/documenten/ronl-f3bc9f74-0556-4396-a575-158f1613ba9f/pdf" TargetMode="External"/><Relationship Id="rId35" Type="http://schemas.openxmlformats.org/officeDocument/2006/relationships/hyperlink" Target="https://www.patientenfederatie.nl/netherlands-patients-federation" TargetMode="External"/><Relationship Id="rId43" Type="http://schemas.openxmlformats.org/officeDocument/2006/relationships/hyperlink" Target="https://over.npo.nl/voor-publiek/toegankelijkheid/tt888-ondertiteling" TargetMode="External"/><Relationship Id="rId48" Type="http://schemas.openxmlformats.org/officeDocument/2006/relationships/hyperlink" Target="https://wetten.overheid.nl/BWBR0040936/2018-07-01" TargetMode="External"/><Relationship Id="rId56" Type="http://schemas.openxmlformats.org/officeDocument/2006/relationships/hyperlink" Target="https://open.overheid.nl/documenten/5ba4fe40-d1c3-4019-8bbf-41d04f197983/file" TargetMode="External"/><Relationship Id="rId64" Type="http://schemas.openxmlformats.org/officeDocument/2006/relationships/hyperlink" Target="http://www.elkestemtelt.nl" TargetMode="External"/><Relationship Id="rId69" Type="http://schemas.openxmlformats.org/officeDocument/2006/relationships/hyperlink" Target="https://open.overheid.nl/documenten/a83fd62d-d4c9-49b3-b809-ea4e8cb2d4ad/file" TargetMode="External"/><Relationship Id="rId77" Type="http://schemas.openxmlformats.org/officeDocument/2006/relationships/hyperlink" Target="https://open.overheid.nl/repository/ronl-5a66fa77351b97cde4d75a4b8dd5c5817eb8f7b9/1/pdf/15-bijlage-bij-brief-evaluatie-actieplan-toegankelijk-stemmen-gr22.pdf" TargetMode="External"/><Relationship Id="rId8" Type="http://schemas.openxmlformats.org/officeDocument/2006/relationships/hyperlink" Target="https://wetten.overheid.nl/jci1.3:c:BWBR0004627&amp;afdeling=II&amp;hoofdstuk=M&amp;z=2023-06-20&amp;g=2023-06-20" TargetMode="External"/><Relationship Id="rId51" Type="http://schemas.openxmlformats.org/officeDocument/2006/relationships/hyperlink" Target="https://dashboard.digitoegankelijk.nl/" TargetMode="External"/><Relationship Id="rId72" Type="http://schemas.openxmlformats.org/officeDocument/2006/relationships/hyperlink" Target="https://open.overheid.nl/documenten/172d0660-d9d5-464b-bedf-536c88b1d6dd/file" TargetMode="External"/><Relationship Id="rId3" Type="http://schemas.openxmlformats.org/officeDocument/2006/relationships/hyperlink" Target="https://open.overheid.nl/documenten/ronl-4a0c4e98-e7b8-4bc6-a3d0-711998c29556/pdf" TargetMode="External"/><Relationship Id="rId12" Type="http://schemas.openxmlformats.org/officeDocument/2006/relationships/hyperlink" Target="https://wetten.overheid.nl/jci1.3:c:BWBR0004627&amp;afdeling=II&amp;hoofdstuk=L&amp;paragraaf=2&amp;artikel=L_7&amp;z=2023-06-20&amp;g=2023-06-20" TargetMode="External"/><Relationship Id="rId17" Type="http://schemas.openxmlformats.org/officeDocument/2006/relationships/hyperlink" Target="https://wetten.overheid.nl/jci1.3:c:BWBR0004627&amp;afdeling=II&amp;hoofdstuk=J&amp;paragraaf=8&amp;artikel=J_35&amp;z=2023-06-20&amp;g=2023-06-20" TargetMode="External"/><Relationship Id="rId25" Type="http://schemas.openxmlformats.org/officeDocument/2006/relationships/hyperlink" Target="https://open.overheid.nl/documenten/ronl-57e1e160-833f-45eb-8957-eacb40ed7613/pdf" TargetMode="External"/><Relationship Id="rId33" Type="http://schemas.openxmlformats.org/officeDocument/2006/relationships/hyperlink" Target="https://open.overheid.nl/documenten/ronl-364ebed5-7efd-42f8-bed2-e826142a1f08/pdf" TargetMode="External"/><Relationship Id="rId38" Type="http://schemas.openxmlformats.org/officeDocument/2006/relationships/hyperlink" Target="https://open.overheid.nl/documenten/ronl-4c89f702-9b54-4633-b274-68f280bd1a8b/pdf" TargetMode="External"/><Relationship Id="rId46" Type="http://schemas.openxmlformats.org/officeDocument/2006/relationships/hyperlink" Target="https://allesoveraudiodescriptie.nl/" TargetMode="External"/><Relationship Id="rId59" Type="http://schemas.openxmlformats.org/officeDocument/2006/relationships/hyperlink" Target="https://kennisbank.patientenfederatie.nl/app/answers/detail/a_id/1797/~/toegankelijkheid-openbare-gebouwen-en-werkplekken" TargetMode="External"/><Relationship Id="rId67" Type="http://schemas.openxmlformats.org/officeDocument/2006/relationships/hyperlink" Target="https://prodemos.nl/app/uploads/2023/01/ProDemos-handreiking-Politiek-voor-iedereen.pdf" TargetMode="External"/><Relationship Id="rId20" Type="http://schemas.openxmlformats.org/officeDocument/2006/relationships/hyperlink" Target="https://www.kiesraad.nl/over-ons/klachtenregeling" TargetMode="External"/><Relationship Id="rId41" Type="http://schemas.openxmlformats.org/officeDocument/2006/relationships/hyperlink" Target="https://www.kiesraad.nl/" TargetMode="External"/><Relationship Id="rId54" Type="http://schemas.openxmlformats.org/officeDocument/2006/relationships/hyperlink" Target="https://wetten.overheid.nl/jci1.3:c:BWBR0004627&amp;afdeling=II&amp;hoofdstuk=J&amp;paragraaf=1&amp;artikel=J_4&amp;z=2023-06-20&amp;g=2023-06-20" TargetMode="External"/><Relationship Id="rId62" Type="http://schemas.openxmlformats.org/officeDocument/2006/relationships/hyperlink" Target="https://vng.nl/sites/default/files/2022-02/Handreiking_toegankelijk_stemmen_20220208_0.pdf" TargetMode="External"/><Relationship Id="rId70" Type="http://schemas.openxmlformats.org/officeDocument/2006/relationships/hyperlink" Target="https://open.overheid.nl/documenten/5ba4fe40-d1c3-4019-8bbf-41d04f197983/file" TargetMode="External"/><Relationship Id="rId75" Type="http://schemas.openxmlformats.org/officeDocument/2006/relationships/hyperlink" Target="https://www.oogvereniging.nl/nieuws/anp-steeds-meer-gemeenten-gebruiken-stemmal-voor-slechtzienden/" TargetMode="External"/><Relationship Id="rId1" Type="http://schemas.openxmlformats.org/officeDocument/2006/relationships/hyperlink" Target="https://open.overheid.nl/documenten/ronl-c6268c81-8170-4d20-855a-3cffa4eea385/pdf" TargetMode="External"/><Relationship Id="rId6" Type="http://schemas.openxmlformats.org/officeDocument/2006/relationships/hyperlink" Target="https://wetten.overheid.nl/jci1.3:c:BWBR0004627&amp;z=2023-06-20&amp;g=2023-06-20" TargetMode="External"/><Relationship Id="rId15" Type="http://schemas.openxmlformats.org/officeDocument/2006/relationships/hyperlink" Target="https://wetten.overheid.nl/jci1.3:c:BWBR0004627&amp;afdeling=II&amp;hoofdstuk=M&amp;z=2023-06-20&amp;g=2023-06-20" TargetMode="External"/><Relationship Id="rId23" Type="http://schemas.openxmlformats.org/officeDocument/2006/relationships/hyperlink" Target="https://zoek.officielebekendmakingen.nl/stb-2008-272.html" TargetMode="External"/><Relationship Id="rId28" Type="http://schemas.openxmlformats.org/officeDocument/2006/relationships/hyperlink" Target="https://wetten.overheid.nl/jci1.3:c:BWBR0004627&amp;afdeling=II&amp;hoofdstuk=E&amp;paragraaf=2&amp;artikel=E_4&amp;z=2023-06-20&amp;g=2023-06-20" TargetMode="External"/><Relationship Id="rId36" Type="http://schemas.openxmlformats.org/officeDocument/2006/relationships/hyperlink" Target="https://open.overheid.nl/documenten/ronl-f3bc9f74-0556-4396-a575-158f1613ba9f/pdf" TargetMode="External"/><Relationship Id="rId49" Type="http://schemas.openxmlformats.org/officeDocument/2006/relationships/hyperlink" Target="https://technobility.nl/blog/onderzoeksrapport-vijf-jaar-digitale-toegankelijkheid/" TargetMode="External"/><Relationship Id="rId57" Type="http://schemas.openxmlformats.org/officeDocument/2006/relationships/hyperlink" Target="https://open.overheid.nl/documenten/a83fd62d-d4c9-49b3-b809-ea4e8cb2d4ad/file" TargetMode="External"/><Relationship Id="rId10" Type="http://schemas.openxmlformats.org/officeDocument/2006/relationships/hyperlink" Target="https://wetten.overheid.nl/jci1.3:c:BWBR0004627&amp;afdeling=II&amp;hoofdstuk=L&amp;paragraaf=1&amp;artikel=L_2&amp;z=2023-06-20&amp;g=2023-06-20" TargetMode="External"/><Relationship Id="rId31" Type="http://schemas.openxmlformats.org/officeDocument/2006/relationships/hyperlink" Target="https://open.overheid.nl/documenten/ronl-861c2c65-9425-4080-a741-629166d816cc/pdf" TargetMode="External"/><Relationship Id="rId44" Type="http://schemas.openxmlformats.org/officeDocument/2006/relationships/hyperlink" Target="https://www.rtl.nl/over/ondertiteling/WCCLFSgAAJFmAlnZ" TargetMode="External"/><Relationship Id="rId52" Type="http://schemas.openxmlformats.org/officeDocument/2006/relationships/hyperlink" Target="https://wetten.overheid.nl/jci1.3:c:BWBR0025036&amp;hoofdstuk=2&amp;afdeling=3&amp;paragraaf=3&amp;artikel=15&amp;z=2022-01-01&amp;g=2022-01-01" TargetMode="External"/><Relationship Id="rId60" Type="http://schemas.openxmlformats.org/officeDocument/2006/relationships/hyperlink" Target="https://open.overheid.nl/documenten/ronl-4a0c4e98-e7b8-4bc6-a3d0-711998c29556/pdf" TargetMode="External"/><Relationship Id="rId65" Type="http://schemas.openxmlformats.org/officeDocument/2006/relationships/hyperlink" Target="https://waarismijnstemlokaal.nl/" TargetMode="External"/><Relationship Id="rId73" Type="http://schemas.openxmlformats.org/officeDocument/2006/relationships/hyperlink" Target="https://iederin.nl/toegankelijke-verkiezingsprogrammas/" TargetMode="External"/><Relationship Id="rId4" Type="http://schemas.openxmlformats.org/officeDocument/2006/relationships/hyperlink" Target="https://zoek.officielebekendmakingen.nl/stb-2008-272.html" TargetMode="External"/><Relationship Id="rId9" Type="http://schemas.openxmlformats.org/officeDocument/2006/relationships/hyperlink" Target="https://wetten.overheid.nl/jci1.3:c:BWBR0004627&amp;afdeling=II&amp;hoofdstuk=L&amp;z=2023-06-20&amp;g=2023-06-20" TargetMode="External"/><Relationship Id="rId13" Type="http://schemas.openxmlformats.org/officeDocument/2006/relationships/hyperlink" Target="https://wetten.overheid.nl/jci1.3:c:BWBR0004627&amp;afdeling=II&amp;hoofdstuk=L&amp;paragraaf=3&amp;artikel=L_15&amp;z=2023-06-20&amp;g=2023-06-20" TargetMode="External"/><Relationship Id="rId18" Type="http://schemas.openxmlformats.org/officeDocument/2006/relationships/hyperlink" Target="https://wetten.overheid.nl/jci1.3:c:BWBR0004627&amp;afdeling=II&amp;hoofdstuk=P&amp;paragraaf=1&amp;artikel=P_1b&amp;z=2023-06-20&amp;g=2023-06-20" TargetMode="External"/><Relationship Id="rId39" Type="http://schemas.openxmlformats.org/officeDocument/2006/relationships/hyperlink" Target="https://open.overheid.nl/documenten/ronl-364ebed5-7efd-42f8-bed2-e826142a1f08/pdf" TargetMode="External"/><Relationship Id="rId34" Type="http://schemas.openxmlformats.org/officeDocument/2006/relationships/hyperlink" Target="https://iederin.nl/onze-leden/" TargetMode="External"/><Relationship Id="rId50" Type="http://schemas.openxmlformats.org/officeDocument/2006/relationships/hyperlink" Target="https://www.kiesraad.nl/binaries/kiesraad/documenten/rapporten/2020/09/22/toegankelijkheidsonderzoek-kiesraad/WCAG+2.1+AA+inspectie+content+-+www.kiesraad.nl++english.kiesraad.nl+-+2.1.pdf" TargetMode="External"/><Relationship Id="rId55" Type="http://schemas.openxmlformats.org/officeDocument/2006/relationships/hyperlink" Target="https://wetten.overheid.nl/jci1.3:c:BWBR0004627&amp;afdeling=II&amp;hoofdstuk=J&amp;paragraaf=1&amp;artikel=J_4&amp;z=2023-06-20&amp;g=2023-06-20" TargetMode="External"/><Relationship Id="rId76" Type="http://schemas.openxmlformats.org/officeDocument/2006/relationships/hyperlink" Target="https://open.overheid.nl/repository/ronl-5a66fa77351b97cde4d75a4b8dd5c5817eb8f7b9/1/pdf/15-bijlage-bij-brief-evaluatie-actieplan-toegankelijk-stemmen-gr22.pdf" TargetMode="External"/><Relationship Id="rId7" Type="http://schemas.openxmlformats.org/officeDocument/2006/relationships/hyperlink" Target="https://wetten.overheid.nl/jci1.3:c:BWBR0033715&amp;z=2023-10-01&amp;g=2023-10-01" TargetMode="External"/><Relationship Id="rId71" Type="http://schemas.openxmlformats.org/officeDocument/2006/relationships/hyperlink" Target="https://iederin.nl/wp-content/uploads/2023/01/Verkiezingen-Rapportage-onbeperkt-stemmen-2022.pdf" TargetMode="External"/><Relationship Id="rId2" Type="http://schemas.openxmlformats.org/officeDocument/2006/relationships/hyperlink" Target="https://open.overheid.nl/documenten/ronl-a14b1dd20c8b1cc1a7b233dffd9b5449051a1936/pdf" TargetMode="External"/><Relationship Id="rId29" Type="http://schemas.openxmlformats.org/officeDocument/2006/relationships/hyperlink" Target="https://www.stembureauinstru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10.0.42702.0</Version>
    <Date>2023-05-17T15:14:09</Date>
    <Language>EN</Language>
    <Note/>
  </Created>
  <Edited>
    <Version>10.0.42702.0</Version>
    <Date>2023-09-22T12:00:04</Date>
  </Edited>
  <DocumentModel>
    <Id>2c238db1-3e86-4a59-bbaf-64f0c4329f8e</Id>
    <Name>Publication Drafting (by Publications Office)</Name>
  </DocumentModel>
  <DocumentDate>2023-05-17T15:14:09</DocumentDate>
  <DocumentVersion>0.1</DocumentVersion>
  <CompatibilityMode>Eurolook10</CompatibilityMode>
</EurolookProperties>
</file>

<file path=customXml/item2.xml><?xml version="1.0" encoding="utf-8"?>
<Texts>
  <ReferencesTableBoxesA>Table of Boxes A</ReferencesTableBoxesA>
  <ReferencesTablePictures>Table of Pictures</ReferencesTablePictures>
  <ReferencesIndex>Index</ReferencesIndex>
  <DivisionIdentifierPart>Part</DivisionIdentifierPart>
  <DivisionIdentifierSection>Section</DivisionIdentifierSection>
  <PublicationNumberSign/>
  <ReferencesTableBoxesC>Table of Boxes C</ReferencesTableBoxesC>
  <ReferencesSectionTitle>References</ReferencesSectionTitle>
  <LabelAlternativeText>Alternative text: </LabelAlternativeText>
  <LabelFormattedTableSeqOP>Table {field: SEQ Table \* ARABIC } – </LabelFormattedTableSeqOP>
  <LabelSource>Source</LabelSource>
  <DivisionIdentifierChapter>Chapter</DivisionIdentifierChapter>
  <BoxTitleA>Box A</BoxTitleA>
  <ReferencesTableTables>Table of Tables</ReferencesTableTables>
  <BoxTitleC>Box C</BoxTitleC>
  <LabelPictureSeq>Figure {SEQ Figure \* ARABIC }: </LabelPictureSeq>
  <OP_TOCHeading>Contents</OP_TOCHeading>
  <ReferencesTableBoxesB>Table of Boxes B</ReferencesTableBoxesB>
  <BoxTitleB>Box B</BoxTitleB>
  <LabelFigureSeqOP>Figure {SEQ Figure \* ARABIC } – </LabelFigureSeqOP>
  <DateFormatShort>dd/MM/yyyy</DateFormatShort>
  <DateFormatLong>d MMMM yyyy</DateFormatLong>
</Texts>
</file>

<file path=customXml/item3.xml><?xml version="1.0" encoding="utf-8"?>
<Author Role="Creator" AuthorRoleName="Writer" AuthorRoleId="a4fbaff4-b07c-48b4-a21e-e7b9eedf3796">
  <Id>47ca35c9-2f75-4edf-ad03-c5b2729b6df8</Id>
  <Names>
    <Latin>
      <FirstName>Peneva</FirstName>
      <LastName>Nevena</LastName>
    </Latin>
    <Greek>
      <FirstName/>
      <LastName/>
    </Greek>
    <Cyrillic>
      <FirstName/>
      <LastName/>
    </Cyrillic>
    <DocumentScript>
      <FirstName>Peneva</FirstName>
      <LastName>Nevena</LastName>
      <FullName>Peneva Nevena</FullName>
    </DocumentScript>
  </Names>
  <Initials>NP</Initials>
  <Gender/>
  <Email/>
  <Service/>
  <Function ADCode="" ShowInSignature="true" ShowInHeader="false" HeaderText=""/>
  <WebAddress/>
  <FunctionalMailbox/>
  <InheritedWebAddress/>
  <OrgaEntity1>
    <Id>8e54a02d-9dc4-40c7-bd93-866adaab31f6</Id>
    <LogicalLevel>1</LogicalLevel>
    <Name>Agencies and other bodies</Name>
    <HeadLine1/>
    <HeadLine2/>
    <PrimaryAddressId/>
    <SecondaryAddressId/>
    <WebAddress/>
    <InheritedWebAddress/>
    <ShowInHeader>false</ShowInHeader>
  </OrgaEntity1>
  <OrgaEntity2/>
  <OrgaEntity3/>
  <Hierarchy>
    <OrgaEntity>
      <Id>8e54a02d-9dc4-40c7-bd93-866adaab31f6</Id>
      <LogicalLevel>1</LogicalLevel>
      <Name>Agencies and other bodies</Name>
      <HeadLine1/>
      <HeadLine2/>
      <PrimaryAddressId/>
      <SecondaryAddressId/>
      <WebAddress/>
      <InheritedWebAddress/>
      <ShowInHeader>false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1264fb81-f6bb-475e-9f9d-a937d3be6ee2</AddressId>
    <Fax/>
    <Phone/>
    <Office/>
  </MainWorkplace>
  <Workplaces>
    <Workplace IsMain="false">
      <AddressId>f03b5801-04c9-4931-aa17-c6d6c70bc579</AddressId>
      <Fax/>
      <Phone/>
      <Office/>
    </Workplace>
    <Workplace IsMain="true">
      <AddressId>1264fb81-f6bb-475e-9f9d-a937d3be6ee2</AddressId>
      <Fax/>
      <Phone/>
      <Office/>
    </Workplace>
  </Workplaces>
</Author>
</file>

<file path=customXml/item4.xml><?xml version="1.0" encoding="utf-8"?>
<StyleCategorisation>
  <Categories>
    <Category>Built-In</Category>
    <Category>Document</Category>
    <Category>Toc</Category>
    <Category>Heading</Category>
    <Category>Text</Category>
    <Category>Figures and Images</Category>
    <Category>Tables</Category>
    <Category>Boxes</Category>
    <Category>Bulleted Lists</Category>
    <Category>Numbered Lists</Category>
    <Category>Footnotes and Endnotes</Category>
    <Category>User-Defined</Category>
    <Category>Favorites</Category>
  </Categories>
  <Styles>
    <Style>
      <Name>Table of Authorities</Name>
      <Categories>
        <Category>Toc</Category>
        <Category>Document</Category>
      </Categories>
    </Style>
    <Style>
      <Name>Table of Figures</Name>
      <Categories>
        <Category>Toc</Category>
        <Category>Document</Category>
      </Categories>
    </Style>
    <Style>
      <Name>TOA Heading</Name>
      <Categories>
        <Category>Toc</Category>
        <Category>Document</Category>
      </Categories>
    </Style>
    <Style>
      <Name>TOC 1</Name>
      <Categories>
        <Category>Toc</Category>
        <Category>Document</Category>
      </Categories>
    </Style>
    <Style>
      <Name>TOC 2</Name>
      <Categories>
        <Category>Toc</Category>
        <Category>Document</Category>
      </Categories>
    </Style>
    <Style>
      <Name>TOC 3</Name>
      <Categories>
        <Category>Toc</Category>
        <Category>Document</Category>
      </Categories>
    </Style>
    <Style>
      <Name>TOC 4</Name>
      <Categories>
        <Category>Toc</Category>
        <Category>Document</Category>
      </Categories>
    </Style>
    <Style>
      <Name>TOC 5</Name>
      <Categories>
        <Category>Toc</Category>
        <Category>Document</Category>
      </Categories>
    </Style>
    <Style>
      <Name>TOC 6</Name>
      <Categories>
        <Category>Toc</Category>
        <Category>Document</Category>
      </Categories>
    </Style>
    <Style>
      <Name>TOC 7</Name>
      <Categories>
        <Category>Toc</Category>
        <Category>Document</Category>
      </Categories>
    </Style>
    <Style>
      <Name>TOC 8</Name>
      <Categories>
        <Category>Toc</Category>
        <Category>Document</Category>
      </Categories>
    </Style>
    <Style>
      <Name>TOC 9</Name>
      <Categories>
        <Category>Toc</Category>
        <Category>Document</Category>
      </Categories>
    </Style>
    <Style>
      <Name>TOC Heading</Name>
      <Categories>
        <Category>Toc</Category>
        <Category>Document</Category>
      </Categories>
    </Style>
    <Style>
      <Name>TOC Page Number</Name>
      <Categories>
        <Category>Toc</Category>
        <Category>Document</Category>
      </Categories>
    </Style>
    <Style>
      <Name>TOC Paragraph</Name>
      <Categories>
        <Category>Toc</Category>
        <Category>Document</Category>
      </Categories>
    </Style>
    <Style>
      <Name>Chapter Number</Name>
      <Categories>
        <Category>Heading</Category>
        <Category>Document</Category>
      </Categories>
    </Style>
    <Style>
      <Name>Chapter Subsubtitle</Name>
      <Categories>
        <Category>Heading</Category>
        <Category>Document</Category>
      </Categories>
    </Style>
    <Style>
      <Name>Chapter Subtitle</Name>
      <Categories>
        <Category>Heading</Category>
        <Category>Document</Category>
      </Categories>
    </Style>
    <Style>
      <Name>Chapter Title</Name>
      <Categories>
        <Category>Heading</Category>
        <Category>Document</Category>
      </Categories>
    </Style>
    <Style>
      <Name>Heading 1</Name>
      <Categories>
        <Category>Heading</Category>
        <Category>Document</Category>
      </Categories>
    </Style>
    <Style>
      <Name>Heading 2</Name>
      <Categories>
        <Category>Heading</Category>
        <Category>Document</Category>
      </Categories>
    </Style>
    <Style>
      <Name>Heading 3</Name>
      <Categories>
        <Category>Heading</Category>
        <Category>Document</Category>
      </Categories>
    </Style>
    <Style>
      <Name>Heading 4</Name>
      <Categories>
        <Category>Heading</Category>
        <Category>Document</Category>
      </Categories>
    </Style>
    <Style>
      <Name>Heading 5</Name>
      <Categories>
        <Category>Heading</Category>
        <Category>Document</Category>
      </Categories>
    </Style>
    <Style>
      <Name>Heading 6</Name>
      <Categories>
        <Category>Heading</Category>
        <Category>Document</Category>
      </Categories>
    </Style>
    <Style>
      <Name>Heading 7</Name>
      <Categories>
        <Category>Heading</Category>
        <Category>Document</Category>
      </Categories>
    </Style>
    <Style>
      <Name>Heading 8</Name>
      <Categories>
        <Category>Heading</Category>
        <Category>Document</Category>
      </Categories>
    </Style>
    <Style>
      <Name>Heading 9</Name>
      <Categories>
        <Category>Heading</Category>
        <Category>Document</Category>
      </Categories>
    </Style>
    <Style>
      <Name>Heading Numbered 1</Name>
      <Categories>
        <Category>Heading</Category>
        <Category>Document</Category>
      </Categories>
    </Style>
    <Style>
      <Name>Heading Numbered 2</Name>
      <Categories>
        <Category>Heading</Category>
        <Category>Document</Category>
      </Categories>
    </Style>
    <Style>
      <Name>Heading Numbered 3</Name>
      <Categories>
        <Category>Heading</Category>
        <Category>Document</Category>
      </Categories>
    </Style>
    <Style>
      <Name>Heading Numbered 4</Name>
      <Categories>
        <Category>Heading</Category>
        <Category>Document</Category>
      </Categories>
    </Style>
    <Style>
      <Name>Heading NoTOC 1</Name>
      <Categories>
        <Category>Heading</Category>
        <Category>Document</Category>
      </Categories>
    </Style>
    <Style>
      <Name>Heading NoTOC 2</Name>
      <Categories>
        <Category>Heading</Category>
        <Category>Document</Category>
      </Categories>
    </Style>
    <Style>
      <Name>Heading NoTOC 3</Name>
      <Categories>
        <Category>Heading</Category>
        <Category>Document</Category>
      </Categories>
    </Style>
    <Style>
      <Name>Heading NoTOC 4</Name>
      <Categories>
        <Category>Heading</Category>
        <Category>Document</Category>
      </Categories>
    </Style>
    <Style>
      <Name>Part Number</Name>
      <Categories>
        <Category>Heading</Category>
        <Category>Document</Category>
      </Categories>
    </Style>
    <Style>
      <Name>Part Subsubtitle</Name>
      <Categories>
        <Category>Heading</Category>
        <Category>Document</Category>
      </Categories>
    </Style>
    <Style>
      <Name>Part Subtitle</Name>
      <Categories>
        <Category>Heading</Category>
        <Category>Document</Category>
      </Categories>
    </Style>
    <Style>
      <Name>Part Title</Name>
      <Categories>
        <Category>Heading</Category>
        <Category>Document</Category>
      </Categories>
    </Style>
    <Style>
      <Name>Publication Date</Name>
      <Categories>
        <Category>Heading</Category>
        <Category>Document</Category>
      </Categories>
    </Style>
    <Style>
      <Name>Publication Subsubtitle</Name>
      <Categories>
        <Category>Heading</Category>
        <Category>Document</Category>
      </Categories>
    </Style>
    <Style>
      <Name>Publication Subtitle</Name>
      <Categories>
        <Category>Heading</Category>
        <Category>Document</Category>
      </Categories>
    </Style>
    <Style>
      <Name>Publication Title</Name>
      <Categories>
        <Category>Heading</Category>
        <Category>Document</Category>
      </Categories>
    </Style>
    <Style>
      <Name>Section Number</Name>
      <Categories>
        <Category>Heading</Category>
        <Category>Document</Category>
      </Categories>
    </Style>
    <Style>
      <Name>Section Subsubtitle</Name>
      <Categories>
        <Category>Heading</Category>
        <Category>Document</Category>
      </Categories>
    </Style>
    <Style>
      <Name>Section Subtitle</Name>
      <Categories>
        <Category>Heading</Category>
        <Category>Document</Category>
      </Categories>
    </Style>
    <Style>
      <Name>Section Title</Name>
      <Categories>
        <Category>Heading</Category>
        <Category>Document</Category>
      </Categories>
    </Style>
    <Style>
      <Name>Subtitle</Name>
      <Categories>
        <Category>Heading</Category>
        <Category>Document</Category>
      </Categories>
    </Style>
    <Style>
      <Name>Title</Name>
      <Categories>
        <Category>Heading</Category>
        <Category>Document</Category>
      </Categories>
    </Style>
    <Style>
      <Name>Comment</Name>
      <Categories>
        <Category>Text</Category>
        <Category>Document</Category>
      </Categories>
    </Style>
    <Style>
      <Name>Default Paragraph Font</Name>
      <Categories>
        <Category>Text</Category>
        <Category>Document</Category>
      </Categories>
    </Style>
    <Style>
      <Name>Filename</Name>
      <Categories>
        <Category>Text</Category>
        <Category>Document</Category>
      </Categories>
    </Style>
    <Style>
      <Name>Normal</Name>
      <Categories>
        <Category>Text</Category>
        <Category>Document</Category>
      </Categories>
    </Style>
    <Style>
      <Name>Quotation</Name>
      <Categories>
        <Category>Text</Category>
        <Category>Document</Category>
      </Categories>
    </Style>
    <Style>
      <Name>Quotation Pull</Name>
      <Categories>
        <Category>Text</Category>
        <Category>Document</Category>
      </Categories>
    </Style>
    <Style>
      <Name>Quotation Source</Name>
      <Categories>
        <Category>Text</Category>
        <Category>Document</Category>
      </Categories>
    </Style>
    <Style>
      <Name>Salutation</Name>
      <Categories>
        <Category>Text</Category>
        <Category>Document</Category>
      </Categories>
    </Style>
    <Style>
      <Name>Signature</Name>
      <Categories>
        <Category>Text</Category>
        <Category>Document</Category>
      </Categories>
    </Style>
    <Style>
      <Name>Signature Date</Name>
      <Categories>
        <Category>Text</Category>
        <Category>Document</Category>
      </Categories>
    </Style>
    <Style>
      <Name>Signature Placeholder</Name>
      <Categories>
        <Category>Text</Category>
        <Category>Document</Category>
      </Categories>
    </Style>
    <Style>
      <Name>Signature Text</Name>
      <Categories>
        <Category>Text</Category>
        <Category>Document</Category>
      </Categories>
    </Style>
    <Style>
      <Name>Figure Body</Name>
      <Categories>
        <Category>Figures and Images</Category>
        <Category>Document</Category>
      </Categories>
    </Style>
    <Style>
      <Name>Figure Note</Name>
      <Categories>
        <Category>Figures and Images</Category>
        <Category>Document</Category>
      </Categories>
    </Style>
    <Style>
      <Name>Figure Source</Name>
      <Categories>
        <Category>Figures and Images</Category>
        <Category>Document</Category>
      </Categories>
    </Style>
    <Style>
      <Name>Figure Subtitle</Name>
      <Categories>
        <Category>Figures and Images</Category>
        <Category>Document</Category>
      </Categories>
    </Style>
    <Style>
      <Name>Figure Title</Name>
      <Categories>
        <Category>Figures and Images</Category>
        <Category>Document</Category>
      </Categories>
    </Style>
    <Style>
      <Name>Image Alternative</Name>
      <Categories>
        <Category>Figures and Images</Category>
        <Category>Document</Category>
      </Categories>
    </Style>
    <Style>
      <Name>Image Caption</Name>
      <Categories>
        <Category>Figures and Images</Category>
        <Category>Document</Category>
      </Categories>
    </Style>
    <Style>
      <Name>Image Copyrights</Name>
      <Categories>
        <Category>Figures and Images</Category>
        <Category>Document</Category>
      </Categories>
    </Style>
    <Style>
      <Name>Image Placeholder</Name>
      <Categories>
        <Category>Figures and Images</Category>
        <Category>Document</Category>
      </Categories>
    </Style>
    <Style>
      <Name>Image Source</Name>
      <Categories>
        <Category>Figures and Images</Category>
        <Category>Document</Category>
      </Categories>
    </Style>
    <Style>
      <Name>Image Subtitle</Name>
      <Categories>
        <Category>Figures and Images</Category>
        <Category>Document</Category>
      </Categories>
    </Style>
    <Style>
      <Name>Image Title</Name>
      <Categories>
        <Category>Figures and Images</Category>
        <Category>Document</Category>
      </Categories>
    </Style>
    <Style>
      <Name>Table Alternative</Name>
      <Categories>
        <Category>Tables</Category>
        <Category>Document</Category>
      </Categories>
    </Style>
    <Style>
      <Name>Table Body</Name>
      <Categories>
        <Category>Tables</Category>
        <Category>Document</Category>
      </Categories>
    </Style>
    <Style>
      <Name>Table Normal</Name>
      <Categories>
        <Category>Tables</Category>
        <Category>Document</Category>
      </Categories>
    </Style>
    <Style>
      <Name>Table Note</Name>
      <Categories>
        <Category>Tables</Category>
        <Category>Document</Category>
      </Categories>
    </Style>
    <Style>
      <Name>Table Source</Name>
      <Categories>
        <Category>Tables</Category>
        <Category>Document</Category>
      </Categories>
    </Style>
    <Style>
      <Name>Table Subtitle</Name>
      <Categories>
        <Category>Tables</Category>
        <Category>Document</Category>
      </Categories>
    </Style>
    <Style>
      <Name>Table Title</Name>
      <Categories>
        <Category>Tables</Category>
        <Category>Document</Category>
      </Categories>
    </Style>
    <Style>
      <Name>Box Text</Name>
      <Categories>
        <Category>Boxes</Category>
        <Category>Document</Category>
      </Categories>
    </Style>
    <Style>
      <Name>Box Title A</Name>
      <Categories>
        <Category>Boxes</Category>
        <Category>Document</Category>
      </Categories>
    </Style>
    <Style>
      <Name>Box Title B</Name>
      <Categories>
        <Category>Boxes</Category>
        <Category>Document</Category>
      </Categories>
    </Style>
    <Style>
      <Name>Box Title C</Name>
      <Categories>
        <Category>Boxes</Category>
        <Category>Document</Category>
      </Categories>
    </Style>
    <Style>
      <Name>Table Box A</Name>
      <Categories>
        <Category>Boxes</Category>
        <Category>Document</Category>
      </Categories>
    </Style>
    <Style>
      <Name>Table Box B</Name>
      <Categories>
        <Category>Boxes</Category>
        <Category>Document</Category>
      </Categories>
    </Style>
    <Style>
      <Name>Table Box C</Name>
      <Categories>
        <Category>Boxes</Category>
        <Category>Document</Category>
      </Categories>
    </Style>
    <Style>
      <Name>List Bullet</Name>
      <Categories>
        <Category>Bulleted Lists</Category>
        <Category>Document</Category>
      </Categories>
    </Style>
    <Style>
      <Name>List Bullet (Level 2)</Name>
      <Categories>
        <Category>Bulleted Lists</Category>
        <Category>Document</Category>
      </Categories>
    </Style>
    <Style>
      <Name>List Bullet (Level 3)</Name>
      <Categories>
        <Category>Bulleted Lists</Category>
        <Category>Document</Category>
      </Categories>
    </Style>
    <Style>
      <Name>List Bullet (Level 4)</Name>
      <Categories>
        <Category>Bulleted Lists</Category>
        <Category>Document</Category>
      </Categories>
    </Style>
    <Style>
      <Name>List Dash</Name>
      <Categories>
        <Category>Bulleted Lists</Category>
        <Category>Document</Category>
      </Categories>
    </Style>
    <Style>
      <Name>List Dash (Level 2)</Name>
      <Categories>
        <Category>Bulleted Lists</Category>
        <Category>Document</Category>
      </Categories>
    </Style>
    <Style>
      <Name>List Dash (Level 3)</Name>
      <Categories>
        <Category>Bulleted Lists</Category>
        <Category>Document</Category>
      </Categories>
    </Style>
    <Style>
      <Name>List Dash (Level 4)</Name>
      <Categories>
        <Category>Bulleted Lists</Category>
        <Category>Document</Category>
      </Categories>
    </Style>
    <Style>
      <Name>List Mixed</Name>
      <Categories>
        <Category>Bulleted Lists</Category>
        <Category>Document</Category>
      </Categories>
    </Style>
    <Style>
      <Name>List Mixed (Level 2)</Name>
      <Categories>
        <Category>Bulleted Lists</Category>
        <Category>Document</Category>
      </Categories>
    </Style>
    <Style>
      <Name>List Mixed (Level 3)</Name>
      <Categories>
        <Category>Bulleted Lists</Category>
        <Category>Document</Category>
      </Categories>
    </Style>
    <Style>
      <Name>List Mixed (Level 4)</Name>
      <Categories>
        <Category>Bulleted Lists</Category>
        <Category>Document</Category>
      </Categories>
    </Style>
    <Style>
      <Name>List Mixed (Level 5)</Name>
      <Categories>
        <Category>Bulleted Lists</Category>
        <Category>Document</Category>
      </Categories>
    </Style>
    <Style>
      <Name>List abc</Name>
      <Categories>
        <Category>Numbered Lists</Category>
        <Category>Document</Category>
      </Categories>
    </Style>
    <Style>
      <Name>List abc (Level 2)</Name>
      <Categories>
        <Category>Numbered Lists</Category>
        <Category>Document</Category>
      </Categories>
    </Style>
    <Style>
      <Name>List abc (Level 3)</Name>
      <Categories>
        <Category>Numbered Lists</Category>
        <Category>Document</Category>
      </Categories>
    </Style>
    <Style>
      <Name>List abc (Level 4)List Number</Name>
      <Categories>
        <Category>Numbered Lists</Category>
        <Category>Document</Category>
      </Categories>
    </Style>
    <Style>
      <Name>List Number (Level 2)</Name>
      <Categories>
        <Category>Numbered Lists</Category>
        <Category>Document</Category>
      </Categories>
    </Style>
    <Style>
      <Name>List Number (Level 3)</Name>
      <Categories>
        <Category>Numbered Lists</Category>
        <Category>Document</Category>
      </Categories>
    </Style>
    <Style>
      <Name>List Number (Level 4)</Name>
      <Categories>
        <Category>Numbered Lists</Category>
        <Category>Document</Category>
      </Categories>
    </Style>
    <Style>
      <Name>List Number (Level 5)</Name>
      <Categories>
        <Category>Numbered Lists</Category>
        <Category>Document</Category>
      </Categories>
    </Style>
    <Style>
      <Name>List Number Nonindented</Name>
      <Categories>
        <Category>Numbered Lists</Category>
        <Category>Document</Category>
      </Categories>
    </Style>
    <Style>
      <Name>List Number Nonindented (Level 2)</Name>
      <Categories>
        <Category>Numbered Lists</Category>
        <Category>Document</Category>
      </Categories>
    </Style>
    <Style>
      <Name>List Number Nonindented (Level 3)</Name>
      <Categories>
        <Category>Numbered Lists</Category>
        <Category>Document</Category>
      </Categories>
    </Style>
    <Style>
      <Name>List Number Nonindented (Level 4)</Name>
      <Categories>
        <Category>Numbered Lists</Category>
        <Category>Document</Category>
      </Categories>
    </Style>
    <Style>
      <Name>List Number Nonindented (Level 5)</Name>
      <Categories>
        <Category>Numbered Lists</Category>
        <Category>Document</Category>
      </Categories>
    </Style>
    <Style>
      <Name>List Roman</Name>
      <Categories>
        <Category>Numbered Lists</Category>
        <Category>Document</Category>
      </Categories>
    </Style>
    <Style>
      <Name>List Roman (Level 2)</Name>
      <Categories>
        <Category>Numbered Lists</Category>
        <Category>Document</Category>
      </Categories>
    </Style>
    <Style>
      <Name>List Roman (Level 3)</Name>
      <Categories>
        <Category>Numbered Lists</Category>
        <Category>Document</Category>
      </Categories>
    </Style>
    <Style>
      <Name>List Roman (Level 4)</Name>
      <Categories>
        <Category>Numbered Lists</Category>
        <Category>Document</Category>
      </Categories>
    </Style>
    <Style>
      <Name>Numbered Paragraph</Name>
      <Categories>
        <Category>Numbered Lists</Category>
        <Category>Document</Category>
      </Categories>
    </Style>
    <Style>
      <Name>Roman Paragraph</Name>
      <Categories>
        <Category>Numbered Lists</Category>
        <Category>Document</Category>
      </Categories>
    </Style>
    <Style>
      <Name>Endnote Reference</Name>
      <Categories>
        <Category>Footnotes and Endnotes</Category>
        <Category>Document</Category>
      </Categories>
    </Style>
    <Style>
      <Name>Endnote Text</Name>
      <Categories>
        <Category>Footnotes and Endnotes</Category>
        <Category>Document</Category>
      </Categories>
    </Style>
    <Style>
      <Name>Footnote Reference</Name>
      <Categories>
        <Category>Footnotes and Endnotes</Category>
        <Category>Document</Category>
      </Categories>
    </Style>
    <Style>
      <Name>Footnote Text</Name>
      <Categories>
        <Category>Footnotes and Endnotes</Category>
        <Category>Document</Category>
      </Categories>
    </Style>
  </Styles>
</StyleCategoris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BB331D43-972B-4D67-9598-33C3F123B328}">
  <ds:schemaRefs/>
</ds:datastoreItem>
</file>

<file path=customXml/itemProps4.xml><?xml version="1.0" encoding="utf-8"?>
<ds:datastoreItem xmlns:ds="http://schemas.openxmlformats.org/officeDocument/2006/customXml" ds:itemID="{925BFF32-4C3B-423D-BE8C-A831B166F6B7}">
  <ds:schemaRefs/>
</ds:datastoreItem>
</file>

<file path=customXml/itemProps5.xml><?xml version="1.0" encoding="utf-8"?>
<ds:datastoreItem xmlns:ds="http://schemas.openxmlformats.org/officeDocument/2006/customXml" ds:itemID="{F74A8373-12A3-492C-ADE9-9E742ED0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5080</Words>
  <Characters>28962</Characters>
  <Application>Microsoft Office Word</Application>
  <DocSecurity>0</DocSecurity>
  <PresentationFormat>Microsoft Word 14.0</PresentationFormat>
  <Lines>241</Lines>
  <Paragraphs>67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2024-05-30T08:37:00Z</dcterms:created>
  <dcterms:modified xsi:type="dcterms:W3CDTF">2024-05-30T08:37:00Z</dcterms:modified>
</cp:coreProperties>
</file>