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E0981" w14:textId="77777777" w:rsidR="00724F94" w:rsidRPr="00C41905" w:rsidRDefault="000D5884" w:rsidP="00385DF6">
      <w:pPr>
        <w:pStyle w:val="FRAHeading4Unnumbered"/>
      </w:pPr>
      <w:sdt>
        <w:sdtPr>
          <w:alias w:val="Cover Page"/>
          <w:id w:val="839458253"/>
        </w:sdtPr>
        <w:sdtEndPr/>
        <w:sdtContent/>
      </w:sdt>
    </w:p>
    <w:p w14:paraId="35AF6F35" w14:textId="77777777" w:rsidR="00724F94" w:rsidRPr="00C41905" w:rsidRDefault="0003018E">
      <w:pPr>
        <w:pStyle w:val="PublicationTitle"/>
        <w:spacing w:before="480" w:after="360"/>
        <w:jc w:val="right"/>
        <w:rPr>
          <w:color w:val="4472C4" w:themeColor="accent1"/>
          <w:sz w:val="56"/>
          <w:szCs w:val="18"/>
        </w:rPr>
      </w:pPr>
      <w:r w:rsidRPr="00C41905">
        <w:rPr>
          <w:color w:val="4472C4" w:themeColor="accent1"/>
          <w:sz w:val="56"/>
          <w:szCs w:val="18"/>
        </w:rPr>
        <w:t xml:space="preserve">The right to political participation of persons with disabilities ahead of the 2024 European Parliament elections </w:t>
      </w:r>
    </w:p>
    <w:p w14:paraId="264A19D3" w14:textId="77777777" w:rsidR="00724F94" w:rsidRPr="00C41905" w:rsidRDefault="0003018E">
      <w:pPr>
        <w:pStyle w:val="PublicationSubtitle"/>
        <w:spacing w:before="0"/>
        <w:jc w:val="right"/>
        <w:rPr>
          <w:color w:val="auto"/>
        </w:rPr>
      </w:pPr>
      <w:r w:rsidRPr="00C41905">
        <w:rPr>
          <w:color w:val="auto"/>
        </w:rPr>
        <w:t>Country: Portugal</w:t>
      </w:r>
    </w:p>
    <w:p w14:paraId="03CD77C4" w14:textId="77777777" w:rsidR="00724F94" w:rsidRPr="00C41905" w:rsidRDefault="00724F94">
      <w:pPr>
        <w:pStyle w:val="PublicationSubtitle"/>
        <w:spacing w:before="0"/>
        <w:jc w:val="right"/>
        <w:rPr>
          <w:color w:val="auto"/>
        </w:rPr>
      </w:pPr>
    </w:p>
    <w:p w14:paraId="7C7851F2" w14:textId="77777777" w:rsidR="00724F94" w:rsidRPr="00C41905" w:rsidRDefault="0003018E">
      <w:pPr>
        <w:pStyle w:val="PublicationSubtitle"/>
        <w:spacing w:before="0"/>
        <w:jc w:val="right"/>
        <w:rPr>
          <w:color w:val="auto"/>
        </w:rPr>
      </w:pPr>
      <w:r w:rsidRPr="00C41905">
        <w:rPr>
          <w:color w:val="auto"/>
        </w:rPr>
        <w:t>January 2024</w:t>
      </w:r>
    </w:p>
    <w:p w14:paraId="2EECB683" w14:textId="77777777" w:rsidR="00724F94" w:rsidRPr="00C41905" w:rsidRDefault="0003018E">
      <w:pPr>
        <w:pStyle w:val="PublicationSubsubtitle"/>
        <w:spacing w:after="0"/>
        <w:jc w:val="right"/>
        <w:rPr>
          <w:color w:val="auto"/>
        </w:rPr>
      </w:pPr>
      <w:r w:rsidRPr="00C41905">
        <w:rPr>
          <w:color w:val="auto"/>
        </w:rPr>
        <w:t xml:space="preserve"> </w:t>
      </w:r>
    </w:p>
    <w:p w14:paraId="4A229455" w14:textId="382CAB63" w:rsidR="00724F94" w:rsidRPr="00C41905" w:rsidRDefault="0003018E">
      <w:pPr>
        <w:pStyle w:val="PublicationSubsubtitle"/>
        <w:spacing w:after="0"/>
        <w:jc w:val="right"/>
        <w:rPr>
          <w:color w:val="auto"/>
        </w:rPr>
      </w:pPr>
      <w:r w:rsidRPr="00C41905">
        <w:rPr>
          <w:color w:val="auto"/>
        </w:rPr>
        <w:t>Contractor:</w:t>
      </w:r>
      <w:r w:rsidR="00DB1176" w:rsidRPr="00C41905">
        <w:rPr>
          <w:color w:val="auto"/>
        </w:rPr>
        <w:t xml:space="preserve"> Centre for Social Studies</w:t>
      </w:r>
    </w:p>
    <w:p w14:paraId="2BA16B6E" w14:textId="77777777" w:rsidR="00724F94" w:rsidRPr="00C41905" w:rsidRDefault="0003018E">
      <w:pPr>
        <w:pStyle w:val="PublicationSubsubtitle"/>
        <w:spacing w:after="0"/>
        <w:jc w:val="right"/>
        <w:rPr>
          <w:color w:val="auto"/>
        </w:rPr>
      </w:pPr>
      <w:r w:rsidRPr="00C41905">
        <w:rPr>
          <w:color w:val="auto"/>
        </w:rPr>
        <w:t xml:space="preserve"> </w:t>
      </w:r>
    </w:p>
    <w:p w14:paraId="6AA319AC" w14:textId="77777777" w:rsidR="00724F94" w:rsidRPr="00744F1D" w:rsidRDefault="0003018E">
      <w:pPr>
        <w:pStyle w:val="PublicationSubsubtitle"/>
        <w:spacing w:after="0"/>
        <w:jc w:val="right"/>
        <w:rPr>
          <w:color w:val="auto"/>
          <w:lang w:val="pt-PT"/>
        </w:rPr>
      </w:pPr>
      <w:r w:rsidRPr="00744F1D">
        <w:rPr>
          <w:color w:val="auto"/>
          <w:lang w:val="pt-PT"/>
        </w:rPr>
        <w:t>Authors: Fernando Fontes, Diana Barros and João Paulo Dias</w:t>
      </w:r>
    </w:p>
    <w:p w14:paraId="0E1CDCF7" w14:textId="77777777" w:rsidR="00724F94" w:rsidRPr="00744F1D" w:rsidRDefault="00724F94">
      <w:pPr>
        <w:pStyle w:val="PublicationSubsubtitle"/>
        <w:spacing w:after="0"/>
        <w:jc w:val="right"/>
        <w:rPr>
          <w:lang w:val="pt-PT"/>
        </w:rPr>
      </w:pPr>
    </w:p>
    <w:p w14:paraId="04559E6A" w14:textId="77777777" w:rsidR="00724F94" w:rsidRPr="00744F1D" w:rsidRDefault="00724F94">
      <w:pPr>
        <w:pStyle w:val="PublicationSubsubtitle"/>
        <w:spacing w:after="0"/>
        <w:jc w:val="right"/>
        <w:rPr>
          <w:lang w:val="pt-PT"/>
        </w:rPr>
      </w:pPr>
    </w:p>
    <w:tbl>
      <w:tblPr>
        <w:tblStyle w:val="TableBoxC"/>
        <w:tblW w:w="8503" w:type="dxa"/>
        <w:tblInd w:w="108" w:type="dxa"/>
        <w:shd w:val="clear" w:color="auto" w:fill="D5D8DA"/>
        <w:tblLayout w:type="fixed"/>
        <w:tblLook w:val="04A0" w:firstRow="1" w:lastRow="0" w:firstColumn="1" w:lastColumn="0" w:noHBand="0" w:noVBand="1"/>
      </w:tblPr>
      <w:tblGrid>
        <w:gridCol w:w="8503"/>
      </w:tblGrid>
      <w:tr w:rsidR="00724F94" w:rsidRPr="00C41905" w14:paraId="00F5C6AA" w14:textId="77777777">
        <w:tc>
          <w:tcPr>
            <w:tcW w:w="8503" w:type="dxa"/>
          </w:tcPr>
          <w:p w14:paraId="63AB0233" w14:textId="77777777" w:rsidR="00724F94" w:rsidRPr="00C41905" w:rsidRDefault="0003018E">
            <w:pPr>
              <w:pStyle w:val="BoxTitleC"/>
              <w:spacing w:line="240" w:lineRule="auto"/>
            </w:pPr>
            <w:r w:rsidRPr="00C41905">
              <w:t>Disclaimer</w:t>
            </w:r>
          </w:p>
          <w:p w14:paraId="3280597C" w14:textId="77777777" w:rsidR="00724F94" w:rsidRPr="00C41905" w:rsidRDefault="0003018E">
            <w:pPr>
              <w:pStyle w:val="BoxText"/>
              <w:spacing w:line="240" w:lineRule="auto"/>
            </w:pPr>
            <w:r w:rsidRPr="00C41905">
              <w:t>This document was commissioned under contract by the European Union Agency for Fundamental Rights (FRA) as background material for the project ‘Participating in the EU Framework required by Article 33 (2) of the UN Convention on the Rights of Persons with Disabilities’.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6FD30859" w14:textId="77777777" w:rsidR="00724F94" w:rsidRPr="00C41905" w:rsidRDefault="00724F94"/>
    <w:p w14:paraId="0DF43F10" w14:textId="77777777" w:rsidR="00724F94" w:rsidRPr="00C41905" w:rsidRDefault="00724F94"/>
    <w:p w14:paraId="6E240A13" w14:textId="77777777" w:rsidR="00724F94" w:rsidRPr="00C41905" w:rsidRDefault="00724F94"/>
    <w:sdt>
      <w:sdtPr>
        <w:rPr>
          <w:color w:val="006FB4"/>
        </w:rPr>
        <w:id w:val="1057441369"/>
        <w:docPartObj>
          <w:docPartGallery w:val="Table of Contents"/>
          <w:docPartUnique/>
        </w:docPartObj>
      </w:sdtPr>
      <w:sdtEndPr/>
      <w:sdtContent>
        <w:p w14:paraId="77A35CC1" w14:textId="77777777" w:rsidR="00724F94" w:rsidRPr="00C41905" w:rsidRDefault="0003018E">
          <w:pPr>
            <w:pStyle w:val="TOCHeading"/>
          </w:pPr>
          <w:r w:rsidRPr="00C41905">
            <w:t>Contents</w:t>
          </w:r>
        </w:p>
        <w:p w14:paraId="2E5977CD" w14:textId="6A9B5A3A" w:rsidR="008601E4" w:rsidRPr="00C41905" w:rsidRDefault="0003018E">
          <w:pPr>
            <w:pStyle w:val="TOC1"/>
            <w:tabs>
              <w:tab w:val="left" w:pos="408"/>
            </w:tabs>
            <w:rPr>
              <w:rFonts w:asciiTheme="minorHAnsi" w:eastAsiaTheme="minorEastAsia" w:hAnsiTheme="minorHAnsi" w:cstheme="minorBidi"/>
              <w:b w:val="0"/>
              <w:color w:val="auto"/>
              <w:sz w:val="22"/>
              <w:szCs w:val="22"/>
            </w:rPr>
          </w:pPr>
          <w:r w:rsidRPr="00C41905">
            <w:fldChar w:fldCharType="begin"/>
          </w:r>
          <w:r w:rsidRPr="00C41905">
            <w:rPr>
              <w:rStyle w:val="Ligaodendice"/>
              <w:webHidden/>
            </w:rPr>
            <w:instrText xml:space="preserve"> TOC \z \u \t "Heading Numbered 1,1,Heading Numbered 2,2,Heading Numbered 3,3" \h</w:instrText>
          </w:r>
          <w:r w:rsidRPr="00C41905">
            <w:rPr>
              <w:rStyle w:val="Ligaodendice"/>
            </w:rPr>
            <w:fldChar w:fldCharType="separate"/>
          </w:r>
          <w:hyperlink w:anchor="_Toc153528033" w:history="1">
            <w:r w:rsidR="008601E4" w:rsidRPr="00C41905">
              <w:rPr>
                <w:rStyle w:val="Hyperlink"/>
              </w:rPr>
              <w:t>1.</w:t>
            </w:r>
            <w:r w:rsidR="008601E4" w:rsidRPr="00C41905">
              <w:rPr>
                <w:rFonts w:asciiTheme="minorHAnsi" w:eastAsiaTheme="minorEastAsia" w:hAnsiTheme="minorHAnsi" w:cstheme="minorBidi"/>
                <w:b w:val="0"/>
                <w:color w:val="auto"/>
                <w:sz w:val="22"/>
                <w:szCs w:val="22"/>
              </w:rPr>
              <w:tab/>
            </w:r>
            <w:r w:rsidR="008601E4" w:rsidRPr="00C41905">
              <w:rPr>
                <w:rStyle w:val="Hyperlink"/>
              </w:rPr>
              <w:t>Data on persons with disabilities exercising their right to political participation</w:t>
            </w:r>
            <w:r w:rsidR="008601E4" w:rsidRPr="00C41905">
              <w:rPr>
                <w:webHidden/>
              </w:rPr>
              <w:tab/>
            </w:r>
            <w:r w:rsidR="008601E4" w:rsidRPr="00C41905">
              <w:rPr>
                <w:webHidden/>
              </w:rPr>
              <w:fldChar w:fldCharType="begin"/>
            </w:r>
            <w:r w:rsidR="008601E4" w:rsidRPr="00C41905">
              <w:rPr>
                <w:webHidden/>
              </w:rPr>
              <w:instrText xml:space="preserve"> PAGEREF _Toc153528033 \h </w:instrText>
            </w:r>
            <w:r w:rsidR="008601E4" w:rsidRPr="00C41905">
              <w:rPr>
                <w:webHidden/>
              </w:rPr>
            </w:r>
            <w:r w:rsidR="008601E4" w:rsidRPr="00C41905">
              <w:rPr>
                <w:webHidden/>
              </w:rPr>
              <w:fldChar w:fldCharType="separate"/>
            </w:r>
            <w:r w:rsidR="008601E4" w:rsidRPr="00C41905">
              <w:rPr>
                <w:webHidden/>
              </w:rPr>
              <w:t>3</w:t>
            </w:r>
            <w:r w:rsidR="008601E4" w:rsidRPr="00C41905">
              <w:rPr>
                <w:webHidden/>
              </w:rPr>
              <w:fldChar w:fldCharType="end"/>
            </w:r>
          </w:hyperlink>
        </w:p>
        <w:p w14:paraId="3955C871" w14:textId="1200C9E6" w:rsidR="008601E4" w:rsidRPr="00C41905" w:rsidRDefault="000D5884">
          <w:pPr>
            <w:pStyle w:val="TOC1"/>
            <w:tabs>
              <w:tab w:val="left" w:pos="408"/>
            </w:tabs>
            <w:rPr>
              <w:rFonts w:asciiTheme="minorHAnsi" w:eastAsiaTheme="minorEastAsia" w:hAnsiTheme="minorHAnsi" w:cstheme="minorBidi"/>
              <w:b w:val="0"/>
              <w:color w:val="auto"/>
              <w:sz w:val="22"/>
              <w:szCs w:val="22"/>
            </w:rPr>
          </w:pPr>
          <w:hyperlink w:anchor="_Toc153528034" w:history="1">
            <w:r w:rsidR="008601E4" w:rsidRPr="00C41905">
              <w:rPr>
                <w:rStyle w:val="Hyperlink"/>
              </w:rPr>
              <w:t>2.</w:t>
            </w:r>
            <w:r w:rsidR="008601E4" w:rsidRPr="00C41905">
              <w:rPr>
                <w:rFonts w:asciiTheme="minorHAnsi" w:eastAsiaTheme="minorEastAsia" w:hAnsiTheme="minorHAnsi" w:cstheme="minorBidi"/>
                <w:b w:val="0"/>
                <w:color w:val="auto"/>
                <w:sz w:val="22"/>
                <w:szCs w:val="22"/>
              </w:rPr>
              <w:tab/>
            </w:r>
            <w:r w:rsidR="008601E4" w:rsidRPr="00C41905">
              <w:rPr>
                <w:rStyle w:val="Hyperlink"/>
              </w:rPr>
              <w:t>Political participation of persons with disabilities in practice</w:t>
            </w:r>
            <w:r w:rsidR="008601E4" w:rsidRPr="00C41905">
              <w:rPr>
                <w:webHidden/>
              </w:rPr>
              <w:tab/>
            </w:r>
            <w:r w:rsidR="008601E4" w:rsidRPr="00C41905">
              <w:rPr>
                <w:webHidden/>
              </w:rPr>
              <w:fldChar w:fldCharType="begin"/>
            </w:r>
            <w:r w:rsidR="008601E4" w:rsidRPr="00C41905">
              <w:rPr>
                <w:webHidden/>
              </w:rPr>
              <w:instrText xml:space="preserve"> PAGEREF _Toc153528034 \h </w:instrText>
            </w:r>
            <w:r w:rsidR="008601E4" w:rsidRPr="00C41905">
              <w:rPr>
                <w:webHidden/>
              </w:rPr>
            </w:r>
            <w:r w:rsidR="008601E4" w:rsidRPr="00C41905">
              <w:rPr>
                <w:webHidden/>
              </w:rPr>
              <w:fldChar w:fldCharType="separate"/>
            </w:r>
            <w:r w:rsidR="008601E4" w:rsidRPr="00C41905">
              <w:rPr>
                <w:webHidden/>
              </w:rPr>
              <w:t>21</w:t>
            </w:r>
            <w:r w:rsidR="008601E4" w:rsidRPr="00C41905">
              <w:rPr>
                <w:webHidden/>
              </w:rPr>
              <w:fldChar w:fldCharType="end"/>
            </w:r>
          </w:hyperlink>
        </w:p>
        <w:p w14:paraId="2AF77024" w14:textId="72C0FA0D" w:rsidR="008601E4" w:rsidRPr="00C41905" w:rsidRDefault="000D5884">
          <w:pPr>
            <w:pStyle w:val="TOC2"/>
            <w:tabs>
              <w:tab w:val="left" w:pos="612"/>
            </w:tabs>
            <w:rPr>
              <w:rFonts w:asciiTheme="minorHAnsi" w:eastAsiaTheme="minorEastAsia" w:hAnsiTheme="minorHAnsi" w:cstheme="minorBidi"/>
              <w:b w:val="0"/>
              <w:color w:val="auto"/>
              <w:sz w:val="22"/>
              <w:szCs w:val="22"/>
            </w:rPr>
          </w:pPr>
          <w:hyperlink w:anchor="_Toc153528035" w:history="1">
            <w:r w:rsidR="008601E4" w:rsidRPr="00C41905">
              <w:rPr>
                <w:rStyle w:val="Hyperlink"/>
              </w:rPr>
              <w:t>2.1.</w:t>
            </w:r>
            <w:r w:rsidR="008601E4" w:rsidRPr="00C41905">
              <w:rPr>
                <w:rFonts w:asciiTheme="minorHAnsi" w:eastAsiaTheme="minorEastAsia" w:hAnsiTheme="minorHAnsi" w:cstheme="minorBidi"/>
                <w:b w:val="0"/>
                <w:color w:val="auto"/>
                <w:sz w:val="22"/>
                <w:szCs w:val="22"/>
              </w:rPr>
              <w:tab/>
            </w:r>
            <w:r w:rsidR="008601E4" w:rsidRPr="00C41905">
              <w:rPr>
                <w:rStyle w:val="Hyperlink"/>
              </w:rPr>
              <w:t>Positive and negative key development as regards political participation of persons with disabilities</w:t>
            </w:r>
            <w:r w:rsidR="008601E4" w:rsidRPr="00C41905">
              <w:rPr>
                <w:webHidden/>
              </w:rPr>
              <w:tab/>
            </w:r>
            <w:r w:rsidR="008601E4" w:rsidRPr="00C41905">
              <w:rPr>
                <w:webHidden/>
              </w:rPr>
              <w:fldChar w:fldCharType="begin"/>
            </w:r>
            <w:r w:rsidR="008601E4" w:rsidRPr="00C41905">
              <w:rPr>
                <w:webHidden/>
              </w:rPr>
              <w:instrText xml:space="preserve"> PAGEREF _Toc153528035 \h </w:instrText>
            </w:r>
            <w:r w:rsidR="008601E4" w:rsidRPr="00C41905">
              <w:rPr>
                <w:webHidden/>
              </w:rPr>
            </w:r>
            <w:r w:rsidR="008601E4" w:rsidRPr="00C41905">
              <w:rPr>
                <w:webHidden/>
              </w:rPr>
              <w:fldChar w:fldCharType="separate"/>
            </w:r>
            <w:r w:rsidR="008601E4" w:rsidRPr="00C41905">
              <w:rPr>
                <w:webHidden/>
              </w:rPr>
              <w:t>21</w:t>
            </w:r>
            <w:r w:rsidR="008601E4" w:rsidRPr="00C41905">
              <w:rPr>
                <w:webHidden/>
              </w:rPr>
              <w:fldChar w:fldCharType="end"/>
            </w:r>
          </w:hyperlink>
        </w:p>
        <w:p w14:paraId="7195EDCA" w14:textId="2865E6FD" w:rsidR="008601E4" w:rsidRPr="00C41905" w:rsidRDefault="000D5884">
          <w:pPr>
            <w:pStyle w:val="TOC2"/>
            <w:tabs>
              <w:tab w:val="left" w:pos="612"/>
            </w:tabs>
            <w:rPr>
              <w:rFonts w:asciiTheme="minorHAnsi" w:eastAsiaTheme="minorEastAsia" w:hAnsiTheme="minorHAnsi" w:cstheme="minorBidi"/>
              <w:b w:val="0"/>
              <w:color w:val="auto"/>
              <w:sz w:val="22"/>
              <w:szCs w:val="22"/>
            </w:rPr>
          </w:pPr>
          <w:hyperlink w:anchor="_Toc153528036" w:history="1">
            <w:r w:rsidR="008601E4" w:rsidRPr="00C41905">
              <w:rPr>
                <w:rStyle w:val="Hyperlink"/>
              </w:rPr>
              <w:t>2.2.</w:t>
            </w:r>
            <w:r w:rsidR="008601E4" w:rsidRPr="00C41905">
              <w:rPr>
                <w:rFonts w:asciiTheme="minorHAnsi" w:eastAsiaTheme="minorEastAsia" w:hAnsiTheme="minorHAnsi" w:cstheme="minorBidi"/>
                <w:b w:val="0"/>
                <w:color w:val="auto"/>
                <w:sz w:val="22"/>
                <w:szCs w:val="22"/>
              </w:rPr>
              <w:tab/>
            </w:r>
            <w:r w:rsidR="008601E4" w:rsidRPr="00C41905">
              <w:rPr>
                <w:rStyle w:val="Hyperlink"/>
              </w:rPr>
              <w:t>Political participation: Promising practices</w:t>
            </w:r>
            <w:r w:rsidR="008601E4" w:rsidRPr="00C41905">
              <w:rPr>
                <w:webHidden/>
              </w:rPr>
              <w:tab/>
            </w:r>
            <w:r w:rsidR="008601E4" w:rsidRPr="00C41905">
              <w:rPr>
                <w:webHidden/>
              </w:rPr>
              <w:fldChar w:fldCharType="begin"/>
            </w:r>
            <w:r w:rsidR="008601E4" w:rsidRPr="00C41905">
              <w:rPr>
                <w:webHidden/>
              </w:rPr>
              <w:instrText xml:space="preserve"> PAGEREF _Toc153528036 \h </w:instrText>
            </w:r>
            <w:r w:rsidR="008601E4" w:rsidRPr="00C41905">
              <w:rPr>
                <w:webHidden/>
              </w:rPr>
            </w:r>
            <w:r w:rsidR="008601E4" w:rsidRPr="00C41905">
              <w:rPr>
                <w:webHidden/>
              </w:rPr>
              <w:fldChar w:fldCharType="separate"/>
            </w:r>
            <w:r w:rsidR="008601E4" w:rsidRPr="00C41905">
              <w:rPr>
                <w:webHidden/>
              </w:rPr>
              <w:t>22</w:t>
            </w:r>
            <w:r w:rsidR="008601E4" w:rsidRPr="00C41905">
              <w:rPr>
                <w:webHidden/>
              </w:rPr>
              <w:fldChar w:fldCharType="end"/>
            </w:r>
          </w:hyperlink>
        </w:p>
        <w:p w14:paraId="049DFE99" w14:textId="3F1BF381" w:rsidR="00724F94" w:rsidRPr="00C41905" w:rsidRDefault="0003018E">
          <w:pPr>
            <w:pStyle w:val="TOC2"/>
            <w:tabs>
              <w:tab w:val="clear" w:pos="8504"/>
              <w:tab w:val="left" w:pos="720"/>
              <w:tab w:val="right" w:leader="dot" w:pos="8490"/>
            </w:tabs>
            <w:rPr>
              <w:kern w:val="2"/>
              <w:lang w:eastAsia="fr-FR"/>
              <w14:ligatures w14:val="standardContextual"/>
            </w:rPr>
          </w:pPr>
          <w:r w:rsidRPr="00C41905">
            <w:rPr>
              <w:rStyle w:val="Ligaodendice"/>
            </w:rPr>
            <w:fldChar w:fldCharType="end"/>
          </w:r>
        </w:p>
      </w:sdtContent>
    </w:sdt>
    <w:p w14:paraId="3C3CE6D5" w14:textId="77777777" w:rsidR="00724F94" w:rsidRPr="00C41905" w:rsidRDefault="00724F94">
      <w:pPr>
        <w:pStyle w:val="TOC1"/>
        <w:tabs>
          <w:tab w:val="clear" w:pos="8504"/>
          <w:tab w:val="right" w:leader="dot" w:pos="8490"/>
        </w:tabs>
        <w:rPr>
          <w:rStyle w:val="LigaodeInternet"/>
          <w:b w:val="0"/>
        </w:rPr>
      </w:pPr>
    </w:p>
    <w:p w14:paraId="07705C83" w14:textId="77777777" w:rsidR="00724F94" w:rsidRPr="00C41905" w:rsidRDefault="00724F94"/>
    <w:p w14:paraId="7C99CCFA" w14:textId="77777777" w:rsidR="00724F94" w:rsidRPr="00C41905" w:rsidRDefault="00724F94">
      <w:pPr>
        <w:sectPr w:rsidR="00724F94" w:rsidRPr="00C41905" w:rsidSect="00DC1113">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134" w:left="1701" w:header="850" w:footer="567" w:gutter="0"/>
          <w:cols w:space="720"/>
          <w:formProt w:val="0"/>
          <w:titlePg/>
          <w:docGrid w:linePitch="360"/>
        </w:sectPr>
      </w:pPr>
    </w:p>
    <w:p w14:paraId="33598649" w14:textId="77777777" w:rsidR="00724F94" w:rsidRPr="00C41905" w:rsidRDefault="0003018E">
      <w:pPr>
        <w:pStyle w:val="HeadingNumbered1"/>
      </w:pPr>
      <w:bookmarkStart w:id="0" w:name="_Toc153528033"/>
      <w:r w:rsidRPr="00C41905">
        <w:lastRenderedPageBreak/>
        <w:t>Data on persons with disabilities exercising their right to political participation</w:t>
      </w:r>
      <w:bookmarkEnd w:id="0"/>
    </w:p>
    <w:p w14:paraId="0C8174EA" w14:textId="77777777" w:rsidR="00724F94" w:rsidRPr="00C41905" w:rsidRDefault="0003018E">
      <w:pPr>
        <w:pStyle w:val="TableTitle"/>
      </w:pPr>
      <w:r w:rsidRPr="00C41905">
        <w:t xml:space="preserve">Table </w:t>
      </w:r>
      <w:r>
        <w:fldChar w:fldCharType="begin"/>
      </w:r>
      <w:r>
        <w:instrText xml:space="preserve"> SEQ Tabela \* ARABIC </w:instrText>
      </w:r>
      <w:r>
        <w:fldChar w:fldCharType="separate"/>
      </w:r>
      <w:r w:rsidRPr="00C41905">
        <w:t>1</w:t>
      </w:r>
      <w:r>
        <w:fldChar w:fldCharType="end"/>
      </w:r>
      <w:r w:rsidRPr="00C41905">
        <w:tab/>
        <w:t xml:space="preserve"> </w:t>
      </w:r>
    </w:p>
    <w:tbl>
      <w:tblPr>
        <w:tblStyle w:val="TableGrid"/>
        <w:tblW w:w="14175" w:type="dxa"/>
        <w:tblInd w:w="-5" w:type="dxa"/>
        <w:shd w:val="clear" w:color="auto" w:fill="FFFFFF"/>
        <w:tblLayout w:type="fixed"/>
        <w:tblCellMar>
          <w:top w:w="80" w:type="dxa"/>
          <w:left w:w="120" w:type="dxa"/>
          <w:bottom w:w="80" w:type="dxa"/>
          <w:right w:w="120" w:type="dxa"/>
        </w:tblCellMar>
        <w:tblLook w:val="04A0" w:firstRow="1" w:lastRow="0" w:firstColumn="1" w:lastColumn="0" w:noHBand="0" w:noVBand="1"/>
      </w:tblPr>
      <w:tblGrid>
        <w:gridCol w:w="3261"/>
        <w:gridCol w:w="4110"/>
        <w:gridCol w:w="6804"/>
      </w:tblGrid>
      <w:tr w:rsidR="00724F94" w:rsidRPr="00C41905" w14:paraId="50540220" w14:textId="77777777" w:rsidTr="00724F94">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tcPr>
          <w:p w14:paraId="5D6EF90B" w14:textId="77777777" w:rsidR="00724F94" w:rsidRPr="00C41905" w:rsidRDefault="0003018E" w:rsidP="00B9241D">
            <w:pPr>
              <w:pStyle w:val="FRABodyText"/>
            </w:pPr>
            <w:r w:rsidRPr="00C41905">
              <w:t>Indicator</w:t>
            </w:r>
          </w:p>
          <w:p w14:paraId="0554F224" w14:textId="77777777" w:rsidR="00724F94" w:rsidRPr="00C41905" w:rsidRDefault="00724F94" w:rsidP="00B9241D">
            <w:pPr>
              <w:pStyle w:val="FRABodyText"/>
            </w:pPr>
          </w:p>
        </w:tc>
        <w:tc>
          <w:tcPr>
            <w:tcW w:w="4110"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tcPr>
          <w:p w14:paraId="26DA0C12" w14:textId="77777777" w:rsidR="00724F94" w:rsidRPr="00744F1D" w:rsidRDefault="0003018E" w:rsidP="00B9241D">
            <w:pPr>
              <w:pStyle w:val="FRABodyText"/>
              <w:rPr>
                <w:b w:val="0"/>
                <w:lang w:val="en-US"/>
              </w:rPr>
            </w:pPr>
            <w:r w:rsidRPr="00744F1D">
              <w:rPr>
                <w:lang w:val="en-US"/>
              </w:rPr>
              <w:t>Answer</w:t>
            </w:r>
          </w:p>
          <w:p w14:paraId="160DE2D6" w14:textId="77777777" w:rsidR="00724F94" w:rsidRPr="00744F1D" w:rsidRDefault="0003018E" w:rsidP="00B9241D">
            <w:pPr>
              <w:pStyle w:val="FRABodyText"/>
              <w:rPr>
                <w:lang w:val="en-US"/>
              </w:rPr>
            </w:pPr>
            <w:r w:rsidRPr="00744F1D">
              <w:rPr>
                <w:lang w:val="en-US"/>
              </w:rPr>
              <w:t>(Choose one of the answers provided below)</w:t>
            </w:r>
          </w:p>
        </w:tc>
        <w:tc>
          <w:tcPr>
            <w:tcW w:w="6804"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tcPr>
          <w:p w14:paraId="2DC3EC7B" w14:textId="77777777" w:rsidR="00724F94" w:rsidRPr="00744F1D" w:rsidRDefault="0003018E" w:rsidP="00B9241D">
            <w:pPr>
              <w:pStyle w:val="FRABodyText"/>
              <w:rPr>
                <w:lang w:val="en-US"/>
              </w:rPr>
            </w:pPr>
            <w:r w:rsidRPr="00744F1D">
              <w:rPr>
                <w:lang w:val="en-US"/>
              </w:rPr>
              <w:t xml:space="preserve">Source and brief description/assessment </w:t>
            </w:r>
          </w:p>
        </w:tc>
      </w:tr>
      <w:tr w:rsidR="00724F94" w:rsidRPr="00C41905" w14:paraId="7AC2300D"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41E25E7D" w14:textId="77777777" w:rsidR="00724F94" w:rsidRPr="00744F1D" w:rsidRDefault="0003018E" w:rsidP="00B9241D">
            <w:pPr>
              <w:pStyle w:val="FRABodyText"/>
              <w:rPr>
                <w:lang w:val="en-US"/>
              </w:rPr>
            </w:pPr>
            <w:r w:rsidRPr="00744F1D">
              <w:rPr>
                <w:lang w:val="en-US"/>
              </w:rPr>
              <w:t>Do national disability strategies include political participation?</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244FCB96" w14:textId="77777777" w:rsidR="00724F94" w:rsidRPr="00744F1D" w:rsidRDefault="0003018E" w:rsidP="00B9241D">
            <w:pPr>
              <w:pStyle w:val="FRABodyText"/>
              <w:rPr>
                <w:lang w:val="en-US"/>
              </w:rPr>
            </w:pPr>
            <w:r w:rsidRPr="00744F1D">
              <w:rPr>
                <w:lang w:val="en-US"/>
              </w:rPr>
              <w:t>National disability strategies specifically address political participation</w:t>
            </w:r>
          </w:p>
          <w:p w14:paraId="2441FBBB" w14:textId="77777777" w:rsidR="00724F94" w:rsidRPr="00744F1D" w:rsidRDefault="00724F94" w:rsidP="00B9241D">
            <w:pPr>
              <w:pStyle w:val="FRABodyText"/>
              <w:rPr>
                <w:lang w:val="en-US"/>
              </w:rPr>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1262FE4B" w14:textId="052F5AC2" w:rsidR="00724F94" w:rsidRPr="00744F1D" w:rsidRDefault="0003018E" w:rsidP="00B9241D">
            <w:pPr>
              <w:pStyle w:val="FRABodyText"/>
              <w:rPr>
                <w:lang w:val="en-US"/>
              </w:rPr>
            </w:pPr>
            <w:r w:rsidRPr="00744F1D">
              <w:rPr>
                <w:lang w:val="en-US"/>
              </w:rPr>
              <w:t>The Portuguese National Strategy for the Inclusion of Disabled People 2021-202</w:t>
            </w:r>
            <w:r w:rsidR="00131FBE" w:rsidRPr="00744F1D">
              <w:rPr>
                <w:lang w:val="en-US"/>
              </w:rPr>
              <w:t>5</w:t>
            </w:r>
            <w:r w:rsidR="00131FBE" w:rsidRPr="00C41905">
              <w:rPr>
                <w:rStyle w:val="FootnoteReference"/>
                <w:lang w:val="en-GB"/>
              </w:rPr>
              <w:footnoteReference w:id="1"/>
            </w:r>
            <w:r w:rsidR="00131FBE" w:rsidRPr="00744F1D">
              <w:rPr>
                <w:lang w:val="en-US"/>
              </w:rPr>
              <w:t xml:space="preserve"> </w:t>
            </w:r>
            <w:r w:rsidRPr="00744F1D">
              <w:rPr>
                <w:lang w:val="en-US"/>
              </w:rPr>
              <w:t xml:space="preserve">includes, in the first axis - Citizenship, Equality and Non-discrimination, the specific objective of “1.2 Deepen the conditions for exercising the rights of disabled people, eliminating factors of discrimination and promoting positive differentiation measures”. The defined measures or actions include: to implement accessible voting (first electoral act with accessible voting scheduled for 2024), to promote awareness-raising actions with political parties to disseminate political propaganda in an accessible format, and to ensure that electoral acts published in media bodies within the public service obligation are in an accessible format.  </w:t>
            </w:r>
          </w:p>
        </w:tc>
      </w:tr>
      <w:tr w:rsidR="00724F94" w:rsidRPr="00C41905" w14:paraId="28E2F4C9"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6BA5465" w14:textId="77777777" w:rsidR="00724F94" w:rsidRPr="00744F1D" w:rsidRDefault="0003018E" w:rsidP="00B9241D">
            <w:pPr>
              <w:pStyle w:val="FRABodyText"/>
              <w:rPr>
                <w:lang w:val="en-US"/>
              </w:rPr>
            </w:pPr>
            <w:r w:rsidRPr="00744F1D">
              <w:rPr>
                <w:lang w:val="en-US"/>
              </w:rPr>
              <w:lastRenderedPageBreak/>
              <w:t xml:space="preserve">Can persons deprived of legal capacity vote? </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354448EF" w14:textId="77777777" w:rsidR="00724F94" w:rsidRPr="00C41905" w:rsidRDefault="0003018E" w:rsidP="00B9241D">
            <w:pPr>
              <w:pStyle w:val="FRABodyText"/>
            </w:pPr>
            <w:r w:rsidRPr="00C41905">
              <w:t>Exclusion</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17AED30A" w14:textId="4784D39D" w:rsidR="00724F94" w:rsidRPr="00744F1D" w:rsidRDefault="0003018E" w:rsidP="00B9241D">
            <w:pPr>
              <w:pStyle w:val="FRABodyText"/>
              <w:rPr>
                <w:lang w:val="en-US"/>
              </w:rPr>
            </w:pPr>
            <w:r w:rsidRPr="00744F1D">
              <w:rPr>
                <w:lang w:val="en-US"/>
              </w:rPr>
              <w:t>The Constitution of the Portuguese Republic</w:t>
            </w:r>
            <w:r w:rsidR="00131FBE" w:rsidRPr="00C41905">
              <w:rPr>
                <w:rStyle w:val="FootnoteReference"/>
                <w:lang w:val="en-GB"/>
              </w:rPr>
              <w:footnoteReference w:id="2"/>
            </w:r>
            <w:r w:rsidRPr="00744F1D">
              <w:rPr>
                <w:lang w:val="en-US"/>
              </w:rPr>
              <w:t xml:space="preserve"> defines in article 49</w:t>
            </w:r>
            <w:r w:rsidR="007976AF" w:rsidRPr="00744F1D">
              <w:rPr>
                <w:lang w:val="en-US"/>
              </w:rPr>
              <w:t xml:space="preserve"> (</w:t>
            </w:r>
            <w:r w:rsidRPr="00744F1D">
              <w:rPr>
                <w:lang w:val="en-US"/>
              </w:rPr>
              <w:t>“Right to suffrage”</w:t>
            </w:r>
            <w:r w:rsidR="007976AF" w:rsidRPr="00744F1D">
              <w:rPr>
                <w:lang w:val="en-US"/>
              </w:rPr>
              <w:t xml:space="preserve">) </w:t>
            </w:r>
            <w:r w:rsidRPr="00744F1D">
              <w:rPr>
                <w:lang w:val="en-US"/>
              </w:rPr>
              <w:t>that: “All citizens over the age of eighteen have the right to vote, except for impairments provided for in general law”</w:t>
            </w:r>
            <w:r w:rsidR="00C80D49" w:rsidRPr="00744F1D">
              <w:rPr>
                <w:lang w:val="en-US"/>
              </w:rPr>
              <w:t>.</w:t>
            </w:r>
            <w:r w:rsidRPr="00744F1D">
              <w:rPr>
                <w:lang w:val="en-US"/>
              </w:rPr>
              <w:t xml:space="preserve"> </w:t>
            </w:r>
            <w:r w:rsidR="00673A07" w:rsidRPr="00744F1D">
              <w:rPr>
                <w:lang w:val="en-US"/>
              </w:rPr>
              <w:t xml:space="preserve">Therefore, the </w:t>
            </w:r>
            <w:r w:rsidR="00986F1A" w:rsidRPr="00744F1D">
              <w:rPr>
                <w:lang w:val="en-US"/>
              </w:rPr>
              <w:t>laws regulating the different types of electoral acts</w:t>
            </w:r>
            <w:r w:rsidR="00673A07" w:rsidRPr="00744F1D">
              <w:rPr>
                <w:lang w:val="en-US"/>
              </w:rPr>
              <w:t xml:space="preserve"> establish rules on electoral capacity.</w:t>
            </w:r>
            <w:r w:rsidR="001E2649" w:rsidRPr="00744F1D">
              <w:rPr>
                <w:lang w:val="en-US"/>
              </w:rPr>
              <w:t xml:space="preserve"> </w:t>
            </w:r>
            <w:r w:rsidR="00AD1093" w:rsidRPr="00744F1D">
              <w:rPr>
                <w:lang w:val="en-US"/>
              </w:rPr>
              <w:t xml:space="preserve">Generally, </w:t>
            </w:r>
            <w:r w:rsidR="005868D7" w:rsidRPr="00744F1D">
              <w:rPr>
                <w:lang w:val="en-US"/>
              </w:rPr>
              <w:t xml:space="preserve">these rules estipulate that </w:t>
            </w:r>
            <w:r w:rsidR="00933CE7" w:rsidRPr="00744F1D">
              <w:rPr>
                <w:lang w:val="en-US"/>
              </w:rPr>
              <w:t xml:space="preserve">those who have a notorious limitation or serious alteration of their mental functions, </w:t>
            </w:r>
            <w:r w:rsidR="000317EA" w:rsidRPr="00744F1D">
              <w:rPr>
                <w:lang w:val="en-US"/>
              </w:rPr>
              <w:t xml:space="preserve">even if not subject to monitoring, when admitted to a psychiatric establishment or declared as such by a panel of two medical doctors, and those </w:t>
            </w:r>
            <w:r w:rsidR="00933CE7" w:rsidRPr="00744F1D">
              <w:rPr>
                <w:lang w:val="en-US"/>
              </w:rPr>
              <w:t>who have been deprived of their political rights by a</w:t>
            </w:r>
            <w:r w:rsidR="000317EA" w:rsidRPr="00744F1D">
              <w:rPr>
                <w:lang w:val="en-US"/>
              </w:rPr>
              <w:t xml:space="preserve"> final</w:t>
            </w:r>
            <w:r w:rsidR="00933CE7" w:rsidRPr="00744F1D">
              <w:rPr>
                <w:lang w:val="en-US"/>
              </w:rPr>
              <w:t xml:space="preserve"> </w:t>
            </w:r>
            <w:r w:rsidR="000317EA" w:rsidRPr="00744F1D">
              <w:rPr>
                <w:lang w:val="en-US"/>
              </w:rPr>
              <w:t>judicial decision</w:t>
            </w:r>
            <w:r w:rsidR="008601E4" w:rsidRPr="00744F1D">
              <w:rPr>
                <w:lang w:val="en-US"/>
              </w:rPr>
              <w:t>,</w:t>
            </w:r>
            <w:r w:rsidR="000317EA" w:rsidRPr="00744F1D">
              <w:rPr>
                <w:lang w:val="en-US"/>
              </w:rPr>
              <w:t xml:space="preserve"> cannot vote. </w:t>
            </w:r>
          </w:p>
        </w:tc>
      </w:tr>
      <w:tr w:rsidR="00724F94" w:rsidRPr="00C41905" w14:paraId="21ACEE12"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25D587CE" w14:textId="77777777" w:rsidR="00724F94" w:rsidRPr="00744F1D" w:rsidRDefault="0003018E" w:rsidP="00B9241D">
            <w:pPr>
              <w:pStyle w:val="FRABodyText"/>
              <w:rPr>
                <w:lang w:val="en-US"/>
              </w:rPr>
            </w:pPr>
            <w:r w:rsidRPr="00744F1D">
              <w:rPr>
                <w:lang w:val="en-US"/>
              </w:rPr>
              <w:t>Is there a requirement under law to register to vote?</w:t>
            </w:r>
          </w:p>
          <w:p w14:paraId="0BC7B9F0" w14:textId="77777777" w:rsidR="00724F94" w:rsidRPr="00744F1D" w:rsidRDefault="00724F94" w:rsidP="00B9241D">
            <w:pPr>
              <w:pStyle w:val="FRABodyText"/>
              <w:rPr>
                <w:lang w:val="en-US"/>
              </w:rPr>
            </w:pP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834E656" w14:textId="77777777" w:rsidR="00724F94" w:rsidRPr="00C41905" w:rsidRDefault="0003018E" w:rsidP="00B9241D">
            <w:pPr>
              <w:pStyle w:val="FRABodyText"/>
            </w:pPr>
            <w:r w:rsidRPr="00C41905">
              <w:t>Yes, for non-nationals</w:t>
            </w:r>
          </w:p>
          <w:p w14:paraId="707522EB" w14:textId="77777777" w:rsidR="00724F94" w:rsidRPr="00C41905" w:rsidRDefault="00724F94" w:rsidP="00B9241D">
            <w:pPr>
              <w:pStyle w:val="FRABodyText"/>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44984C1E" w14:textId="4BF212DF" w:rsidR="00724F94" w:rsidRPr="00744F1D" w:rsidRDefault="0003018E" w:rsidP="00B9241D">
            <w:pPr>
              <w:pStyle w:val="FRABodyText"/>
              <w:rPr>
                <w:lang w:val="en-US"/>
              </w:rPr>
            </w:pPr>
            <w:r w:rsidRPr="00744F1D">
              <w:rPr>
                <w:lang w:val="en-US"/>
              </w:rPr>
              <w:t xml:space="preserve">The </w:t>
            </w:r>
            <w:r w:rsidR="000C4D52" w:rsidRPr="00744F1D">
              <w:rPr>
                <w:lang w:val="en-US"/>
              </w:rPr>
              <w:t>L</w:t>
            </w:r>
            <w:r w:rsidRPr="00744F1D">
              <w:rPr>
                <w:lang w:val="en-US"/>
              </w:rPr>
              <w:t xml:space="preserve">egal </w:t>
            </w:r>
            <w:r w:rsidR="000C4D52" w:rsidRPr="00744F1D">
              <w:rPr>
                <w:lang w:val="en-US"/>
              </w:rPr>
              <w:t>R</w:t>
            </w:r>
            <w:r w:rsidRPr="00744F1D">
              <w:rPr>
                <w:lang w:val="en-US"/>
              </w:rPr>
              <w:t>egime</w:t>
            </w:r>
            <w:r w:rsidR="000C4D52" w:rsidRPr="00744F1D">
              <w:rPr>
                <w:lang w:val="en-US"/>
              </w:rPr>
              <w:t xml:space="preserve"> for Voter Registration</w:t>
            </w:r>
            <w:r w:rsidR="000317EA" w:rsidRPr="00C41905">
              <w:rPr>
                <w:rStyle w:val="FootnoteReference"/>
                <w:lang w:val="en-GB"/>
              </w:rPr>
              <w:footnoteReference w:id="3"/>
            </w:r>
            <w:r w:rsidR="000C4D52" w:rsidRPr="00744F1D">
              <w:rPr>
                <w:lang w:val="en-US"/>
              </w:rPr>
              <w:t>,</w:t>
            </w:r>
            <w:r w:rsidRPr="00744F1D">
              <w:rPr>
                <w:shd w:val="clear" w:color="auto" w:fill="FDFDFD"/>
                <w:lang w:val="en-US"/>
              </w:rPr>
              <w:t xml:space="preserve"> defines in </w:t>
            </w:r>
            <w:r w:rsidR="000C4D52" w:rsidRPr="00744F1D">
              <w:rPr>
                <w:shd w:val="clear" w:color="auto" w:fill="FDFDFD"/>
                <w:lang w:val="en-US"/>
              </w:rPr>
              <w:t xml:space="preserve">its </w:t>
            </w:r>
            <w:r w:rsidRPr="00744F1D">
              <w:rPr>
                <w:shd w:val="clear" w:color="auto" w:fill="FDFDFD"/>
                <w:lang w:val="en-US"/>
              </w:rPr>
              <w:t>article</w:t>
            </w:r>
            <w:r w:rsidR="000C4D52" w:rsidRPr="00744F1D">
              <w:rPr>
                <w:shd w:val="clear" w:color="auto" w:fill="FDFDFD"/>
                <w:lang w:val="en-US"/>
              </w:rPr>
              <w:t xml:space="preserve"> </w:t>
            </w:r>
            <w:r w:rsidRPr="00744F1D">
              <w:rPr>
                <w:shd w:val="clear" w:color="auto" w:fill="FDFDFD"/>
                <w:lang w:val="en-US"/>
              </w:rPr>
              <w:t>3 that “All national citizens, over 17 years of age, are unofficially and automatically registered in the electoral registration database,[…]” and in article 4 that “The census is voluntary for: a) National citizens residing abroad, without prejudice to their unofficial registration in the census under the terms defined by law; b) Citizens of the European Union, not nationals of the Portuguese State, resident in Portugal; c) National citizens of Portuguese-speaking countries, residing in Portugal; d) Other foreign citizens residing in Portugal.”</w:t>
            </w:r>
          </w:p>
        </w:tc>
      </w:tr>
      <w:tr w:rsidR="00724F94" w:rsidRPr="00C41905" w14:paraId="7D9B898F"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235F3D9" w14:textId="77777777" w:rsidR="00724F94" w:rsidRPr="00744F1D" w:rsidRDefault="0003018E" w:rsidP="00B9241D">
            <w:pPr>
              <w:pStyle w:val="FRABodyText"/>
              <w:rPr>
                <w:lang w:val="en-US"/>
              </w:rPr>
            </w:pPr>
            <w:r w:rsidRPr="00744F1D">
              <w:rPr>
                <w:lang w:val="en-US"/>
              </w:rPr>
              <w:lastRenderedPageBreak/>
              <w:t>Are alternative ways of voting available to persons with disabilities?</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6AD86DFF" w14:textId="77777777" w:rsidR="00724F94" w:rsidRPr="00C41905" w:rsidRDefault="0003018E" w:rsidP="00B9241D">
            <w:pPr>
              <w:pStyle w:val="FRABodyText"/>
            </w:pPr>
            <w:r w:rsidRPr="00C41905">
              <w:t xml:space="preserve">Yes, disability-specific alternatives </w:t>
            </w:r>
          </w:p>
          <w:p w14:paraId="0C00C940" w14:textId="77777777" w:rsidR="00724F94" w:rsidRPr="00C41905" w:rsidRDefault="00724F94" w:rsidP="00B9241D">
            <w:pPr>
              <w:pStyle w:val="FRABodyText"/>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3B90899A" w14:textId="37A8FABA" w:rsidR="00724F94" w:rsidRPr="00744F1D" w:rsidRDefault="0003018E" w:rsidP="00B9241D">
            <w:pPr>
              <w:pStyle w:val="FRABodyText"/>
              <w:rPr>
                <w:lang w:val="en-US"/>
              </w:rPr>
            </w:pPr>
            <w:r w:rsidRPr="00744F1D">
              <w:rPr>
                <w:lang w:val="en-US"/>
              </w:rPr>
              <w:t xml:space="preserve">The legal system does establish alternative ways of voting. </w:t>
            </w:r>
            <w:r w:rsidR="001A735C" w:rsidRPr="00744F1D">
              <w:rPr>
                <w:lang w:val="en-US"/>
              </w:rPr>
              <w:t>The</w:t>
            </w:r>
            <w:r w:rsidRPr="00744F1D">
              <w:rPr>
                <w:lang w:val="en-US"/>
              </w:rPr>
              <w:t xml:space="preserve"> laws regulating the elections </w:t>
            </w:r>
            <w:r w:rsidR="001A735C" w:rsidRPr="00744F1D">
              <w:rPr>
                <w:lang w:val="en-US"/>
              </w:rPr>
              <w:t>for</w:t>
            </w:r>
            <w:r w:rsidRPr="00744F1D">
              <w:rPr>
                <w:lang w:val="en-US"/>
              </w:rPr>
              <w:t xml:space="preserve"> President of the Republic (article 74 (5) of Decree-Law 319-A/76</w:t>
            </w:r>
            <w:r w:rsidR="00796A97" w:rsidRPr="00C41905">
              <w:rPr>
                <w:rStyle w:val="FootnoteReference"/>
                <w:lang w:val="en-GB"/>
              </w:rPr>
              <w:footnoteReference w:id="4"/>
            </w:r>
            <w:r w:rsidRPr="00744F1D">
              <w:rPr>
                <w:lang w:val="en-US"/>
              </w:rPr>
              <w:t xml:space="preserve">), </w:t>
            </w:r>
            <w:r w:rsidR="00681752" w:rsidRPr="00744F1D">
              <w:rPr>
                <w:lang w:val="en-US"/>
              </w:rPr>
              <w:t>Parliament</w:t>
            </w:r>
            <w:r w:rsidRPr="00744F1D">
              <w:rPr>
                <w:lang w:val="en-US"/>
              </w:rPr>
              <w:t xml:space="preserve"> (article 97 (5) of Law 14/79</w:t>
            </w:r>
            <w:r w:rsidR="008667F1" w:rsidRPr="00C41905">
              <w:rPr>
                <w:rStyle w:val="FootnoteReference"/>
                <w:lang w:val="en-GB"/>
              </w:rPr>
              <w:footnoteReference w:id="5"/>
            </w:r>
            <w:r w:rsidRPr="00744F1D">
              <w:rPr>
                <w:lang w:val="en-US"/>
              </w:rPr>
              <w:t xml:space="preserve">) and Local Authorities (article 116 (2) </w:t>
            </w:r>
            <w:r w:rsidRPr="00C41905">
              <w:rPr>
                <w:rStyle w:val="LigaodeInternet"/>
                <w:color w:val="auto"/>
                <w:u w:val="none"/>
                <w:lang w:val="en-GB"/>
              </w:rPr>
              <w:t>Organic Law 1/2001</w:t>
            </w:r>
            <w:r w:rsidR="00E41085" w:rsidRPr="00C41905">
              <w:rPr>
                <w:rStyle w:val="FootnoteReference"/>
                <w:lang w:val="en-GB"/>
              </w:rPr>
              <w:footnoteReference w:id="6"/>
            </w:r>
            <w:r w:rsidRPr="00C41905">
              <w:rPr>
                <w:rStyle w:val="LigaodeInternet"/>
                <w:color w:val="auto"/>
                <w:u w:val="none"/>
                <w:lang w:val="en-GB"/>
              </w:rPr>
              <w:t xml:space="preserve">), </w:t>
            </w:r>
            <w:r w:rsidRPr="00744F1D">
              <w:rPr>
                <w:lang w:val="en-US"/>
              </w:rPr>
              <w:t>establish that voters with visually impairment, an illness</w:t>
            </w:r>
            <w:r w:rsidR="00E41085" w:rsidRPr="00744F1D">
              <w:rPr>
                <w:lang w:val="en-US"/>
              </w:rPr>
              <w:t>,</w:t>
            </w:r>
            <w:r w:rsidRPr="00744F1D">
              <w:rPr>
                <w:lang w:val="en-US"/>
              </w:rPr>
              <w:t xml:space="preserve"> or a notorious physical impairment</w:t>
            </w:r>
            <w:r w:rsidR="001A735C" w:rsidRPr="00744F1D">
              <w:rPr>
                <w:lang w:val="en-US"/>
              </w:rPr>
              <w:t>,</w:t>
            </w:r>
            <w:r w:rsidRPr="00744F1D">
              <w:rPr>
                <w:lang w:val="en-US"/>
              </w:rPr>
              <w:t xml:space="preserve"> </w:t>
            </w:r>
            <w:r w:rsidR="003C3DDC" w:rsidRPr="00744F1D">
              <w:rPr>
                <w:lang w:val="en-US"/>
              </w:rPr>
              <w:t>that enables them</w:t>
            </w:r>
            <w:r w:rsidRPr="00744F1D">
              <w:rPr>
                <w:lang w:val="en-US"/>
              </w:rPr>
              <w:t xml:space="preserve"> to exercise voting procedures established</w:t>
            </w:r>
            <w:r w:rsidR="003C3DDC" w:rsidRPr="00744F1D">
              <w:rPr>
                <w:lang w:val="en-US"/>
              </w:rPr>
              <w:t xml:space="preserve"> by law by themselves</w:t>
            </w:r>
            <w:r w:rsidRPr="00744F1D">
              <w:rPr>
                <w:lang w:val="en-US"/>
              </w:rPr>
              <w:t>, have the right to choose a person to assist them. The polling station may require a certificate proving the impossibility of voting that needs to be obtained in advance of election day at a Public Health Unit.</w:t>
            </w:r>
          </w:p>
          <w:p w14:paraId="7C37A400" w14:textId="69FDCFBC" w:rsidR="00724F94" w:rsidRPr="00744F1D" w:rsidRDefault="0003018E" w:rsidP="00B9241D">
            <w:pPr>
              <w:pStyle w:val="FRABodyText"/>
              <w:rPr>
                <w:lang w:val="en-US"/>
              </w:rPr>
            </w:pPr>
            <w:r w:rsidRPr="00744F1D">
              <w:rPr>
                <w:lang w:val="en-US"/>
              </w:rPr>
              <w:t xml:space="preserve">Still regarding visually impaired voters, </w:t>
            </w:r>
            <w:r w:rsidRPr="00C41905">
              <w:rPr>
                <w:rStyle w:val="LigaodeInternet"/>
                <w:color w:val="auto"/>
                <w:u w:val="none"/>
                <w:lang w:val="en-GB"/>
              </w:rPr>
              <w:t>Organic Law 3/2018</w:t>
            </w:r>
            <w:r w:rsidR="003C3DDC" w:rsidRPr="00C41905">
              <w:rPr>
                <w:rStyle w:val="FootnoteReference"/>
                <w:lang w:val="en-GB"/>
              </w:rPr>
              <w:footnoteReference w:id="7"/>
            </w:r>
            <w:r w:rsidRPr="00744F1D">
              <w:rPr>
                <w:lang w:val="en-US"/>
              </w:rPr>
              <w:t xml:space="preserve"> established the creation of a voting matrix in Braille</w:t>
            </w:r>
            <w:r w:rsidR="007B0B27" w:rsidRPr="00744F1D">
              <w:rPr>
                <w:lang w:val="en-US"/>
              </w:rPr>
              <w:t xml:space="preserve"> (article 86 </w:t>
            </w:r>
            <w:r w:rsidR="007B0B27" w:rsidRPr="00744F1D">
              <w:rPr>
                <w:lang w:val="en-US"/>
              </w:rPr>
              <w:lastRenderedPageBreak/>
              <w:t>(4))</w:t>
            </w:r>
            <w:r w:rsidRPr="00744F1D">
              <w:rPr>
                <w:lang w:val="en-US"/>
              </w:rPr>
              <w:t>. Braille vote was made available for the legislative, European and presidential elections</w:t>
            </w:r>
            <w:r w:rsidR="007B0B27" w:rsidRPr="00C41905">
              <w:rPr>
                <w:rStyle w:val="FootnoteReference"/>
                <w:lang w:val="en-GB"/>
              </w:rPr>
              <w:footnoteReference w:id="8"/>
            </w:r>
            <w:r w:rsidRPr="00744F1D">
              <w:rPr>
                <w:lang w:val="en-US"/>
              </w:rPr>
              <w:t xml:space="preserve">. This option is still not available in the elections to the local authorities. </w:t>
            </w:r>
          </w:p>
        </w:tc>
      </w:tr>
      <w:tr w:rsidR="00724F94" w:rsidRPr="00C41905" w14:paraId="37C66401"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52F93300" w14:textId="77777777" w:rsidR="00724F94" w:rsidRPr="00744F1D" w:rsidRDefault="0003018E" w:rsidP="00B9241D">
            <w:pPr>
              <w:pStyle w:val="FRABodyText"/>
              <w:rPr>
                <w:lang w:val="en-US"/>
              </w:rPr>
            </w:pPr>
            <w:r w:rsidRPr="00744F1D">
              <w:rPr>
                <w:lang w:val="en-US"/>
              </w:rPr>
              <w:lastRenderedPageBreak/>
              <w:t>Is there legislation regulating how people living in long-term institutions may vote?</w:t>
            </w:r>
          </w:p>
          <w:p w14:paraId="3D26712D" w14:textId="77777777" w:rsidR="00724F94" w:rsidRPr="00744F1D" w:rsidRDefault="00724F94" w:rsidP="00B9241D">
            <w:pPr>
              <w:pStyle w:val="FRABodyText"/>
              <w:rPr>
                <w:lang w:val="en-US"/>
              </w:rPr>
            </w:pP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6D08D97" w14:textId="77777777" w:rsidR="00724F94" w:rsidRPr="00C41905" w:rsidRDefault="0003018E" w:rsidP="00B9241D">
            <w:pPr>
              <w:pStyle w:val="FRABodyText"/>
            </w:pPr>
            <w:r w:rsidRPr="00C41905">
              <w:t xml:space="preserve">No legislative provisions </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51EBB85A" w14:textId="77777777" w:rsidR="00724F94" w:rsidRDefault="0003018E" w:rsidP="00B9241D">
            <w:pPr>
              <w:pStyle w:val="FRABodyText"/>
              <w:rPr>
                <w:lang w:val="en-US"/>
              </w:rPr>
            </w:pPr>
            <w:r w:rsidRPr="00744F1D">
              <w:rPr>
                <w:lang w:val="en-US"/>
              </w:rPr>
              <w:t>Living in a long-term institution does not determine the inability to travel to the polling station, even with the use of special transport, under the same terms applicable to patients bedridden at home</w:t>
            </w:r>
            <w:r w:rsidR="00426B53" w:rsidRPr="00C41905">
              <w:rPr>
                <w:rStyle w:val="FootnoteReference"/>
                <w:lang w:val="en-GB"/>
              </w:rPr>
              <w:footnoteReference w:id="9"/>
            </w:r>
            <w:r w:rsidRPr="00744F1D">
              <w:rPr>
                <w:lang w:val="en-US"/>
              </w:rPr>
              <w:t xml:space="preserve">. </w:t>
            </w:r>
          </w:p>
          <w:p w14:paraId="09D47CDA" w14:textId="6A5E9DC9" w:rsidR="00EF3F60" w:rsidRPr="00744F1D" w:rsidRDefault="00EF3F60" w:rsidP="004D4E84">
            <w:pPr>
              <w:pStyle w:val="FRABodyText"/>
              <w:rPr>
                <w:lang w:val="en-US"/>
              </w:rPr>
            </w:pPr>
            <w:r>
              <w:rPr>
                <w:lang w:val="en-US"/>
              </w:rPr>
              <w:t xml:space="preserve">As an example, for the upcoming elections for the government of the Region of Açores, </w:t>
            </w:r>
            <w:r w:rsidR="00FD0323">
              <w:rPr>
                <w:lang w:val="en-US"/>
              </w:rPr>
              <w:t xml:space="preserve">on February 4, </w:t>
            </w:r>
            <w:r>
              <w:rPr>
                <w:lang w:val="en-US"/>
              </w:rPr>
              <w:t xml:space="preserve">according to the deliberation of the </w:t>
            </w:r>
            <w:r w:rsidRPr="00744F1D">
              <w:rPr>
                <w:lang w:val="en-US"/>
              </w:rPr>
              <w:t xml:space="preserve">National Elections Commission (Comissão Nacional de </w:t>
            </w:r>
            <w:r w:rsidR="00FD0323">
              <w:rPr>
                <w:lang w:val="en-US"/>
              </w:rPr>
              <w:t xml:space="preserve">Eleições - </w:t>
            </w:r>
            <w:r w:rsidRPr="00744F1D">
              <w:rPr>
                <w:lang w:val="en-US"/>
              </w:rPr>
              <w:t>CNE)</w:t>
            </w:r>
            <w:r>
              <w:rPr>
                <w:lang w:val="en-US"/>
              </w:rPr>
              <w:t xml:space="preserve">, it is established that special </w:t>
            </w:r>
            <w:r w:rsidR="00FD0323">
              <w:rPr>
                <w:lang w:val="en-US"/>
              </w:rPr>
              <w:t xml:space="preserve">public </w:t>
            </w:r>
            <w:r>
              <w:rPr>
                <w:lang w:val="en-US"/>
              </w:rPr>
              <w:t xml:space="preserve">transport must be provided, among other cases, for </w:t>
            </w:r>
            <w:r w:rsidR="00FD0323" w:rsidRPr="00FD0323">
              <w:rPr>
                <w:lang w:val="en-US"/>
              </w:rPr>
              <w:t>elderly voters living in nursing homes</w:t>
            </w:r>
            <w:r w:rsidR="00FD0323">
              <w:rPr>
                <w:lang w:val="en-US"/>
              </w:rPr>
              <w:t xml:space="preserve"> or persons with disabilities.</w:t>
            </w:r>
            <w:r w:rsidR="00FD0323">
              <w:rPr>
                <w:rStyle w:val="FootnoteReference"/>
                <w:lang w:val="en-US"/>
              </w:rPr>
              <w:footnoteReference w:id="10"/>
            </w:r>
            <w:r w:rsidR="00FD0323">
              <w:rPr>
                <w:lang w:val="en-US"/>
              </w:rPr>
              <w:t xml:space="preserve"> </w:t>
            </w:r>
            <w:r w:rsidR="004D4E84">
              <w:rPr>
                <w:lang w:val="en-US"/>
              </w:rPr>
              <w:t>The early vote is also possible, upon request, for people that</w:t>
            </w:r>
            <w:r w:rsidR="004D4E84" w:rsidRPr="004D4E84">
              <w:rPr>
                <w:lang w:val="en-US"/>
              </w:rPr>
              <w:t xml:space="preserve"> are hospitalised or presumed to be hospitalised and unable to attend the polling station on election day.</w:t>
            </w:r>
            <w:r w:rsidR="004D4E84">
              <w:rPr>
                <w:rStyle w:val="FootnoteReference"/>
                <w:lang w:val="en-US"/>
              </w:rPr>
              <w:footnoteReference w:id="11"/>
            </w:r>
          </w:p>
        </w:tc>
      </w:tr>
      <w:tr w:rsidR="00724F94" w:rsidRPr="00C41905" w14:paraId="06046560"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50F745AA" w14:textId="77777777" w:rsidR="00724F94" w:rsidRPr="00744F1D" w:rsidRDefault="0003018E" w:rsidP="00B9241D">
            <w:pPr>
              <w:pStyle w:val="FRABodyText"/>
              <w:rPr>
                <w:lang w:val="en-US"/>
              </w:rPr>
            </w:pPr>
            <w:r w:rsidRPr="00744F1D">
              <w:rPr>
                <w:lang w:val="en-US"/>
              </w:rPr>
              <w:lastRenderedPageBreak/>
              <w:t>Is there a legal duty to provide assistance in voting to persons with disabilities?</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393879A7" w14:textId="77777777" w:rsidR="00724F94" w:rsidRPr="00744F1D" w:rsidRDefault="0003018E" w:rsidP="00B9241D">
            <w:pPr>
              <w:pStyle w:val="FRABodyText"/>
              <w:rPr>
                <w:lang w:val="en-US"/>
              </w:rPr>
            </w:pPr>
            <w:r w:rsidRPr="00744F1D">
              <w:rPr>
                <w:lang w:val="en-US"/>
              </w:rPr>
              <w:t xml:space="preserve">Yes, for people with physical and sensory disabilities </w:t>
            </w:r>
          </w:p>
          <w:p w14:paraId="469FCEEA" w14:textId="77777777" w:rsidR="00724F94" w:rsidRPr="00744F1D" w:rsidRDefault="00724F94" w:rsidP="00B9241D">
            <w:pPr>
              <w:pStyle w:val="FRABodyText"/>
              <w:rPr>
                <w:lang w:val="en-US"/>
              </w:rPr>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BD1B947" w14:textId="6CA027FB" w:rsidR="00724F94" w:rsidRPr="00744F1D" w:rsidRDefault="0003018E" w:rsidP="00B9241D">
            <w:pPr>
              <w:pStyle w:val="FRABodyText"/>
              <w:rPr>
                <w:lang w:val="en-US"/>
              </w:rPr>
            </w:pPr>
            <w:r w:rsidRPr="00744F1D">
              <w:rPr>
                <w:lang w:val="en-US"/>
              </w:rPr>
              <w:t xml:space="preserve">As defined by Article 116(2) of the </w:t>
            </w:r>
            <w:r w:rsidRPr="00C41905">
              <w:rPr>
                <w:rStyle w:val="LigaodeInternet"/>
                <w:color w:val="auto"/>
                <w:u w:val="none"/>
                <w:lang w:val="en-GB"/>
              </w:rPr>
              <w:t>Organic Law 1/2001</w:t>
            </w:r>
            <w:r w:rsidR="00426B53" w:rsidRPr="00C41905">
              <w:rPr>
                <w:rStyle w:val="FootnoteReference"/>
                <w:lang w:val="en-GB"/>
              </w:rPr>
              <w:footnoteReference w:id="12"/>
            </w:r>
            <w:r w:rsidRPr="00C41905">
              <w:rPr>
                <w:rStyle w:val="LigaodeInternet"/>
                <w:color w:val="auto"/>
                <w:u w:val="none"/>
                <w:lang w:val="en-GB"/>
              </w:rPr>
              <w:t>,</w:t>
            </w:r>
            <w:r w:rsidR="00426B53" w:rsidRPr="00C41905">
              <w:rPr>
                <w:rStyle w:val="LigaodeInternet"/>
                <w:color w:val="auto"/>
                <w:lang w:val="en-GB"/>
              </w:rPr>
              <w:t xml:space="preserve"> </w:t>
            </w:r>
            <w:r w:rsidRPr="00744F1D">
              <w:rPr>
                <w:lang w:val="en-US"/>
              </w:rPr>
              <w:t>accompanied vote is available to people with an illness or physical impairment unable to perform the act</w:t>
            </w:r>
            <w:r w:rsidR="00426B53" w:rsidRPr="00744F1D">
              <w:rPr>
                <w:lang w:val="en-US"/>
              </w:rPr>
              <w:t xml:space="preserve"> of voting</w:t>
            </w:r>
            <w:r w:rsidRPr="00744F1D">
              <w:rPr>
                <w:lang w:val="en-US"/>
              </w:rPr>
              <w:t xml:space="preserve">. The person has the right to choose the person that will assist </w:t>
            </w:r>
            <w:r w:rsidR="00426B53" w:rsidRPr="00744F1D">
              <w:rPr>
                <w:lang w:val="en-US"/>
              </w:rPr>
              <w:t>him/her</w:t>
            </w:r>
            <w:r w:rsidRPr="00744F1D">
              <w:rPr>
                <w:lang w:val="en-US"/>
              </w:rPr>
              <w:t>. The polling station may require a certificate proving the impossibility of voting that needs to be obtained in advance of election day at a Public Health Unit.</w:t>
            </w:r>
          </w:p>
          <w:p w14:paraId="37BDC391" w14:textId="1DE9E777" w:rsidR="00724F94" w:rsidRPr="00744F1D" w:rsidRDefault="0003018E" w:rsidP="00B9241D">
            <w:pPr>
              <w:pStyle w:val="FRABodyText"/>
              <w:rPr>
                <w:lang w:val="en-US"/>
              </w:rPr>
            </w:pPr>
            <w:r w:rsidRPr="00744F1D">
              <w:rPr>
                <w:lang w:val="en-US"/>
              </w:rPr>
              <w:t xml:space="preserve">As established above, accompanied voting is also possible in the elections </w:t>
            </w:r>
            <w:r w:rsidR="001A735C" w:rsidRPr="00744F1D">
              <w:rPr>
                <w:lang w:val="en-US"/>
              </w:rPr>
              <w:t>for</w:t>
            </w:r>
            <w:r w:rsidRPr="00744F1D">
              <w:rPr>
                <w:lang w:val="en-US"/>
              </w:rPr>
              <w:t xml:space="preserve"> President of the Republic (article 74 of Decree-Law 319-A/76</w:t>
            </w:r>
            <w:r w:rsidR="00426B53" w:rsidRPr="00C41905">
              <w:rPr>
                <w:rStyle w:val="FootnoteReference"/>
                <w:lang w:val="en-GB"/>
              </w:rPr>
              <w:footnoteReference w:id="13"/>
            </w:r>
            <w:r w:rsidRPr="00744F1D">
              <w:rPr>
                <w:lang w:val="en-US"/>
              </w:rPr>
              <w:t xml:space="preserve">) and </w:t>
            </w:r>
            <w:r w:rsidR="00681752" w:rsidRPr="00744F1D">
              <w:rPr>
                <w:lang w:val="en-US"/>
              </w:rPr>
              <w:t>Parliament</w:t>
            </w:r>
            <w:r w:rsidRPr="00744F1D">
              <w:rPr>
                <w:lang w:val="en-US"/>
              </w:rPr>
              <w:t xml:space="preserve"> (article 97 of Law 14/79</w:t>
            </w:r>
            <w:r w:rsidR="00426B53" w:rsidRPr="00C41905">
              <w:rPr>
                <w:rStyle w:val="FootnoteReference"/>
                <w:lang w:val="en-GB"/>
              </w:rPr>
              <w:footnoteReference w:id="14"/>
            </w:r>
            <w:r w:rsidRPr="00744F1D">
              <w:rPr>
                <w:lang w:val="en-US"/>
              </w:rPr>
              <w:t>).</w:t>
            </w:r>
          </w:p>
        </w:tc>
      </w:tr>
      <w:tr w:rsidR="00724F94" w:rsidRPr="00C41905" w14:paraId="7BD78BAC"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1B1C33A" w14:textId="77777777" w:rsidR="00724F94" w:rsidRPr="00744F1D" w:rsidRDefault="0003018E" w:rsidP="00B9241D">
            <w:pPr>
              <w:pStyle w:val="FRABodyText"/>
              <w:rPr>
                <w:lang w:val="en-US"/>
              </w:rPr>
            </w:pPr>
            <w:r w:rsidRPr="00744F1D">
              <w:rPr>
                <w:lang w:val="en-US"/>
              </w:rPr>
              <w:t>Are all persons with disabilities legally able to access complaints mechanisms if they have not been able to exercise the right to political participation?</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279CC4A1" w14:textId="68EC3DFF" w:rsidR="00724F94" w:rsidRPr="00744F1D" w:rsidRDefault="00B91679" w:rsidP="00B9241D">
            <w:pPr>
              <w:pStyle w:val="FRABodyText"/>
              <w:rPr>
                <w:lang w:val="en-US"/>
              </w:rPr>
            </w:pPr>
            <w:r>
              <w:rPr>
                <w:lang w:val="en-US"/>
              </w:rPr>
              <w:t>N</w:t>
            </w:r>
            <w:r w:rsidRPr="00B91679">
              <w:rPr>
                <w:lang w:val="en-US"/>
              </w:rPr>
              <w:t>o, only persons with legal capacity</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D31825F" w14:textId="28AF4ED9" w:rsidR="00DA6694" w:rsidRPr="00744F1D" w:rsidRDefault="0003018E" w:rsidP="00B9241D">
            <w:pPr>
              <w:pStyle w:val="FRABodyText"/>
              <w:rPr>
                <w:lang w:val="en-US"/>
              </w:rPr>
            </w:pPr>
            <w:r w:rsidRPr="00744F1D">
              <w:rPr>
                <w:lang w:val="en-US"/>
              </w:rPr>
              <w:t>Article 121(1) of the</w:t>
            </w:r>
            <w:r w:rsidR="00DA6694" w:rsidRPr="00744F1D">
              <w:rPr>
                <w:rFonts w:ascii="Calibri" w:eastAsia="Times New Roman" w:hAnsi="Calibri" w:cs="Times New Roman"/>
                <w:sz w:val="24"/>
                <w:szCs w:val="20"/>
                <w:lang w:val="en-US" w:eastAsia="en-GB" w:bidi="ar-SA"/>
              </w:rPr>
              <w:t xml:space="preserve"> </w:t>
            </w:r>
            <w:r w:rsidR="00DA6694" w:rsidRPr="00744F1D">
              <w:rPr>
                <w:lang w:val="en-US"/>
              </w:rPr>
              <w:t>Organic Law 1/2001</w:t>
            </w:r>
            <w:r w:rsidR="00DA6694" w:rsidRPr="00C41905">
              <w:rPr>
                <w:vertAlign w:val="superscript"/>
              </w:rPr>
              <w:footnoteReference w:id="15"/>
            </w:r>
            <w:r w:rsidR="00DA6694" w:rsidRPr="00744F1D">
              <w:rPr>
                <w:lang w:val="en-US"/>
              </w:rPr>
              <w:t xml:space="preserve">, establishes that: </w:t>
            </w:r>
            <w:r w:rsidRPr="00744F1D">
              <w:rPr>
                <w:lang w:val="en-US"/>
              </w:rPr>
              <w:t>“In addition to the delegates from the lists competing in the election, any voter registered at the polling station may raise doubts and present a written complaint, protest or counter-protest regarding the electoral operations of the same assembly</w:t>
            </w:r>
            <w:r w:rsidR="00DA6694" w:rsidRPr="00744F1D">
              <w:rPr>
                <w:lang w:val="en-US"/>
              </w:rPr>
              <w:t xml:space="preserve"> (…).</w:t>
            </w:r>
            <w:r w:rsidR="00205B77" w:rsidRPr="00744F1D">
              <w:rPr>
                <w:lang w:val="en-US"/>
              </w:rPr>
              <w:t>”</w:t>
            </w:r>
            <w:r w:rsidRPr="00744F1D">
              <w:rPr>
                <w:lang w:val="en-US"/>
              </w:rPr>
              <w:t xml:space="preserve"> This is also a guarantee established for elections </w:t>
            </w:r>
            <w:r w:rsidR="00205B77" w:rsidRPr="00744F1D">
              <w:rPr>
                <w:lang w:val="en-US"/>
              </w:rPr>
              <w:t>for</w:t>
            </w:r>
            <w:r w:rsidRPr="00744F1D">
              <w:rPr>
                <w:lang w:val="en-US"/>
              </w:rPr>
              <w:t xml:space="preserve"> </w:t>
            </w:r>
            <w:r w:rsidRPr="00744F1D">
              <w:rPr>
                <w:lang w:val="en-US"/>
              </w:rPr>
              <w:lastRenderedPageBreak/>
              <w:t xml:space="preserve">President of the Republic (article 89 of </w:t>
            </w:r>
            <w:r w:rsidR="00DA6694" w:rsidRPr="00744F1D">
              <w:rPr>
                <w:lang w:val="en-US"/>
              </w:rPr>
              <w:t>319-A/76</w:t>
            </w:r>
            <w:r w:rsidR="00DA6694" w:rsidRPr="00C41905">
              <w:rPr>
                <w:rStyle w:val="FootnoteReference"/>
                <w:lang w:val="en-GB"/>
              </w:rPr>
              <w:footnoteReference w:id="16"/>
            </w:r>
            <w:r w:rsidRPr="00744F1D">
              <w:rPr>
                <w:lang w:val="en-US"/>
              </w:rPr>
              <w:t xml:space="preserve">) and </w:t>
            </w:r>
            <w:r w:rsidR="00681752" w:rsidRPr="00744F1D">
              <w:rPr>
                <w:lang w:val="en-US"/>
              </w:rPr>
              <w:t>Parliament</w:t>
            </w:r>
            <w:r w:rsidRPr="00744F1D">
              <w:rPr>
                <w:lang w:val="en-US"/>
              </w:rPr>
              <w:t xml:space="preserve"> (article 99 of </w:t>
            </w:r>
            <w:r w:rsidR="00DA6694" w:rsidRPr="00744F1D">
              <w:rPr>
                <w:rFonts w:ascii="Calibri" w:eastAsia="Times New Roman" w:hAnsi="Calibri" w:cs="Times New Roman"/>
                <w:sz w:val="24"/>
                <w:szCs w:val="20"/>
                <w:lang w:val="en-US" w:eastAsia="en-GB" w:bidi="ar-SA"/>
              </w:rPr>
              <w:t>Law 14/79</w:t>
            </w:r>
            <w:r w:rsidR="00DA6694" w:rsidRPr="00C41905">
              <w:rPr>
                <w:rFonts w:ascii="Calibri" w:eastAsia="Times New Roman" w:hAnsi="Calibri" w:cs="Times New Roman"/>
                <w:sz w:val="24"/>
                <w:szCs w:val="20"/>
                <w:vertAlign w:val="superscript"/>
                <w:lang w:eastAsia="en-GB" w:bidi="ar-SA"/>
              </w:rPr>
              <w:footnoteReference w:id="17"/>
            </w:r>
            <w:r w:rsidRPr="00744F1D">
              <w:rPr>
                <w:lang w:val="en-US"/>
              </w:rPr>
              <w:t>).</w:t>
            </w:r>
          </w:p>
          <w:p w14:paraId="62D96DB4" w14:textId="77777777" w:rsidR="00830307" w:rsidRPr="00744F1D" w:rsidRDefault="0003018E" w:rsidP="00B9241D">
            <w:pPr>
              <w:pStyle w:val="FRABodyText"/>
              <w:rPr>
                <w:lang w:val="en-US"/>
              </w:rPr>
            </w:pPr>
            <w:r w:rsidRPr="00744F1D">
              <w:rPr>
                <w:lang w:val="en-US"/>
              </w:rPr>
              <w:t>Additionally, the National Elections Commission</w:t>
            </w:r>
            <w:r w:rsidR="00371F64" w:rsidRPr="00744F1D">
              <w:rPr>
                <w:lang w:val="en-US"/>
              </w:rPr>
              <w:t xml:space="preserve"> (Comissão Nacional de Eleições)</w:t>
            </w:r>
            <w:r w:rsidR="008A7F18" w:rsidRPr="00744F1D">
              <w:rPr>
                <w:lang w:val="en-US"/>
              </w:rPr>
              <w:t xml:space="preserve"> (CNE), responsible by law, to “</w:t>
            </w:r>
            <w:r w:rsidRPr="00744F1D">
              <w:rPr>
                <w:lang w:val="en-US"/>
              </w:rPr>
              <w:t>ensure equal treatment of citizens in all acts of regist</w:t>
            </w:r>
            <w:r w:rsidR="008A7F18" w:rsidRPr="00744F1D">
              <w:rPr>
                <w:lang w:val="en-US"/>
              </w:rPr>
              <w:t>ration and electoral operations”</w:t>
            </w:r>
            <w:r w:rsidRPr="00744F1D">
              <w:rPr>
                <w:lang w:val="en-US"/>
              </w:rPr>
              <w:t xml:space="preserve"> (article 1 of the CNE Regulations, Deliberation no. 540/2020, of May 5</w:t>
            </w:r>
            <w:r w:rsidRPr="00C41905">
              <w:rPr>
                <w:rStyle w:val="ncoradanotaderodap"/>
                <w:color w:val="auto"/>
                <w:lang w:val="en-GB"/>
              </w:rPr>
              <w:footnoteReference w:id="18"/>
            </w:r>
            <w:r w:rsidRPr="00744F1D">
              <w:rPr>
                <w:lang w:val="en-US"/>
              </w:rPr>
              <w:t>), can be contacted directly to present a complaint, through an online complaint form</w:t>
            </w:r>
            <w:r w:rsidRPr="00C41905">
              <w:rPr>
                <w:rStyle w:val="ncoradanotaderodap"/>
                <w:color w:val="auto"/>
                <w:lang w:val="en-GB"/>
              </w:rPr>
              <w:footnoteReference w:id="19"/>
            </w:r>
            <w:r w:rsidRPr="00744F1D">
              <w:rPr>
                <w:lang w:val="en-US"/>
              </w:rPr>
              <w:t>. At the same time, article 16 of the Deliberation also establishes that complaints can also be submitted to the target entity, which shall send the complaint or report by email within the applicable time limit for the exercise of the adversarial process, accompanied by the originals or authentic copies of the acts, if any, as well as any clarifications or justifications it wishes to provide. It is up to the complainant to transmit to the CNE, for information and control, the content of the complaint or report that they have delivered directly to the entity concerned, whenever possible accompanied by the evidence they have attached.</w:t>
            </w:r>
          </w:p>
          <w:p w14:paraId="03A569C6" w14:textId="2807FC4B" w:rsidR="00830307" w:rsidRPr="00744F1D" w:rsidRDefault="00744F1D" w:rsidP="00B9241D">
            <w:pPr>
              <w:pStyle w:val="FRABodyText"/>
              <w:rPr>
                <w:lang w:val="en-GB"/>
              </w:rPr>
            </w:pPr>
            <w:r w:rsidRPr="00744F1D">
              <w:rPr>
                <w:lang w:val="en-GB"/>
              </w:rPr>
              <w:lastRenderedPageBreak/>
              <w:t>It should be noted that the access can be, however, restricted. Law 49/2018</w:t>
            </w:r>
            <w:r w:rsidR="00595BA8">
              <w:rPr>
                <w:rStyle w:val="FootnoteReference"/>
                <w:lang w:val="en-GB"/>
              </w:rPr>
              <w:footnoteReference w:id="20"/>
            </w:r>
            <w:r w:rsidRPr="00744F1D">
              <w:rPr>
                <w:lang w:val="en-GB"/>
              </w:rPr>
              <w:t>, that created the legal regime for accompanied adults, foresees that any accompanying measures, including measures that restricts the legal capacity of the person, have to be decided by a judge (Articles 139(1) and 145). Therefore, the level of restrictions applied in each case depends on the judicial decision.</w:t>
            </w:r>
          </w:p>
        </w:tc>
      </w:tr>
      <w:tr w:rsidR="00724F94" w:rsidRPr="00C41905" w14:paraId="19D0EA63"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17162EE9" w14:textId="77777777" w:rsidR="00724F94" w:rsidRPr="00744F1D" w:rsidRDefault="0003018E" w:rsidP="00B9241D">
            <w:pPr>
              <w:pStyle w:val="FRABodyText"/>
              <w:rPr>
                <w:lang w:val="en-US"/>
              </w:rPr>
            </w:pPr>
            <w:r w:rsidRPr="00744F1D">
              <w:rPr>
                <w:lang w:val="en-US"/>
              </w:rPr>
              <w:lastRenderedPageBreak/>
              <w:t>Is information on complaints mechanisms regarding political participation accessible to persons with disabilities?</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49126A00" w14:textId="77777777" w:rsidR="00724F94" w:rsidRPr="00744F1D" w:rsidRDefault="0003018E" w:rsidP="00B9241D">
            <w:pPr>
              <w:pStyle w:val="FRABodyText"/>
              <w:rPr>
                <w:lang w:val="en-US"/>
              </w:rPr>
            </w:pPr>
            <w:r w:rsidRPr="00744F1D">
              <w:rPr>
                <w:lang w:val="en-US"/>
              </w:rPr>
              <w:t xml:space="preserve">Partially – some accessibility measures are in place  </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6279552B" w14:textId="3EFB2479" w:rsidR="00724F94" w:rsidRPr="00744F1D" w:rsidRDefault="0003018E" w:rsidP="00B9241D">
            <w:pPr>
              <w:pStyle w:val="FRABodyText"/>
              <w:rPr>
                <w:lang w:val="en-US"/>
              </w:rPr>
            </w:pPr>
            <w:r w:rsidRPr="00744F1D">
              <w:rPr>
                <w:lang w:val="en-US"/>
              </w:rPr>
              <w:t xml:space="preserve">According to the CNE, consulted for this report, in all electoral acts, the CNE sends posters to all polling stations for display, which </w:t>
            </w:r>
            <w:r w:rsidR="009A5D11" w:rsidRPr="00744F1D">
              <w:rPr>
                <w:lang w:val="en-US"/>
              </w:rPr>
              <w:t>publicize</w:t>
            </w:r>
            <w:r w:rsidRPr="00744F1D">
              <w:rPr>
                <w:lang w:val="en-US"/>
              </w:rPr>
              <w:t xml:space="preserve"> the existence of models to</w:t>
            </w:r>
            <w:r w:rsidR="004C7BE6" w:rsidRPr="00744F1D">
              <w:rPr>
                <w:lang w:val="en-US"/>
              </w:rPr>
              <w:t xml:space="preserve"> present a</w:t>
            </w:r>
            <w:r w:rsidRPr="00744F1D">
              <w:rPr>
                <w:lang w:val="en-US"/>
              </w:rPr>
              <w:t xml:space="preserve"> protest and</w:t>
            </w:r>
            <w:r w:rsidR="004C7BE6" w:rsidRPr="00744F1D">
              <w:rPr>
                <w:lang w:val="en-US"/>
              </w:rPr>
              <w:t>/or</w:t>
            </w:r>
            <w:r w:rsidRPr="00744F1D">
              <w:rPr>
                <w:lang w:val="en-US"/>
              </w:rPr>
              <w:t xml:space="preserve"> complaint. The CNE states, however, that it is not mandatory to use these models, and it is possible to present the complaint or protest in any other written form</w:t>
            </w:r>
            <w:r w:rsidR="0033728B" w:rsidRPr="00C41905">
              <w:rPr>
                <w:rStyle w:val="FootnoteReference"/>
                <w:lang w:val="en-GB"/>
              </w:rPr>
              <w:footnoteReference w:id="21"/>
            </w:r>
            <w:r w:rsidRPr="00744F1D">
              <w:rPr>
                <w:lang w:val="en-US"/>
              </w:rPr>
              <w:t xml:space="preserve">. </w:t>
            </w:r>
          </w:p>
          <w:p w14:paraId="32F91CC1" w14:textId="4310E81A" w:rsidR="00724F94" w:rsidRPr="00744F1D" w:rsidRDefault="0003018E" w:rsidP="00B9241D">
            <w:pPr>
              <w:pStyle w:val="FRABodyText"/>
              <w:rPr>
                <w:lang w:val="en-US"/>
              </w:rPr>
            </w:pPr>
            <w:r w:rsidRPr="00744F1D">
              <w:rPr>
                <w:lang w:val="en-US"/>
              </w:rPr>
              <w:t>The CNE official website on the Internet is not compliant with the EN 301 549 v3.2.1 (2021-</w:t>
            </w:r>
            <w:r w:rsidR="00432313" w:rsidRPr="00744F1D">
              <w:rPr>
                <w:lang w:val="en-US"/>
              </w:rPr>
              <w:t>03), as highlighted by the CNE in the Activities P</w:t>
            </w:r>
            <w:r w:rsidRPr="00744F1D">
              <w:rPr>
                <w:lang w:val="en-US"/>
              </w:rPr>
              <w:t>lan for 2023</w:t>
            </w:r>
            <w:r w:rsidR="009E08B4" w:rsidRPr="00C41905">
              <w:rPr>
                <w:rStyle w:val="FootnoteReference"/>
                <w:lang w:val="en-GB"/>
              </w:rPr>
              <w:footnoteReference w:id="22"/>
            </w:r>
            <w:r w:rsidRPr="00744F1D">
              <w:rPr>
                <w:lang w:val="en-US"/>
              </w:rPr>
              <w:t>.</w:t>
            </w:r>
          </w:p>
        </w:tc>
      </w:tr>
      <w:tr w:rsidR="00724F94" w:rsidRPr="00C41905" w14:paraId="1FBF27D4" w14:textId="77777777" w:rsidTr="00724F94">
        <w:trPr>
          <w:trHeight w:val="3840"/>
        </w:trPr>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EBC9C5F" w14:textId="77777777" w:rsidR="00724F94" w:rsidRPr="00744F1D" w:rsidRDefault="0003018E" w:rsidP="00B9241D">
            <w:pPr>
              <w:pStyle w:val="FRABodyText"/>
              <w:rPr>
                <w:highlight w:val="yellow"/>
                <w:lang w:val="en-US"/>
              </w:rPr>
            </w:pPr>
            <w:r w:rsidRPr="00744F1D">
              <w:rPr>
                <w:lang w:val="en-US"/>
              </w:rPr>
              <w:lastRenderedPageBreak/>
              <w:t>Have national courts considered cases related to the right to political participation of persons with disabilities?</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24C7E27F" w14:textId="77777777" w:rsidR="00724F94" w:rsidRPr="00C41905" w:rsidRDefault="0003018E" w:rsidP="00B9241D">
            <w:pPr>
              <w:pStyle w:val="FRABodyText"/>
            </w:pPr>
            <w:r w:rsidRPr="00C41905">
              <w:t>Yes</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2348F0E3" w14:textId="77777777" w:rsidR="00724F94" w:rsidRPr="00744F1D" w:rsidRDefault="0003018E" w:rsidP="00B9241D">
            <w:pPr>
              <w:pStyle w:val="FRABodyText"/>
              <w:rPr>
                <w:lang w:val="en-US"/>
              </w:rPr>
            </w:pPr>
            <w:r w:rsidRPr="00744F1D">
              <w:rPr>
                <w:lang w:val="en-US"/>
              </w:rPr>
              <w:t>Yes, national courts have considered cases related to the right to</w:t>
            </w:r>
          </w:p>
          <w:p w14:paraId="404E0AA2" w14:textId="77777777" w:rsidR="00724F94" w:rsidRPr="00744F1D" w:rsidRDefault="0003018E" w:rsidP="00B9241D">
            <w:pPr>
              <w:pStyle w:val="FRABodyText"/>
              <w:rPr>
                <w:lang w:val="en-US"/>
              </w:rPr>
            </w:pPr>
            <w:r w:rsidRPr="00744F1D">
              <w:rPr>
                <w:lang w:val="en-US"/>
              </w:rPr>
              <w:t>political participation of persons with disabilities. The majority of</w:t>
            </w:r>
          </w:p>
          <w:p w14:paraId="0CFABE59" w14:textId="77777777" w:rsidR="00724F94" w:rsidRPr="00744F1D" w:rsidRDefault="0003018E" w:rsidP="00B9241D">
            <w:pPr>
              <w:pStyle w:val="FRABodyText"/>
              <w:rPr>
                <w:lang w:val="en-US"/>
              </w:rPr>
            </w:pPr>
            <w:r w:rsidRPr="00744F1D">
              <w:rPr>
                <w:lang w:val="en-US"/>
              </w:rPr>
              <w:t>these cases are related with determining what personals rights</w:t>
            </w:r>
          </w:p>
          <w:p w14:paraId="0A65197A" w14:textId="77777777" w:rsidR="00724F94" w:rsidRPr="00744F1D" w:rsidRDefault="0003018E" w:rsidP="00B9241D">
            <w:pPr>
              <w:pStyle w:val="FRABodyText"/>
              <w:rPr>
                <w:lang w:val="en-US"/>
              </w:rPr>
            </w:pPr>
            <w:r w:rsidRPr="00744F1D">
              <w:rPr>
                <w:lang w:val="en-US"/>
              </w:rPr>
              <w:t>can be restricted by a court decision, when the person in</w:t>
            </w:r>
          </w:p>
          <w:p w14:paraId="638F1930" w14:textId="77777777" w:rsidR="00724F94" w:rsidRPr="00744F1D" w:rsidRDefault="0003018E" w:rsidP="00B9241D">
            <w:pPr>
              <w:pStyle w:val="FRABodyText"/>
              <w:rPr>
                <w:lang w:val="en-US"/>
              </w:rPr>
            </w:pPr>
            <w:r w:rsidRPr="00744F1D">
              <w:rPr>
                <w:lang w:val="en-US"/>
              </w:rPr>
              <w:t>question has some disability that affects the capacity to fully</w:t>
            </w:r>
          </w:p>
          <w:p w14:paraId="5F10D704" w14:textId="24159FD4" w:rsidR="00846049" w:rsidRPr="00744F1D" w:rsidRDefault="0003018E" w:rsidP="00B9241D">
            <w:pPr>
              <w:pStyle w:val="FRABodyText"/>
              <w:rPr>
                <w:lang w:val="en-US"/>
              </w:rPr>
            </w:pPr>
            <w:r w:rsidRPr="00744F1D">
              <w:rPr>
                <w:lang w:val="en-US"/>
              </w:rPr>
              <w:t>exercise these rights.</w:t>
            </w:r>
          </w:p>
          <w:p w14:paraId="6391ACCC" w14:textId="77777777" w:rsidR="00724F94" w:rsidRPr="00744F1D" w:rsidRDefault="0003018E" w:rsidP="00B9241D">
            <w:pPr>
              <w:pStyle w:val="FRABodyText"/>
              <w:rPr>
                <w:lang w:val="en-US"/>
              </w:rPr>
            </w:pPr>
            <w:r w:rsidRPr="00744F1D">
              <w:rPr>
                <w:lang w:val="en-US"/>
              </w:rPr>
              <w:t>As an example, in one of these cases</w:t>
            </w:r>
            <w:r w:rsidRPr="00C41905">
              <w:rPr>
                <w:rStyle w:val="ncoradanotaderodap"/>
                <w:color w:val="auto"/>
                <w:lang w:val="en-GB"/>
              </w:rPr>
              <w:footnoteReference w:id="23"/>
            </w:r>
            <w:r w:rsidRPr="00744F1D">
              <w:rPr>
                <w:lang w:val="en-US"/>
              </w:rPr>
              <w:t>, the Supreme Court of</w:t>
            </w:r>
          </w:p>
          <w:p w14:paraId="669F064B" w14:textId="77777777" w:rsidR="00724F94" w:rsidRPr="00744F1D" w:rsidRDefault="0003018E" w:rsidP="00B9241D">
            <w:pPr>
              <w:pStyle w:val="FRABodyText"/>
              <w:rPr>
                <w:lang w:val="en-US"/>
              </w:rPr>
            </w:pPr>
            <w:r w:rsidRPr="00744F1D">
              <w:rPr>
                <w:lang w:val="en-US"/>
              </w:rPr>
              <w:t>Justice has decided that there isn’t a legal provision that prevents the judge from declaring that an adult does not have the capacity to exercise the right to vote. The list of personal</w:t>
            </w:r>
          </w:p>
          <w:p w14:paraId="7DC15292" w14:textId="77777777" w:rsidR="00724F94" w:rsidRPr="00744F1D" w:rsidRDefault="0003018E" w:rsidP="00B9241D">
            <w:pPr>
              <w:pStyle w:val="FRABodyText"/>
              <w:rPr>
                <w:lang w:val="en-US"/>
              </w:rPr>
            </w:pPr>
            <w:r w:rsidRPr="00744F1D">
              <w:rPr>
                <w:lang w:val="en-US"/>
              </w:rPr>
              <w:t>rights that can be restricted by a court decision, set out in</w:t>
            </w:r>
          </w:p>
          <w:p w14:paraId="7C899762" w14:textId="77777777" w:rsidR="00724F94" w:rsidRPr="00744F1D" w:rsidRDefault="0003018E" w:rsidP="00B9241D">
            <w:pPr>
              <w:pStyle w:val="FRABodyText"/>
              <w:rPr>
                <w:lang w:val="en-US"/>
              </w:rPr>
            </w:pPr>
            <w:r w:rsidRPr="00744F1D">
              <w:rPr>
                <w:lang w:val="en-US"/>
              </w:rPr>
              <w:t>Article 147(2) of the Civil Code, is illustrative. However, a court</w:t>
            </w:r>
          </w:p>
          <w:p w14:paraId="45817D9E" w14:textId="77777777" w:rsidR="00724F94" w:rsidRPr="00744F1D" w:rsidRDefault="0003018E" w:rsidP="00B9241D">
            <w:pPr>
              <w:pStyle w:val="FRABodyText"/>
              <w:rPr>
                <w:lang w:val="en-US"/>
              </w:rPr>
            </w:pPr>
            <w:r w:rsidRPr="00744F1D">
              <w:rPr>
                <w:lang w:val="en-US"/>
              </w:rPr>
              <w:t>decision that includes, among the prohibitions on exercising</w:t>
            </w:r>
          </w:p>
          <w:p w14:paraId="5150B1BB" w14:textId="09C56A9E" w:rsidR="00724F94" w:rsidRPr="00744F1D" w:rsidRDefault="0003018E" w:rsidP="00B9241D">
            <w:pPr>
              <w:pStyle w:val="FRABodyText"/>
              <w:rPr>
                <w:lang w:val="en-US"/>
              </w:rPr>
            </w:pPr>
            <w:r w:rsidRPr="00744F1D">
              <w:rPr>
                <w:lang w:val="en-US"/>
              </w:rPr>
              <w:t xml:space="preserve">personal rights, the prohibition of voting, does not withdraw this right, because the person was already unable to exercise that right. </w:t>
            </w:r>
          </w:p>
        </w:tc>
      </w:tr>
      <w:tr w:rsidR="00724F94" w:rsidRPr="00C41905" w14:paraId="6963BD63"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367C224" w14:textId="77777777" w:rsidR="00724F94" w:rsidRPr="00744F1D" w:rsidRDefault="0003018E" w:rsidP="00B9241D">
            <w:pPr>
              <w:pStyle w:val="FRABodyText"/>
              <w:rPr>
                <w:highlight w:val="yellow"/>
                <w:lang w:val="en-US"/>
              </w:rPr>
            </w:pPr>
            <w:r w:rsidRPr="00744F1D">
              <w:rPr>
                <w:lang w:val="en-US"/>
              </w:rPr>
              <w:t>Have non-judicial complaints mechanisms considered cases related to the right to political participation of persons with disabilities?</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3E8F958D" w14:textId="77777777" w:rsidR="007D4C8B" w:rsidRPr="00C41905" w:rsidRDefault="0003018E" w:rsidP="00B9241D">
            <w:pPr>
              <w:pStyle w:val="FRABodyText"/>
            </w:pPr>
            <w:r w:rsidRPr="00C41905">
              <w:t>Yes, cases considered</w:t>
            </w:r>
          </w:p>
          <w:p w14:paraId="25691E16" w14:textId="77777777" w:rsidR="00724F94" w:rsidRPr="00C41905" w:rsidRDefault="00724F94" w:rsidP="00B9241D">
            <w:pPr>
              <w:pStyle w:val="FRABodyText"/>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4CB3FFFE" w14:textId="1DA2401D" w:rsidR="00724F94" w:rsidRPr="00744F1D" w:rsidRDefault="0003018E" w:rsidP="00B9241D">
            <w:pPr>
              <w:pStyle w:val="FRABodyText"/>
              <w:rPr>
                <w:lang w:val="en-US"/>
              </w:rPr>
            </w:pPr>
            <w:r w:rsidRPr="00744F1D">
              <w:rPr>
                <w:lang w:val="en-US"/>
              </w:rPr>
              <w:t>Yes</w:t>
            </w:r>
            <w:r w:rsidR="00BA0024" w:rsidRPr="00744F1D">
              <w:rPr>
                <w:lang w:val="en-US"/>
              </w:rPr>
              <w:t xml:space="preserve">. The </w:t>
            </w:r>
            <w:r w:rsidRPr="00744F1D">
              <w:rPr>
                <w:lang w:val="en-US"/>
              </w:rPr>
              <w:t>CNE, consulted for this report, reported receiving complaints from voters regarding the accessibility of polling stations and obstacles to accompanied voting</w:t>
            </w:r>
            <w:r w:rsidRPr="00C41905">
              <w:rPr>
                <w:rStyle w:val="ncoradanotaderodap"/>
                <w:color w:val="auto"/>
                <w:lang w:val="en-GB"/>
              </w:rPr>
              <w:footnoteReference w:id="24"/>
            </w:r>
            <w:r w:rsidRPr="00744F1D">
              <w:rPr>
                <w:lang w:val="en-US"/>
              </w:rPr>
              <w:t>.</w:t>
            </w:r>
          </w:p>
          <w:p w14:paraId="3070907C" w14:textId="0389EECF" w:rsidR="00724F94" w:rsidRPr="00744F1D" w:rsidRDefault="0003018E" w:rsidP="00B9241D">
            <w:pPr>
              <w:pStyle w:val="FRABodyText"/>
              <w:rPr>
                <w:lang w:val="en-US"/>
              </w:rPr>
            </w:pPr>
            <w:r w:rsidRPr="00744F1D">
              <w:rPr>
                <w:lang w:val="en-US"/>
              </w:rPr>
              <w:t xml:space="preserve">On this issue, the Ombudsperson Office (Provedoria de Justiça) informed </w:t>
            </w:r>
            <w:r w:rsidR="0037039A" w:rsidRPr="00744F1D">
              <w:rPr>
                <w:lang w:val="en-US"/>
              </w:rPr>
              <w:t xml:space="preserve">us </w:t>
            </w:r>
            <w:r w:rsidRPr="00744F1D">
              <w:rPr>
                <w:lang w:val="en-US"/>
              </w:rPr>
              <w:t xml:space="preserve">by email that they have no knowledge of receiving </w:t>
            </w:r>
            <w:r w:rsidRPr="00744F1D">
              <w:rPr>
                <w:lang w:val="en-US"/>
              </w:rPr>
              <w:lastRenderedPageBreak/>
              <w:t>complaints from voters regarding this issue</w:t>
            </w:r>
            <w:r w:rsidRPr="00C41905">
              <w:rPr>
                <w:rStyle w:val="ncoradanotaderodap"/>
                <w:color w:val="auto"/>
                <w:lang w:val="en-GB"/>
              </w:rPr>
              <w:footnoteReference w:id="25"/>
            </w:r>
            <w:r w:rsidRPr="00744F1D">
              <w:rPr>
                <w:lang w:val="en-US"/>
              </w:rPr>
              <w:t>. The same is also applicable to the National Institute for Rehabilitation</w:t>
            </w:r>
            <w:r w:rsidRPr="00C41905">
              <w:rPr>
                <w:rStyle w:val="ncoradanotaderodap"/>
                <w:color w:val="auto"/>
                <w:lang w:val="en-GB"/>
              </w:rPr>
              <w:footnoteReference w:id="26"/>
            </w:r>
            <w:r w:rsidRPr="00744F1D">
              <w:rPr>
                <w:lang w:val="en-US"/>
              </w:rPr>
              <w:t>.</w:t>
            </w:r>
          </w:p>
        </w:tc>
      </w:tr>
      <w:tr w:rsidR="00724F94" w:rsidRPr="00C41905" w14:paraId="682F2707" w14:textId="77777777" w:rsidTr="00E87110">
        <w:trPr>
          <w:trHeight w:val="1115"/>
        </w:trPr>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32655EB9" w14:textId="77777777" w:rsidR="00724F94" w:rsidRPr="00744F1D" w:rsidRDefault="0003018E" w:rsidP="00B9241D">
            <w:pPr>
              <w:pStyle w:val="FRABodyText"/>
              <w:rPr>
                <w:lang w:val="en-US"/>
              </w:rPr>
            </w:pPr>
            <w:r w:rsidRPr="00744F1D">
              <w:rPr>
                <w:lang w:val="en-US"/>
              </w:rPr>
              <w:lastRenderedPageBreak/>
              <w:t>Are persons with disabilities members of the current national parliament?</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5EFBE4A" w14:textId="77777777" w:rsidR="00724F94" w:rsidRPr="00C41905" w:rsidRDefault="0003018E" w:rsidP="00B9241D">
            <w:pPr>
              <w:pStyle w:val="FRABodyText"/>
            </w:pPr>
            <w:r w:rsidRPr="00C41905">
              <w:t>No data identified</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5DDFA7A4" w14:textId="1BC26F3F" w:rsidR="00724F94" w:rsidRPr="00C41905" w:rsidRDefault="0003018E" w:rsidP="00B9241D">
            <w:pPr>
              <w:pStyle w:val="FRABodyText"/>
            </w:pPr>
            <w:r w:rsidRPr="00744F1D">
              <w:rPr>
                <w:lang w:val="en-US"/>
              </w:rPr>
              <w:t>The CNE does not have this information.</w:t>
            </w:r>
            <w:r w:rsidR="00411256" w:rsidRPr="00744F1D">
              <w:rPr>
                <w:lang w:val="en-US"/>
              </w:rPr>
              <w:t xml:space="preserve"> </w:t>
            </w:r>
            <w:r w:rsidR="00E87110" w:rsidRPr="00744F1D">
              <w:rPr>
                <w:lang w:val="en-US"/>
              </w:rPr>
              <w:t xml:space="preserve">However, one of the Government members is a disable person. </w:t>
            </w:r>
            <w:r w:rsidR="00E87110" w:rsidRPr="00C41905">
              <w:t>The current Secretary of State for Inclusion (</w:t>
            </w:r>
            <w:r w:rsidR="00E87110" w:rsidRPr="00C41905">
              <w:rPr>
                <w:i/>
              </w:rPr>
              <w:t>Secretária de Estado para a Inclusão</w:t>
            </w:r>
            <w:r w:rsidR="00E87110" w:rsidRPr="00C41905">
              <w:t>) is blind.</w:t>
            </w:r>
          </w:p>
        </w:tc>
      </w:tr>
      <w:tr w:rsidR="00724F94" w:rsidRPr="00C41905" w14:paraId="73C9CB0E"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3F91952" w14:textId="77777777" w:rsidR="00724F94" w:rsidRPr="00744F1D" w:rsidRDefault="0003018E" w:rsidP="00B9241D">
            <w:pPr>
              <w:pStyle w:val="FRABodyText"/>
              <w:rPr>
                <w:lang w:val="en-US"/>
              </w:rPr>
            </w:pPr>
            <w:r w:rsidRPr="00744F1D">
              <w:rPr>
                <w:lang w:val="en-US"/>
              </w:rPr>
              <w:t>Is data available on the number of members of municipal/regional governments who have a disability?</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8FE5801" w14:textId="642EE4B2" w:rsidR="00724F94" w:rsidRPr="00C41905" w:rsidRDefault="0003018E" w:rsidP="00B9241D">
            <w:pPr>
              <w:pStyle w:val="FRABodyText"/>
            </w:pPr>
            <w:r w:rsidRPr="00C41905">
              <w:t>No data available</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50831AD2" w14:textId="77777777" w:rsidR="00724F94" w:rsidRPr="00744F1D" w:rsidRDefault="0003018E" w:rsidP="00B9241D">
            <w:pPr>
              <w:pStyle w:val="FRABodyText"/>
              <w:rPr>
                <w:lang w:val="en-US"/>
              </w:rPr>
            </w:pPr>
            <w:r w:rsidRPr="00744F1D">
              <w:rPr>
                <w:lang w:val="en-US"/>
              </w:rPr>
              <w:t xml:space="preserve">The CNE does not have this information. </w:t>
            </w:r>
          </w:p>
          <w:p w14:paraId="50A8B8E3" w14:textId="77777777" w:rsidR="00724F94" w:rsidRPr="00744F1D" w:rsidRDefault="001A0961" w:rsidP="00B9241D">
            <w:pPr>
              <w:pStyle w:val="FRABodyText"/>
              <w:rPr>
                <w:lang w:val="en-US"/>
              </w:rPr>
            </w:pPr>
            <w:r w:rsidRPr="00744F1D">
              <w:rPr>
                <w:lang w:val="en-US"/>
              </w:rPr>
              <w:t>Informal information provided by a Disability NGO identified at least two members of municipal governments with a disability.</w:t>
            </w:r>
          </w:p>
        </w:tc>
      </w:tr>
      <w:tr w:rsidR="00724F94" w:rsidRPr="00C41905" w14:paraId="2B6AF97B"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1F7FDC30" w14:textId="77777777" w:rsidR="00724F94" w:rsidRPr="00744F1D" w:rsidRDefault="0003018E" w:rsidP="00B9241D">
            <w:pPr>
              <w:pStyle w:val="FRABodyText"/>
              <w:rPr>
                <w:lang w:val="en-US"/>
              </w:rPr>
            </w:pPr>
            <w:r w:rsidRPr="00744F1D">
              <w:rPr>
                <w:lang w:val="en-US"/>
              </w:rPr>
              <w:t>Is training for election authorities and officials on non-discrimination on the grounds of disability, accessibility and accommodation required by law?</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72ED9E9" w14:textId="77777777" w:rsidR="00724F94" w:rsidRPr="00744F1D" w:rsidRDefault="0003018E" w:rsidP="00B9241D">
            <w:pPr>
              <w:pStyle w:val="FRABodyText"/>
              <w:rPr>
                <w:lang w:val="en-US"/>
              </w:rPr>
            </w:pPr>
            <w:r w:rsidRPr="00744F1D">
              <w:rPr>
                <w:lang w:val="en-US"/>
              </w:rPr>
              <w:t xml:space="preserve">No training required by law </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2B6A632A" w14:textId="77777777" w:rsidR="00724F94" w:rsidRPr="00744F1D" w:rsidRDefault="0003018E" w:rsidP="00B9241D">
            <w:pPr>
              <w:pStyle w:val="FRABodyText"/>
              <w:rPr>
                <w:lang w:val="en-US"/>
              </w:rPr>
            </w:pPr>
            <w:r w:rsidRPr="00744F1D">
              <w:rPr>
                <w:lang w:val="en-US"/>
              </w:rPr>
              <w:t>No, there is no legal disposition that specifically requires the training of electoral administration bodies, and/or professionals, on the specific matter.</w:t>
            </w:r>
          </w:p>
        </w:tc>
      </w:tr>
      <w:tr w:rsidR="00724F94" w:rsidRPr="00C41905" w14:paraId="019E551E"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41F1B881" w14:textId="77777777" w:rsidR="00724F94" w:rsidRPr="00744F1D" w:rsidRDefault="0003018E" w:rsidP="00B9241D">
            <w:pPr>
              <w:pStyle w:val="FRABodyText"/>
              <w:rPr>
                <w:lang w:val="en-US"/>
              </w:rPr>
            </w:pPr>
            <w:r w:rsidRPr="00744F1D">
              <w:rPr>
                <w:lang w:val="en-US"/>
              </w:rPr>
              <w:t xml:space="preserve">Are there mechanisms in place to ensure consultation and involvement of DPOs in </w:t>
            </w:r>
            <w:r w:rsidRPr="00744F1D">
              <w:rPr>
                <w:lang w:val="en-US"/>
              </w:rPr>
              <w:lastRenderedPageBreak/>
              <w:t>the development of laws and policies which affect them?</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13FF804" w14:textId="77777777" w:rsidR="0063642C" w:rsidRPr="00C41905" w:rsidRDefault="0003018E" w:rsidP="00B9241D">
            <w:pPr>
              <w:pStyle w:val="FRABodyText"/>
            </w:pPr>
            <w:r w:rsidRPr="00C41905">
              <w:lastRenderedPageBreak/>
              <w:t>Yes, mechanisms established by law</w:t>
            </w:r>
          </w:p>
          <w:p w14:paraId="3E1A9269" w14:textId="77777777" w:rsidR="00724F94" w:rsidRPr="00C41905" w:rsidRDefault="00724F94" w:rsidP="00B9241D">
            <w:pPr>
              <w:pStyle w:val="FRABodyText"/>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297EEF73" w14:textId="69BFBAF4" w:rsidR="00846049" w:rsidRPr="00744F1D" w:rsidRDefault="00A86399" w:rsidP="00B9241D">
            <w:pPr>
              <w:pStyle w:val="FRABodyText"/>
              <w:rPr>
                <w:lang w:val="en-US"/>
              </w:rPr>
            </w:pPr>
            <w:r w:rsidRPr="00744F1D">
              <w:rPr>
                <w:lang w:val="en-US"/>
              </w:rPr>
              <w:t xml:space="preserve">The </w:t>
            </w:r>
            <w:r w:rsidR="0003018E" w:rsidRPr="00744F1D">
              <w:rPr>
                <w:lang w:val="en-US"/>
              </w:rPr>
              <w:t>National Council for the Rehabilitation and Integration of Disabled People</w:t>
            </w:r>
            <w:r w:rsidR="00371F64" w:rsidRPr="00744F1D">
              <w:rPr>
                <w:lang w:val="en-US"/>
              </w:rPr>
              <w:t xml:space="preserve"> (</w:t>
            </w:r>
            <w:r w:rsidR="0003018E" w:rsidRPr="00744F1D">
              <w:rPr>
                <w:lang w:val="en-US"/>
              </w:rPr>
              <w:t xml:space="preserve">Conselho Nacional de Reabilitação e Integração </w:t>
            </w:r>
            <w:r w:rsidR="0003018E" w:rsidRPr="00744F1D">
              <w:rPr>
                <w:lang w:val="en-US"/>
              </w:rPr>
              <w:lastRenderedPageBreak/>
              <w:t>de Pessoas com Deficiência</w:t>
            </w:r>
            <w:r w:rsidRPr="00744F1D">
              <w:rPr>
                <w:lang w:val="en-US"/>
              </w:rPr>
              <w:t xml:space="preserve"> - </w:t>
            </w:r>
            <w:r w:rsidR="0003018E" w:rsidRPr="00744F1D">
              <w:rPr>
                <w:lang w:val="en-US"/>
              </w:rPr>
              <w:t>CNRIPD)</w:t>
            </w:r>
            <w:r w:rsidRPr="00C41905">
              <w:rPr>
                <w:rStyle w:val="FootnoteReference"/>
                <w:szCs w:val="20"/>
                <w:lang w:val="en-GB"/>
              </w:rPr>
              <w:footnoteReference w:id="27"/>
            </w:r>
            <w:r w:rsidR="0003018E" w:rsidRPr="00744F1D">
              <w:rPr>
                <w:lang w:val="en-US"/>
              </w:rPr>
              <w:t xml:space="preserve"> </w:t>
            </w:r>
            <w:r w:rsidRPr="00744F1D">
              <w:rPr>
                <w:lang w:val="en-US"/>
              </w:rPr>
              <w:t xml:space="preserve">was </w:t>
            </w:r>
            <w:r w:rsidR="0003018E" w:rsidRPr="00744F1D">
              <w:rPr>
                <w:lang w:val="en-US"/>
              </w:rPr>
              <w:t xml:space="preserve">created </w:t>
            </w:r>
            <w:r w:rsidRPr="00744F1D">
              <w:rPr>
                <w:lang w:val="en-US"/>
              </w:rPr>
              <w:t xml:space="preserve">in 1997 </w:t>
            </w:r>
            <w:r w:rsidR="0003018E" w:rsidRPr="00744F1D">
              <w:rPr>
                <w:lang w:val="en-US"/>
              </w:rPr>
              <w:t>as an advisory body to the Minister of Labour and Social Solidarity</w:t>
            </w:r>
            <w:r w:rsidR="00846049" w:rsidRPr="00744F1D">
              <w:rPr>
                <w:lang w:val="en-US"/>
              </w:rPr>
              <w:t>.</w:t>
            </w:r>
          </w:p>
          <w:p w14:paraId="3155EA97" w14:textId="02E2EC97" w:rsidR="00846049" w:rsidRPr="00744F1D" w:rsidRDefault="0003018E" w:rsidP="00B9241D">
            <w:pPr>
              <w:pStyle w:val="FRABodyText"/>
              <w:rPr>
                <w:lang w:val="en-US"/>
              </w:rPr>
            </w:pPr>
            <w:r w:rsidRPr="00744F1D">
              <w:rPr>
                <w:lang w:val="en-US"/>
              </w:rPr>
              <w:t xml:space="preserve">This body, which </w:t>
            </w:r>
            <w:r w:rsidR="00DC19C3" w:rsidRPr="00744F1D">
              <w:rPr>
                <w:lang w:val="en-US"/>
              </w:rPr>
              <w:t xml:space="preserve">aimed to </w:t>
            </w:r>
            <w:r w:rsidRPr="00744F1D">
              <w:rPr>
                <w:lang w:val="en-US"/>
              </w:rPr>
              <w:t xml:space="preserve">promote the articulation between the government and disability </w:t>
            </w:r>
            <w:r w:rsidR="00797C0B" w:rsidRPr="00744F1D">
              <w:rPr>
                <w:lang w:val="en-US"/>
              </w:rPr>
              <w:t>NGOs</w:t>
            </w:r>
            <w:r w:rsidRPr="00744F1D">
              <w:rPr>
                <w:lang w:val="en-US"/>
              </w:rPr>
              <w:t xml:space="preserve">, </w:t>
            </w:r>
            <w:r w:rsidR="00A86399" w:rsidRPr="00744F1D">
              <w:rPr>
                <w:lang w:val="en-US"/>
              </w:rPr>
              <w:t>remained</w:t>
            </w:r>
            <w:r w:rsidR="00447FF1" w:rsidRPr="00744F1D">
              <w:rPr>
                <w:lang w:val="en-US"/>
              </w:rPr>
              <w:t xml:space="preserve"> </w:t>
            </w:r>
            <w:r w:rsidR="00797C0B" w:rsidRPr="00744F1D">
              <w:rPr>
                <w:lang w:val="en-US"/>
              </w:rPr>
              <w:t>inactive for long periods</w:t>
            </w:r>
            <w:r w:rsidR="00DC19C3" w:rsidRPr="00744F1D">
              <w:rPr>
                <w:lang w:val="en-US"/>
              </w:rPr>
              <w:t xml:space="preserve">. </w:t>
            </w:r>
          </w:p>
          <w:p w14:paraId="1C6FA1C9" w14:textId="421E788C" w:rsidR="00724F94" w:rsidRPr="00744F1D" w:rsidRDefault="00A86399" w:rsidP="00B9241D">
            <w:pPr>
              <w:pStyle w:val="FRABodyText"/>
              <w:rPr>
                <w:lang w:val="en-US"/>
              </w:rPr>
            </w:pPr>
            <w:r w:rsidRPr="00744F1D">
              <w:rPr>
                <w:lang w:val="en-US"/>
              </w:rPr>
              <w:t xml:space="preserve">In 2013, </w:t>
            </w:r>
            <w:r w:rsidR="00447FF1" w:rsidRPr="00744F1D">
              <w:rPr>
                <w:lang w:val="en-US"/>
              </w:rPr>
              <w:t>Decree-Law 167-C/2013</w:t>
            </w:r>
            <w:r w:rsidR="00317823" w:rsidRPr="00C41905">
              <w:rPr>
                <w:rStyle w:val="FootnoteReference"/>
                <w:szCs w:val="20"/>
                <w:lang w:val="en-GB"/>
              </w:rPr>
              <w:footnoteReference w:id="28"/>
            </w:r>
            <w:r w:rsidR="00447FF1" w:rsidRPr="00744F1D">
              <w:rPr>
                <w:lang w:val="en-US"/>
              </w:rPr>
              <w:t xml:space="preserve"> </w:t>
            </w:r>
            <w:r w:rsidR="00DC19C3" w:rsidRPr="00744F1D">
              <w:rPr>
                <w:lang w:val="en-US"/>
              </w:rPr>
              <w:t xml:space="preserve">discontinued CNRIPD and </w:t>
            </w:r>
            <w:r w:rsidR="00447FF1" w:rsidRPr="00744F1D">
              <w:rPr>
                <w:lang w:val="en-US"/>
              </w:rPr>
              <w:t>created</w:t>
            </w:r>
            <w:r w:rsidR="00DC19C3" w:rsidRPr="00744F1D">
              <w:rPr>
                <w:lang w:val="en-US"/>
              </w:rPr>
              <w:t xml:space="preserve"> the</w:t>
            </w:r>
            <w:r w:rsidR="00447FF1" w:rsidRPr="00744F1D">
              <w:rPr>
                <w:lang w:val="en-US"/>
              </w:rPr>
              <w:t xml:space="preserve"> </w:t>
            </w:r>
            <w:r w:rsidR="00DC19C3" w:rsidRPr="00744F1D">
              <w:rPr>
                <w:lang w:val="en-US"/>
              </w:rPr>
              <w:t xml:space="preserve">National Council for Solidarity, Volunteering, Families, Rehabilitation and Social Security Policies </w:t>
            </w:r>
            <w:r w:rsidR="00317823" w:rsidRPr="00744F1D">
              <w:rPr>
                <w:lang w:val="en-US"/>
              </w:rPr>
              <w:t>(</w:t>
            </w:r>
            <w:r w:rsidR="00DC19C3" w:rsidRPr="00744F1D">
              <w:rPr>
                <w:lang w:val="en-US"/>
              </w:rPr>
              <w:t>Conselho Nacional para as Políticas de Solidariedade, Voluntariado, Família, Reabilitação e Segurança Social</w:t>
            </w:r>
            <w:r w:rsidR="00317823" w:rsidRPr="00744F1D">
              <w:rPr>
                <w:lang w:val="en-US"/>
              </w:rPr>
              <w:t>)</w:t>
            </w:r>
            <w:r w:rsidRPr="00744F1D">
              <w:rPr>
                <w:lang w:val="en-US"/>
              </w:rPr>
              <w:t>,</w:t>
            </w:r>
            <w:r w:rsidR="009A5D11" w:rsidRPr="00744F1D">
              <w:rPr>
                <w:lang w:val="en-US"/>
              </w:rPr>
              <w:t xml:space="preserve"> </w:t>
            </w:r>
            <w:r w:rsidR="00DC19C3" w:rsidRPr="00744F1D">
              <w:rPr>
                <w:lang w:val="en-US"/>
              </w:rPr>
              <w:t>which</w:t>
            </w:r>
            <w:r w:rsidR="00447FF1" w:rsidRPr="00744F1D">
              <w:rPr>
                <w:lang w:val="en-US"/>
              </w:rPr>
              <w:t xml:space="preserve"> incorporated </w:t>
            </w:r>
            <w:r w:rsidR="00DC19C3" w:rsidRPr="00744F1D">
              <w:rPr>
                <w:lang w:val="en-US"/>
              </w:rPr>
              <w:t xml:space="preserve">previous </w:t>
            </w:r>
            <w:r w:rsidR="00447FF1" w:rsidRPr="00744F1D">
              <w:rPr>
                <w:lang w:val="en-US"/>
              </w:rPr>
              <w:t>attributions of</w:t>
            </w:r>
            <w:r w:rsidR="00DC19C3" w:rsidRPr="00744F1D">
              <w:rPr>
                <w:lang w:val="en-US"/>
              </w:rPr>
              <w:t xml:space="preserve"> CNRIPD. Currently</w:t>
            </w:r>
            <w:r w:rsidRPr="00744F1D">
              <w:rPr>
                <w:lang w:val="en-US"/>
              </w:rPr>
              <w:t>,</w:t>
            </w:r>
            <w:r w:rsidR="00DC19C3" w:rsidRPr="00744F1D">
              <w:rPr>
                <w:lang w:val="en-US"/>
              </w:rPr>
              <w:t xml:space="preserve"> the consultation and involvement of disability NGOs at governmental level is materialized by the Committee on Inclusion Policies for People with Disabilities </w:t>
            </w:r>
            <w:r w:rsidR="0001041C" w:rsidRPr="00744F1D">
              <w:rPr>
                <w:lang w:val="en-US"/>
              </w:rPr>
              <w:t>(</w:t>
            </w:r>
            <w:r w:rsidR="00DC19C3" w:rsidRPr="00744F1D">
              <w:rPr>
                <w:lang w:val="en-US"/>
              </w:rPr>
              <w:t>Comissão de Políticas de Inclusão das Pessoas com Deficiência</w:t>
            </w:r>
            <w:r w:rsidR="0001041C" w:rsidRPr="00744F1D">
              <w:rPr>
                <w:lang w:val="en-US"/>
              </w:rPr>
              <w:t>)</w:t>
            </w:r>
            <w:r w:rsidR="00DC19C3" w:rsidRPr="00744F1D">
              <w:rPr>
                <w:lang w:val="en-US"/>
              </w:rPr>
              <w:t xml:space="preserve"> (ar</w:t>
            </w:r>
            <w:r w:rsidR="0001041C" w:rsidRPr="00744F1D">
              <w:rPr>
                <w:lang w:val="en-US"/>
              </w:rPr>
              <w:t xml:space="preserve">ticle </w:t>
            </w:r>
            <w:r w:rsidR="00DC19C3" w:rsidRPr="00744F1D">
              <w:rPr>
                <w:lang w:val="en-US"/>
              </w:rPr>
              <w:t xml:space="preserve">16 </w:t>
            </w:r>
            <w:r w:rsidR="009A5D11" w:rsidRPr="00744F1D">
              <w:rPr>
                <w:lang w:val="en-US"/>
              </w:rPr>
              <w:t>of Decree</w:t>
            </w:r>
            <w:r w:rsidR="00B97055" w:rsidRPr="00744F1D">
              <w:rPr>
                <w:lang w:val="en-US"/>
              </w:rPr>
              <w:t>-</w:t>
            </w:r>
            <w:r w:rsidR="009A5D11" w:rsidRPr="00744F1D">
              <w:rPr>
                <w:lang w:val="en-US"/>
              </w:rPr>
              <w:t>Law 48/2017</w:t>
            </w:r>
            <w:r w:rsidR="0001041C" w:rsidRPr="00C41905">
              <w:rPr>
                <w:rStyle w:val="FootnoteReference"/>
                <w:szCs w:val="20"/>
                <w:lang w:val="en-GB"/>
              </w:rPr>
              <w:footnoteReference w:id="29"/>
            </w:r>
            <w:r w:rsidR="009A5D11" w:rsidRPr="00744F1D">
              <w:rPr>
                <w:lang w:val="en-US"/>
              </w:rPr>
              <w:t>)</w:t>
            </w:r>
            <w:r w:rsidR="00B97055" w:rsidRPr="00744F1D">
              <w:rPr>
                <w:lang w:val="en-US"/>
              </w:rPr>
              <w:t>,</w:t>
            </w:r>
            <w:r w:rsidR="009A5D11" w:rsidRPr="00744F1D">
              <w:rPr>
                <w:lang w:val="en-US"/>
              </w:rPr>
              <w:t xml:space="preserve"> a committee created within this new body (art</w:t>
            </w:r>
            <w:r w:rsidR="00B97055" w:rsidRPr="00744F1D">
              <w:rPr>
                <w:lang w:val="en-US"/>
              </w:rPr>
              <w:t>icle</w:t>
            </w:r>
            <w:r w:rsidR="009A5D11" w:rsidRPr="00744F1D">
              <w:rPr>
                <w:lang w:val="en-US"/>
              </w:rPr>
              <w:t xml:space="preserve"> 3 of Decree</w:t>
            </w:r>
            <w:r w:rsidR="00B97055" w:rsidRPr="00744F1D">
              <w:rPr>
                <w:lang w:val="en-US"/>
              </w:rPr>
              <w:t>-</w:t>
            </w:r>
            <w:r w:rsidR="009A5D11" w:rsidRPr="00744F1D">
              <w:rPr>
                <w:lang w:val="en-US"/>
              </w:rPr>
              <w:t>Law 48/2017).</w:t>
            </w:r>
          </w:p>
        </w:tc>
      </w:tr>
      <w:tr w:rsidR="00724F94" w:rsidRPr="00C41905" w14:paraId="3BCCE9D1"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3234231C" w14:textId="77777777" w:rsidR="00724F94" w:rsidRPr="00744F1D" w:rsidRDefault="0003018E" w:rsidP="00B9241D">
            <w:pPr>
              <w:pStyle w:val="FRABodyText"/>
              <w:rPr>
                <w:lang w:val="en-US"/>
              </w:rPr>
            </w:pPr>
            <w:r w:rsidRPr="00744F1D">
              <w:rPr>
                <w:lang w:val="en-US"/>
              </w:rPr>
              <w:lastRenderedPageBreak/>
              <w:t>Do national authorities provide guidelines on how to make polling stations accessible?</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1533C064" w14:textId="77777777" w:rsidR="0063642C" w:rsidRPr="00C41905" w:rsidRDefault="0003018E" w:rsidP="00B9241D">
            <w:pPr>
              <w:pStyle w:val="FRABodyText"/>
            </w:pPr>
            <w:r w:rsidRPr="00C41905">
              <w:t>Yes, detailed guidance available</w:t>
            </w:r>
          </w:p>
          <w:p w14:paraId="7D688BC9" w14:textId="77777777" w:rsidR="00724F94" w:rsidRPr="00C41905" w:rsidRDefault="00724F94" w:rsidP="00B9241D">
            <w:pPr>
              <w:pStyle w:val="FRABodyText"/>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2EC7A335" w14:textId="5B9A22D3" w:rsidR="00724F94" w:rsidRPr="00744F1D" w:rsidRDefault="0003018E" w:rsidP="00B9241D">
            <w:pPr>
              <w:pStyle w:val="FRABodyText"/>
              <w:rPr>
                <w:lang w:val="en-US"/>
              </w:rPr>
            </w:pPr>
            <w:r w:rsidRPr="00744F1D">
              <w:rPr>
                <w:lang w:val="en-US"/>
              </w:rPr>
              <w:t>Yes, since the last local elections (2021), the National Institute for Rehabilitation (INR), in partnership with the CNE and the National Association of Portuguese Municipalities (ANMP), developed a detailed checklist of the minimum accessibility conditions of polling stations</w:t>
            </w:r>
            <w:r w:rsidR="00B97055" w:rsidRPr="00C41905">
              <w:rPr>
                <w:rStyle w:val="FootnoteReference"/>
                <w:lang w:val="en-GB"/>
              </w:rPr>
              <w:footnoteReference w:id="30"/>
            </w:r>
            <w:r w:rsidRPr="00744F1D">
              <w:rPr>
                <w:lang w:val="en-US"/>
              </w:rPr>
              <w:t>.</w:t>
            </w:r>
          </w:p>
        </w:tc>
      </w:tr>
      <w:tr w:rsidR="00724F94" w:rsidRPr="00C41905" w14:paraId="2A93D78A" w14:textId="77777777" w:rsidTr="00724F94">
        <w:tc>
          <w:tcPr>
            <w:tcW w:w="3261" w:type="dxa"/>
            <w:tcBorders>
              <w:top w:val="single" w:sz="4" w:space="0" w:color="D5DCE4"/>
              <w:left w:val="single" w:sz="4" w:space="0" w:color="D5DCE4"/>
              <w:bottom w:val="single" w:sz="4" w:space="0" w:color="D5DCE4"/>
              <w:right w:val="single" w:sz="4" w:space="0" w:color="D5DCE4"/>
            </w:tcBorders>
          </w:tcPr>
          <w:p w14:paraId="3F32CE4B" w14:textId="77777777" w:rsidR="00724F94" w:rsidRPr="00744F1D" w:rsidRDefault="0003018E" w:rsidP="00B9241D">
            <w:pPr>
              <w:pStyle w:val="FRABodyText"/>
              <w:rPr>
                <w:highlight w:val="cyan"/>
                <w:lang w:val="en-US"/>
              </w:rPr>
            </w:pPr>
            <w:r w:rsidRPr="00744F1D">
              <w:rPr>
                <w:lang w:val="en-US"/>
              </w:rPr>
              <w:t>Does the website which provides instructions for voting and information on candidates meet accessibility standards?</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1B20E525" w14:textId="77777777" w:rsidR="00724F94" w:rsidRPr="00C41905" w:rsidRDefault="0003018E" w:rsidP="00B9241D">
            <w:pPr>
              <w:pStyle w:val="FRABodyText"/>
            </w:pPr>
            <w:r w:rsidRPr="00C41905">
              <w:t>No</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5803845F" w14:textId="24C7532B" w:rsidR="00724F94" w:rsidRPr="00744F1D" w:rsidRDefault="0003018E" w:rsidP="00B9241D">
            <w:pPr>
              <w:pStyle w:val="FRABodyText"/>
              <w:rPr>
                <w:lang w:val="en-US"/>
              </w:rPr>
            </w:pPr>
            <w:r w:rsidRPr="00744F1D">
              <w:rPr>
                <w:lang w:val="en-US"/>
              </w:rPr>
              <w:t>The CNE official website on the Internet is not compliant with the EN 301 549 v3.2.1 (2021-03), as highlighted b</w:t>
            </w:r>
            <w:r w:rsidR="001F3F0B" w:rsidRPr="00744F1D">
              <w:rPr>
                <w:lang w:val="en-US"/>
              </w:rPr>
              <w:t>y the CNE in the  Activities P</w:t>
            </w:r>
            <w:r w:rsidRPr="00744F1D">
              <w:rPr>
                <w:lang w:val="en-US"/>
              </w:rPr>
              <w:t>lan for 2023</w:t>
            </w:r>
            <w:r w:rsidR="004D7298" w:rsidRPr="00C41905">
              <w:rPr>
                <w:rStyle w:val="FootnoteReference"/>
                <w:lang w:val="en-GB"/>
              </w:rPr>
              <w:footnoteReference w:id="31"/>
            </w:r>
            <w:r w:rsidRPr="00744F1D">
              <w:rPr>
                <w:lang w:val="en-US"/>
              </w:rPr>
              <w:t>.</w:t>
            </w:r>
          </w:p>
          <w:p w14:paraId="19FA18BD" w14:textId="77777777" w:rsidR="00724F94" w:rsidRPr="00744F1D" w:rsidRDefault="00724F94" w:rsidP="00B9241D">
            <w:pPr>
              <w:pStyle w:val="FRABodyText"/>
              <w:rPr>
                <w:lang w:val="en-US"/>
              </w:rPr>
            </w:pPr>
          </w:p>
        </w:tc>
      </w:tr>
      <w:tr w:rsidR="00724F94" w:rsidRPr="00C41905" w14:paraId="394FD05D"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4C08A8D" w14:textId="77777777" w:rsidR="00724F94" w:rsidRPr="00744F1D" w:rsidRDefault="0003018E" w:rsidP="00B9241D">
            <w:pPr>
              <w:pStyle w:val="FRABodyText"/>
              <w:rPr>
                <w:lang w:val="en-US"/>
              </w:rPr>
            </w:pPr>
            <w:r w:rsidRPr="00744F1D">
              <w:rPr>
                <w:lang w:val="en-US"/>
              </w:rPr>
              <w:t>Are some television programmes providing instructions for voting and information on candidates subtitled?</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698FE649" w14:textId="77777777" w:rsidR="00724F94" w:rsidRPr="00744F1D" w:rsidRDefault="0003018E" w:rsidP="00B9241D">
            <w:pPr>
              <w:pStyle w:val="FRABodyText"/>
              <w:rPr>
                <w:lang w:val="en-US"/>
              </w:rPr>
            </w:pPr>
            <w:r w:rsidRPr="00744F1D">
              <w:rPr>
                <w:lang w:val="en-US"/>
              </w:rPr>
              <w:t>Yes, some key programmes are subtitled</w:t>
            </w:r>
            <w:r w:rsidR="0063642C" w:rsidRPr="00744F1D">
              <w:rPr>
                <w:lang w:val="en-US"/>
              </w:rPr>
              <w:t xml:space="preserve"> </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50827F05" w14:textId="14190A21" w:rsidR="00724F94" w:rsidRPr="00744F1D" w:rsidRDefault="0003018E" w:rsidP="00B9241D">
            <w:pPr>
              <w:pStyle w:val="FRABodyText"/>
              <w:rPr>
                <w:lang w:val="en-US"/>
              </w:rPr>
            </w:pPr>
            <w:r w:rsidRPr="00744F1D">
              <w:rPr>
                <w:lang w:val="en-US"/>
              </w:rPr>
              <w:t>Yes, the Multiannual Plan</w:t>
            </w:r>
            <w:r w:rsidR="004D7298" w:rsidRPr="00C41905">
              <w:rPr>
                <w:rStyle w:val="FootnoteReference"/>
                <w:lang w:val="en-GB"/>
              </w:rPr>
              <w:footnoteReference w:id="32"/>
            </w:r>
            <w:r w:rsidRPr="00744F1D">
              <w:rPr>
                <w:lang w:val="en-US"/>
              </w:rPr>
              <w:t xml:space="preserve"> approved by the </w:t>
            </w:r>
            <w:bookmarkStart w:id="4" w:name="_Hlk153460890"/>
            <w:r w:rsidRPr="00744F1D">
              <w:rPr>
                <w:lang w:val="en-US"/>
              </w:rPr>
              <w:t xml:space="preserve">Portuguese Regulatory Authority for the Media </w:t>
            </w:r>
            <w:r w:rsidR="004D7298" w:rsidRPr="00744F1D">
              <w:rPr>
                <w:lang w:val="en-US"/>
              </w:rPr>
              <w:t>(</w:t>
            </w:r>
            <w:r w:rsidRPr="00744F1D">
              <w:rPr>
                <w:lang w:val="en-US"/>
              </w:rPr>
              <w:t xml:space="preserve">Entidade Reguladora para a </w:t>
            </w:r>
            <w:bookmarkEnd w:id="4"/>
            <w:r w:rsidRPr="00744F1D">
              <w:rPr>
                <w:lang w:val="en-US"/>
              </w:rPr>
              <w:t>Comunicação Social</w:t>
            </w:r>
            <w:r w:rsidR="004D7298" w:rsidRPr="00744F1D">
              <w:rPr>
                <w:lang w:val="en-US"/>
              </w:rPr>
              <w:t xml:space="preserve">) </w:t>
            </w:r>
            <w:r w:rsidRPr="00744F1D">
              <w:rPr>
                <w:lang w:val="en-US"/>
              </w:rPr>
              <w:t>for the period 2022-20</w:t>
            </w:r>
            <w:r w:rsidR="001F3F0B" w:rsidRPr="00744F1D">
              <w:rPr>
                <w:lang w:val="en-US"/>
              </w:rPr>
              <w:t>25 establishes that Portuguese sign l</w:t>
            </w:r>
            <w:r w:rsidRPr="00744F1D">
              <w:rPr>
                <w:lang w:val="en-US"/>
              </w:rPr>
              <w:t>anguage is mandatory and that subtitling should be used whenever possible</w:t>
            </w:r>
            <w:r w:rsidR="00844B74" w:rsidRPr="00744F1D">
              <w:rPr>
                <w:lang w:val="en-US"/>
              </w:rPr>
              <w:t xml:space="preserve"> (Chapter 4, n. 24 and 25)</w:t>
            </w:r>
            <w:r w:rsidRPr="00744F1D">
              <w:rPr>
                <w:lang w:val="en-US"/>
              </w:rPr>
              <w:t xml:space="preserve">. </w:t>
            </w:r>
          </w:p>
        </w:tc>
      </w:tr>
      <w:tr w:rsidR="00724F94" w:rsidRPr="00C41905" w14:paraId="3DF7B8EF"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45F948B1" w14:textId="77777777" w:rsidR="00724F94" w:rsidRPr="00744F1D" w:rsidRDefault="0003018E" w:rsidP="00B9241D">
            <w:pPr>
              <w:pStyle w:val="FRABodyText"/>
              <w:rPr>
                <w:lang w:val="en-US"/>
              </w:rPr>
            </w:pPr>
            <w:r w:rsidRPr="00744F1D">
              <w:rPr>
                <w:lang w:val="en-US"/>
              </w:rPr>
              <w:t xml:space="preserve">Do some television programmes providing instructions for voting and </w:t>
            </w:r>
            <w:r w:rsidRPr="00744F1D">
              <w:rPr>
                <w:lang w:val="en-US"/>
              </w:rPr>
              <w:lastRenderedPageBreak/>
              <w:t>information on candidates have national sign language interpretation?</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7667E07" w14:textId="77777777" w:rsidR="0063642C" w:rsidRPr="00744F1D" w:rsidRDefault="0003018E" w:rsidP="00B9241D">
            <w:pPr>
              <w:pStyle w:val="FRABodyText"/>
              <w:rPr>
                <w:lang w:val="en-US"/>
              </w:rPr>
            </w:pPr>
            <w:r w:rsidRPr="00744F1D">
              <w:rPr>
                <w:lang w:val="en-US"/>
              </w:rPr>
              <w:lastRenderedPageBreak/>
              <w:t>Yes, some key programmes have sign language interpretation</w:t>
            </w:r>
          </w:p>
          <w:p w14:paraId="01FD9037" w14:textId="77777777" w:rsidR="00724F94" w:rsidRPr="00744F1D" w:rsidRDefault="00724F94" w:rsidP="00B9241D">
            <w:pPr>
              <w:pStyle w:val="FRABodyText"/>
              <w:rPr>
                <w:lang w:val="en-US"/>
              </w:rPr>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7922DE6" w14:textId="05643E84" w:rsidR="00724F94" w:rsidRPr="00744F1D" w:rsidRDefault="001F3F0B" w:rsidP="00B9241D">
            <w:pPr>
              <w:pStyle w:val="FRABodyText"/>
              <w:rPr>
                <w:lang w:val="en-US"/>
              </w:rPr>
            </w:pPr>
            <w:r w:rsidRPr="00744F1D">
              <w:rPr>
                <w:lang w:val="en-US"/>
              </w:rPr>
              <w:t>Yes, Portuguese sign l</w:t>
            </w:r>
            <w:r w:rsidR="0003018E" w:rsidRPr="00744F1D">
              <w:rPr>
                <w:lang w:val="en-US"/>
              </w:rPr>
              <w:t xml:space="preserve">anguage is mandatory for the debates between candidates for the various electoral acts, during the pre-campaign and campaign periods, and for the presentation of </w:t>
            </w:r>
            <w:r w:rsidR="0003018E" w:rsidRPr="00744F1D">
              <w:rPr>
                <w:lang w:val="en-US"/>
              </w:rPr>
              <w:lastRenderedPageBreak/>
              <w:t>results and speeches by candidates for the various e</w:t>
            </w:r>
            <w:r w:rsidRPr="00744F1D">
              <w:rPr>
                <w:lang w:val="en-US"/>
              </w:rPr>
              <w:t>lectoral acts on election night, a</w:t>
            </w:r>
            <w:r w:rsidR="0003018E" w:rsidRPr="00744F1D">
              <w:rPr>
                <w:lang w:val="en-US"/>
              </w:rPr>
              <w:t>s defined by the Multiannual Plan</w:t>
            </w:r>
            <w:r w:rsidR="006B46F0" w:rsidRPr="00C41905">
              <w:rPr>
                <w:rStyle w:val="FootnoteReference"/>
                <w:lang w:val="en-GB"/>
              </w:rPr>
              <w:footnoteReference w:id="33"/>
            </w:r>
            <w:r w:rsidR="0003018E" w:rsidRPr="00744F1D">
              <w:rPr>
                <w:lang w:val="en-US"/>
              </w:rPr>
              <w:t xml:space="preserve"> approved by the ERC (Chapter 4, n. 24 and 25).</w:t>
            </w:r>
          </w:p>
        </w:tc>
      </w:tr>
      <w:tr w:rsidR="00724F94" w:rsidRPr="00C41905" w14:paraId="4E9C71FD"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637E7446" w14:textId="77777777" w:rsidR="00724F94" w:rsidRPr="00744F1D" w:rsidRDefault="0003018E" w:rsidP="00B9241D">
            <w:pPr>
              <w:pStyle w:val="FRABodyText"/>
              <w:rPr>
                <w:highlight w:val="cyan"/>
                <w:lang w:val="en-US"/>
              </w:rPr>
            </w:pPr>
            <w:r w:rsidRPr="00744F1D">
              <w:rPr>
                <w:lang w:val="en-US"/>
              </w:rPr>
              <w:lastRenderedPageBreak/>
              <w:t>Are some television programmes providing instructions for voting and information on candidates audio described?</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53F9E44" w14:textId="77777777" w:rsidR="00724F94" w:rsidRPr="00744F1D" w:rsidRDefault="0003018E" w:rsidP="00B9241D">
            <w:pPr>
              <w:pStyle w:val="FRABodyText"/>
              <w:rPr>
                <w:lang w:val="en-US"/>
              </w:rPr>
            </w:pPr>
            <w:r w:rsidRPr="00744F1D">
              <w:rPr>
                <w:lang w:val="en-US"/>
              </w:rPr>
              <w:t>No, key programmes do not have audio description</w:t>
            </w:r>
            <w:r w:rsidR="0063642C" w:rsidRPr="00744F1D">
              <w:rPr>
                <w:lang w:val="en-US"/>
              </w:rPr>
              <w:t xml:space="preserve"> </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4A73B57" w14:textId="59EE9D68" w:rsidR="00724F94" w:rsidRPr="00744F1D" w:rsidRDefault="0003018E" w:rsidP="00B9241D">
            <w:pPr>
              <w:pStyle w:val="FRABodyText"/>
              <w:rPr>
                <w:lang w:val="en-US"/>
              </w:rPr>
            </w:pPr>
            <w:r w:rsidRPr="00744F1D">
              <w:rPr>
                <w:lang w:val="en-US"/>
              </w:rPr>
              <w:t>No, the Multiannual Plan</w:t>
            </w:r>
            <w:r w:rsidR="008C6410" w:rsidRPr="00C41905">
              <w:rPr>
                <w:rStyle w:val="FootnoteReference"/>
                <w:lang w:val="en-GB"/>
              </w:rPr>
              <w:footnoteReference w:id="34"/>
            </w:r>
            <w:r w:rsidRPr="00744F1D">
              <w:rPr>
                <w:lang w:val="en-US"/>
              </w:rPr>
              <w:t xml:space="preserve"> approved by the ERC</w:t>
            </w:r>
            <w:r w:rsidR="008C6410" w:rsidRPr="00744F1D">
              <w:rPr>
                <w:lang w:val="en-US"/>
              </w:rPr>
              <w:t xml:space="preserve"> </w:t>
            </w:r>
            <w:r w:rsidRPr="00744F1D">
              <w:rPr>
                <w:lang w:val="en-US"/>
              </w:rPr>
              <w:t>only recommends that “Whenever feasible and there is subtitling of excerpts spoken in foreign languages, in pieces included in news services, they must be accompanied by a voiceover in Portuguese</w:t>
            </w:r>
            <w:r w:rsidR="008C6410" w:rsidRPr="00744F1D">
              <w:rPr>
                <w:lang w:val="en-US"/>
              </w:rPr>
              <w:t>” (Chapter 4, n. 26).</w:t>
            </w:r>
          </w:p>
        </w:tc>
      </w:tr>
      <w:tr w:rsidR="00724F94" w:rsidRPr="00C41905" w14:paraId="7C480827"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62CDDAA3" w14:textId="77777777" w:rsidR="00724F94" w:rsidRPr="00744F1D" w:rsidRDefault="0003018E" w:rsidP="00B9241D">
            <w:pPr>
              <w:pStyle w:val="FRABodyText"/>
              <w:rPr>
                <w:lang w:val="en-US"/>
              </w:rPr>
            </w:pPr>
            <w:r w:rsidRPr="00744F1D">
              <w:rPr>
                <w:lang w:val="en-US"/>
              </w:rPr>
              <w:t>Were some political party manifestos provided in accessible formats during the most recent elections?</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E49965B" w14:textId="77777777" w:rsidR="00724F94" w:rsidRPr="00744F1D" w:rsidRDefault="0003018E" w:rsidP="00B9241D">
            <w:pPr>
              <w:pStyle w:val="FRABodyText"/>
              <w:rPr>
                <w:lang w:val="en-US"/>
              </w:rPr>
            </w:pPr>
            <w:r w:rsidRPr="00744F1D">
              <w:rPr>
                <w:lang w:val="en-US"/>
              </w:rPr>
              <w:t>Some political parties provided accessible manifestos</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50E1AA1D" w14:textId="430A8EDD" w:rsidR="00724F94" w:rsidRPr="00744F1D" w:rsidRDefault="0003018E" w:rsidP="00B9241D">
            <w:pPr>
              <w:pStyle w:val="FRABodyText"/>
              <w:rPr>
                <w:lang w:val="en-US"/>
              </w:rPr>
            </w:pPr>
            <w:r w:rsidRPr="00744F1D">
              <w:rPr>
                <w:lang w:val="en-US"/>
              </w:rPr>
              <w:t>Yes, some political parties provided their electoral program in braille, “easy-to-read” and video</w:t>
            </w:r>
            <w:r w:rsidR="0063642C" w:rsidRPr="00744F1D">
              <w:rPr>
                <w:lang w:val="en-US"/>
              </w:rPr>
              <w:t>s</w:t>
            </w:r>
            <w:r w:rsidRPr="00744F1D">
              <w:rPr>
                <w:lang w:val="en-US"/>
              </w:rPr>
              <w:t xml:space="preserve"> in Portuguese sign language</w:t>
            </w:r>
            <w:r w:rsidR="008C6410" w:rsidRPr="00744F1D">
              <w:rPr>
                <w:lang w:val="en-US"/>
              </w:rPr>
              <w:t xml:space="preserve">. </w:t>
            </w:r>
            <w:r w:rsidRPr="00744F1D">
              <w:rPr>
                <w:lang w:val="en-US"/>
              </w:rPr>
              <w:t xml:space="preserve">Regarding the 2019 Portuguese legislative elections, </w:t>
            </w:r>
            <w:r w:rsidR="00E87270" w:rsidRPr="00744F1D">
              <w:rPr>
                <w:lang w:val="en-US"/>
              </w:rPr>
              <w:t>it was</w:t>
            </w:r>
            <w:r w:rsidRPr="00744F1D">
              <w:rPr>
                <w:lang w:val="en-US"/>
              </w:rPr>
              <w:t xml:space="preserve"> reported that</w:t>
            </w:r>
            <w:r w:rsidR="00E87270" w:rsidRPr="00744F1D">
              <w:rPr>
                <w:lang w:val="en-US"/>
              </w:rPr>
              <w:t xml:space="preserve"> only </w:t>
            </w:r>
            <w:r w:rsidR="00E87270" w:rsidRPr="00744F1D">
              <w:rPr>
                <w:i/>
                <w:lang w:val="en-US"/>
              </w:rPr>
              <w:t>Bloco de Esquerda</w:t>
            </w:r>
            <w:r w:rsidR="00E87270" w:rsidRPr="00744F1D">
              <w:rPr>
                <w:lang w:val="en-US"/>
              </w:rPr>
              <w:t xml:space="preserve">, a left-wing party, had </w:t>
            </w:r>
            <w:r w:rsidRPr="00744F1D">
              <w:rPr>
                <w:lang w:val="en-US"/>
              </w:rPr>
              <w:t xml:space="preserve">presented the most adapted versions of the program. In addition to the “easy-to-read” electoral program, </w:t>
            </w:r>
            <w:r w:rsidR="00E87270" w:rsidRPr="00744F1D">
              <w:rPr>
                <w:lang w:val="en-US"/>
              </w:rPr>
              <w:t>this party</w:t>
            </w:r>
            <w:r w:rsidRPr="00744F1D">
              <w:rPr>
                <w:lang w:val="en-US"/>
              </w:rPr>
              <w:t xml:space="preserve"> also ha</w:t>
            </w:r>
            <w:r w:rsidR="00E87270" w:rsidRPr="00744F1D">
              <w:rPr>
                <w:lang w:val="en-US"/>
              </w:rPr>
              <w:t xml:space="preserve">d </w:t>
            </w:r>
            <w:r w:rsidRPr="00744F1D">
              <w:rPr>
                <w:lang w:val="en-US"/>
              </w:rPr>
              <w:t>a version in Braille and a video in Portuguese sign language.</w:t>
            </w:r>
            <w:r w:rsidR="00E87270" w:rsidRPr="00744F1D">
              <w:rPr>
                <w:lang w:val="en-US"/>
              </w:rPr>
              <w:t xml:space="preserve"> </w:t>
            </w:r>
            <w:r w:rsidR="00D34317" w:rsidRPr="00744F1D">
              <w:rPr>
                <w:lang w:val="en-US"/>
              </w:rPr>
              <w:t xml:space="preserve">The </w:t>
            </w:r>
            <w:r w:rsidR="00D34317" w:rsidRPr="00744F1D">
              <w:rPr>
                <w:i/>
                <w:lang w:val="en-US"/>
              </w:rPr>
              <w:t>Partido Pessoas, Animais, Natureza</w:t>
            </w:r>
            <w:r w:rsidR="00D34317" w:rsidRPr="00744F1D">
              <w:rPr>
                <w:lang w:val="en-US"/>
              </w:rPr>
              <w:t xml:space="preserve"> (People, Animals, Nature Party), </w:t>
            </w:r>
            <w:r w:rsidRPr="00744F1D">
              <w:rPr>
                <w:lang w:val="en-US"/>
              </w:rPr>
              <w:t xml:space="preserve">had a summary of the program in Braille in each district, printed by </w:t>
            </w:r>
            <w:r w:rsidR="00D34317" w:rsidRPr="00744F1D">
              <w:rPr>
                <w:lang w:val="en-US"/>
              </w:rPr>
              <w:t xml:space="preserve">the Association of the Blind and Partially </w:t>
            </w:r>
            <w:r w:rsidR="00D34317" w:rsidRPr="00744F1D">
              <w:rPr>
                <w:lang w:val="en-US"/>
              </w:rPr>
              <w:lastRenderedPageBreak/>
              <w:t>Sighted of Portugal (Associação dos Cegos e Amblíopes de Portugal</w:t>
            </w:r>
            <w:r w:rsidR="001F3F0B" w:rsidRPr="00744F1D">
              <w:rPr>
                <w:lang w:val="en-US"/>
              </w:rPr>
              <w:t xml:space="preserve"> - </w:t>
            </w:r>
            <w:r w:rsidR="00D34317" w:rsidRPr="00744F1D">
              <w:rPr>
                <w:lang w:val="en-US"/>
              </w:rPr>
              <w:t>ACAPO)</w:t>
            </w:r>
            <w:r w:rsidRPr="00744F1D">
              <w:rPr>
                <w:lang w:val="en-US"/>
              </w:rPr>
              <w:t xml:space="preserve">. The </w:t>
            </w:r>
            <w:r w:rsidR="00D06804" w:rsidRPr="00744F1D">
              <w:rPr>
                <w:i/>
                <w:lang w:val="en-US"/>
              </w:rPr>
              <w:t>Partido Centro Democrático Social</w:t>
            </w:r>
            <w:r w:rsidR="00D06804" w:rsidRPr="00744F1D">
              <w:rPr>
                <w:lang w:val="en-US"/>
              </w:rPr>
              <w:t xml:space="preserve"> (Social Democratic Centre Party), a right-wing party, worked on a </w:t>
            </w:r>
            <w:r w:rsidRPr="00744F1D">
              <w:rPr>
                <w:lang w:val="en-US"/>
              </w:rPr>
              <w:t xml:space="preserve">braille version. </w:t>
            </w:r>
            <w:r w:rsidR="00D06804" w:rsidRPr="00744F1D">
              <w:rPr>
                <w:lang w:val="en-US"/>
              </w:rPr>
              <w:t xml:space="preserve">The other major political parties </w:t>
            </w:r>
            <w:r w:rsidRPr="00744F1D">
              <w:rPr>
                <w:lang w:val="en-US"/>
              </w:rPr>
              <w:t>only present</w:t>
            </w:r>
            <w:r w:rsidR="001F3F0B" w:rsidRPr="00744F1D">
              <w:rPr>
                <w:lang w:val="en-US"/>
              </w:rPr>
              <w:t>ed</w:t>
            </w:r>
            <w:r w:rsidRPr="00744F1D">
              <w:rPr>
                <w:lang w:val="en-US"/>
              </w:rPr>
              <w:t xml:space="preserve"> the original version of the program</w:t>
            </w:r>
            <w:r w:rsidR="001F3F0B" w:rsidRPr="00744F1D">
              <w:rPr>
                <w:lang w:val="en-US"/>
              </w:rPr>
              <w:t xml:space="preserve"> in Braille</w:t>
            </w:r>
            <w:r w:rsidRPr="00C41905">
              <w:rPr>
                <w:rStyle w:val="ncoradanotaderodap"/>
                <w:color w:val="auto"/>
                <w:lang w:val="en-GB"/>
              </w:rPr>
              <w:footnoteReference w:id="35"/>
            </w:r>
            <w:r w:rsidR="00D06804" w:rsidRPr="00744F1D">
              <w:rPr>
                <w:lang w:val="en-US"/>
              </w:rPr>
              <w:t>.</w:t>
            </w:r>
          </w:p>
        </w:tc>
      </w:tr>
      <w:tr w:rsidR="00724F94" w:rsidRPr="00C41905" w14:paraId="5B069B58"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26DB667" w14:textId="77777777" w:rsidR="00724F94" w:rsidRPr="00744F1D" w:rsidRDefault="0003018E" w:rsidP="00B9241D">
            <w:pPr>
              <w:pStyle w:val="FRABodyText"/>
              <w:rPr>
                <w:lang w:val="en-US"/>
              </w:rPr>
            </w:pPr>
            <w:r w:rsidRPr="00744F1D">
              <w:rPr>
                <w:lang w:val="en-US"/>
              </w:rPr>
              <w:lastRenderedPageBreak/>
              <w:t>Are there legal accessibility standards for public and private providers of internet and web-based public information?</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5FB7F88" w14:textId="77777777" w:rsidR="00B24689" w:rsidRPr="00C41905" w:rsidRDefault="0003018E" w:rsidP="00B9241D">
            <w:pPr>
              <w:pStyle w:val="FRABodyText"/>
            </w:pPr>
            <w:r w:rsidRPr="00C41905">
              <w:t xml:space="preserve">Yes, covering public only </w:t>
            </w:r>
          </w:p>
          <w:p w14:paraId="4C5876D2" w14:textId="77777777" w:rsidR="00724F94" w:rsidRPr="00C41905" w:rsidRDefault="00724F94" w:rsidP="00B9241D">
            <w:pPr>
              <w:pStyle w:val="FRABodyText"/>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8D33E36" w14:textId="441BC47C" w:rsidR="00724F94" w:rsidRPr="00744F1D" w:rsidRDefault="0003018E" w:rsidP="00B9241D">
            <w:pPr>
              <w:pStyle w:val="FRABodyText"/>
              <w:rPr>
                <w:lang w:val="en-US"/>
              </w:rPr>
            </w:pPr>
            <w:r w:rsidRPr="00744F1D">
              <w:rPr>
                <w:lang w:val="en-US"/>
              </w:rPr>
              <w:t xml:space="preserve">Yes, </w:t>
            </w:r>
            <w:hyperlink r:id="rId18" w:tgtFrame="_blank">
              <w:r w:rsidRPr="00C41905">
                <w:rPr>
                  <w:rStyle w:val="LigaodeInternet"/>
                  <w:rFonts w:cs="Arial"/>
                  <w:color w:val="auto"/>
                  <w:szCs w:val="20"/>
                  <w:u w:val="none"/>
                  <w:shd w:val="clear" w:color="auto" w:fill="FFFFFF"/>
                  <w:lang w:val="en-GB"/>
                </w:rPr>
                <w:t>Decree-law 83/2018</w:t>
              </w:r>
            </w:hyperlink>
            <w:r w:rsidR="008C1CE5" w:rsidRPr="00C41905">
              <w:rPr>
                <w:rStyle w:val="FootnoteReference"/>
                <w:rFonts w:cs="Arial"/>
                <w:szCs w:val="20"/>
                <w:shd w:val="clear" w:color="auto" w:fill="FFFFFF"/>
                <w:lang w:val="en-GB"/>
              </w:rPr>
              <w:footnoteReference w:id="36"/>
            </w:r>
            <w:r w:rsidRPr="00744F1D">
              <w:rPr>
                <w:color w:val="272B30"/>
                <w:shd w:val="clear" w:color="auto" w:fill="FFFFFF"/>
                <w:lang w:val="en-US"/>
              </w:rPr>
              <w:t xml:space="preserve">, defines the accessibility requirements for websites and mobile applications of public bodies, transposing the </w:t>
            </w:r>
            <w:r w:rsidRPr="00C41905">
              <w:rPr>
                <w:rStyle w:val="LigaodeInternet"/>
                <w:rFonts w:cs="Arial"/>
                <w:color w:val="auto"/>
                <w:szCs w:val="20"/>
                <w:u w:val="none"/>
                <w:shd w:val="clear" w:color="auto" w:fill="FFFFFF"/>
                <w:lang w:val="en-GB"/>
              </w:rPr>
              <w:t>Directive 2016/2102</w:t>
            </w:r>
            <w:r w:rsidR="00A07123" w:rsidRPr="00C41905">
              <w:rPr>
                <w:rStyle w:val="FootnoteReference"/>
                <w:rFonts w:cs="Arial"/>
                <w:szCs w:val="20"/>
                <w:shd w:val="clear" w:color="auto" w:fill="FFFFFF"/>
                <w:lang w:val="en-GB"/>
              </w:rPr>
              <w:footnoteReference w:id="37"/>
            </w:r>
            <w:r w:rsidR="002E11F5" w:rsidRPr="00C41905">
              <w:rPr>
                <w:rStyle w:val="LigaodeInternet"/>
                <w:rFonts w:cs="Arial"/>
                <w:color w:val="auto"/>
                <w:szCs w:val="20"/>
                <w:u w:val="none"/>
                <w:shd w:val="clear" w:color="auto" w:fill="FFFFFF"/>
                <w:lang w:val="en-GB"/>
              </w:rPr>
              <w:t>.</w:t>
            </w:r>
          </w:p>
        </w:tc>
      </w:tr>
      <w:tr w:rsidR="00724F94" w:rsidRPr="00C41905" w14:paraId="4D31573E"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27827761" w14:textId="77777777" w:rsidR="00724F94" w:rsidRPr="00744F1D" w:rsidRDefault="0003018E" w:rsidP="00B9241D">
            <w:pPr>
              <w:pStyle w:val="FRABodyText"/>
              <w:rPr>
                <w:lang w:val="en-US"/>
              </w:rPr>
            </w:pPr>
            <w:r w:rsidRPr="00744F1D">
              <w:rPr>
                <w:lang w:val="en-US"/>
              </w:rPr>
              <w:lastRenderedPageBreak/>
              <w:t>Are there legal accessibility standards for public and private providers of media?</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532A9A1B" w14:textId="77777777" w:rsidR="00724F94" w:rsidRPr="00744F1D" w:rsidRDefault="0003018E" w:rsidP="00B9241D">
            <w:pPr>
              <w:pStyle w:val="FRABodyText"/>
              <w:rPr>
                <w:lang w:val="en-US"/>
              </w:rPr>
            </w:pPr>
            <w:r w:rsidRPr="00744F1D">
              <w:rPr>
                <w:lang w:val="en-US"/>
              </w:rPr>
              <w:t>Yes, covering public and private</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19578260" w14:textId="7670A66A" w:rsidR="00724F94" w:rsidRPr="00744F1D" w:rsidRDefault="0003018E" w:rsidP="00B9241D">
            <w:pPr>
              <w:pStyle w:val="FRABodyText"/>
              <w:rPr>
                <w:shd w:val="clear" w:color="auto" w:fill="FFFFFF"/>
                <w:lang w:val="en-US"/>
              </w:rPr>
            </w:pPr>
            <w:r w:rsidRPr="00744F1D">
              <w:rPr>
                <w:shd w:val="clear" w:color="auto" w:fill="FFFFFF"/>
                <w:lang w:val="en-US"/>
              </w:rPr>
              <w:t xml:space="preserve">Yes. </w:t>
            </w:r>
            <w:r w:rsidRPr="00C41905">
              <w:rPr>
                <w:rStyle w:val="LigaodeInternet"/>
                <w:color w:val="auto"/>
                <w:u w:val="none"/>
                <w:shd w:val="clear" w:color="auto" w:fill="FFFFFF"/>
                <w:lang w:val="en-GB"/>
              </w:rPr>
              <w:t>Law 74/2020</w:t>
            </w:r>
            <w:r w:rsidR="0042778F" w:rsidRPr="00C41905">
              <w:rPr>
                <w:rStyle w:val="FootnoteReference"/>
                <w:shd w:val="clear" w:color="auto" w:fill="FFFFFF"/>
                <w:lang w:val="en-GB"/>
              </w:rPr>
              <w:footnoteReference w:id="38"/>
            </w:r>
            <w:r w:rsidRPr="00744F1D">
              <w:rPr>
                <w:shd w:val="clear" w:color="auto" w:fill="FFFFFF"/>
                <w:lang w:val="en-US"/>
              </w:rPr>
              <w:t>,</w:t>
            </w:r>
            <w:r w:rsidR="0042778F" w:rsidRPr="00744F1D">
              <w:rPr>
                <w:shd w:val="clear" w:color="auto" w:fill="FFFFFF"/>
                <w:lang w:val="en-US"/>
              </w:rPr>
              <w:t xml:space="preserve"> </w:t>
            </w:r>
            <w:r w:rsidR="00B24689" w:rsidRPr="00744F1D">
              <w:rPr>
                <w:shd w:val="clear" w:color="auto" w:fill="FFFFFF"/>
                <w:lang w:val="en-US"/>
              </w:rPr>
              <w:t>that transposes the</w:t>
            </w:r>
            <w:r w:rsidR="0042778F" w:rsidRPr="00744F1D">
              <w:rPr>
                <w:shd w:val="clear" w:color="auto" w:fill="FFFFFF"/>
                <w:lang w:val="en-US"/>
              </w:rPr>
              <w:t xml:space="preserve"> </w:t>
            </w:r>
            <w:r w:rsidRPr="00744F1D">
              <w:rPr>
                <w:shd w:val="clear" w:color="auto" w:fill="FFFFFF"/>
                <w:lang w:val="en-US"/>
              </w:rPr>
              <w:t>Directive 2018/1808</w:t>
            </w:r>
            <w:r w:rsidR="00D94743" w:rsidRPr="00C41905">
              <w:rPr>
                <w:rStyle w:val="FootnoteReference"/>
                <w:shd w:val="clear" w:color="auto" w:fill="FFFFFF"/>
                <w:lang w:val="en-GB"/>
              </w:rPr>
              <w:footnoteReference w:id="39"/>
            </w:r>
            <w:r w:rsidRPr="00744F1D">
              <w:rPr>
                <w:shd w:val="clear" w:color="auto" w:fill="FFFFFF"/>
                <w:lang w:val="en-US"/>
              </w:rPr>
              <w:t xml:space="preserve"> into the </w:t>
            </w:r>
            <w:r w:rsidR="00B24689" w:rsidRPr="00744F1D">
              <w:rPr>
                <w:shd w:val="clear" w:color="auto" w:fill="FFFFFF"/>
                <w:lang w:val="en-US"/>
              </w:rPr>
              <w:t>national</w:t>
            </w:r>
            <w:r w:rsidRPr="00744F1D">
              <w:rPr>
                <w:shd w:val="clear" w:color="auto" w:fill="FFFFFF"/>
                <w:lang w:val="en-US"/>
              </w:rPr>
              <w:t xml:space="preserve"> legal order</w:t>
            </w:r>
            <w:r w:rsidR="008477F3" w:rsidRPr="00744F1D">
              <w:rPr>
                <w:shd w:val="clear" w:color="auto" w:fill="FFFFFF"/>
                <w:lang w:val="en-US"/>
              </w:rPr>
              <w:t>,</w:t>
            </w:r>
            <w:r w:rsidRPr="00744F1D">
              <w:rPr>
                <w:shd w:val="clear" w:color="auto" w:fill="FFFFFF"/>
                <w:lang w:val="en-US"/>
              </w:rPr>
              <w:t xml:space="preserve"> establishes that “Operators of television and on-demand </w:t>
            </w:r>
            <w:r w:rsidR="00B24689" w:rsidRPr="00744F1D">
              <w:rPr>
                <w:shd w:val="clear" w:color="auto" w:fill="FFFFFF"/>
                <w:lang w:val="en-US"/>
              </w:rPr>
              <w:t>audio-visual</w:t>
            </w:r>
            <w:r w:rsidRPr="00744F1D">
              <w:rPr>
                <w:shd w:val="clear" w:color="auto" w:fill="FFFFFF"/>
                <w:lang w:val="en-US"/>
              </w:rPr>
              <w:t xml:space="preserve"> services have an obligation to make the </w:t>
            </w:r>
            <w:r w:rsidR="00B24689" w:rsidRPr="00744F1D">
              <w:rPr>
                <w:shd w:val="clear" w:color="auto" w:fill="FFFFFF"/>
                <w:lang w:val="en-US"/>
              </w:rPr>
              <w:t>audio-visual</w:t>
            </w:r>
            <w:r w:rsidRPr="00744F1D">
              <w:rPr>
                <w:shd w:val="clear" w:color="auto" w:fill="FFFFFF"/>
                <w:lang w:val="en-US"/>
              </w:rPr>
              <w:t xml:space="preserve"> media services they provide continuously and progressively more accessible” (Article 34</w:t>
            </w:r>
            <w:r w:rsidR="00D94743" w:rsidRPr="00744F1D">
              <w:rPr>
                <w:shd w:val="clear" w:color="auto" w:fill="FFFFFF"/>
                <w:lang w:val="en-US"/>
              </w:rPr>
              <w:t xml:space="preserve"> (</w:t>
            </w:r>
            <w:r w:rsidRPr="00744F1D">
              <w:rPr>
                <w:shd w:val="clear" w:color="auto" w:fill="FFFFFF"/>
                <w:lang w:val="en-US"/>
              </w:rPr>
              <w:t>1</w:t>
            </w:r>
            <w:r w:rsidR="00D94743" w:rsidRPr="00744F1D">
              <w:rPr>
                <w:shd w:val="clear" w:color="auto" w:fill="FFFFFF"/>
                <w:lang w:val="en-US"/>
              </w:rPr>
              <w:t>)</w:t>
            </w:r>
            <w:r w:rsidRPr="00744F1D">
              <w:rPr>
                <w:shd w:val="clear" w:color="auto" w:fill="FFFFFF"/>
                <w:lang w:val="en-US"/>
              </w:rPr>
              <w:t>)</w:t>
            </w:r>
            <w:r w:rsidR="008477F3" w:rsidRPr="00744F1D">
              <w:rPr>
                <w:shd w:val="clear" w:color="auto" w:fill="FFFFFF"/>
                <w:lang w:val="en-US"/>
              </w:rPr>
              <w:t>,</w:t>
            </w:r>
            <w:r w:rsidRPr="00744F1D">
              <w:rPr>
                <w:shd w:val="clear" w:color="auto" w:fill="FFFFFF"/>
                <w:lang w:val="en-US"/>
              </w:rPr>
              <w:t xml:space="preserve"> and that “the ERC defines, based on a multi-annual plan that foresees the gradual increase in accessibility standards, the set of obligations of television operators and on-demand </w:t>
            </w:r>
            <w:r w:rsidR="00B24689" w:rsidRPr="00744F1D">
              <w:rPr>
                <w:shd w:val="clear" w:color="auto" w:fill="FFFFFF"/>
                <w:lang w:val="en-US"/>
              </w:rPr>
              <w:t>audio-visual</w:t>
            </w:r>
            <w:r w:rsidRPr="00744F1D">
              <w:rPr>
                <w:shd w:val="clear" w:color="auto" w:fill="FFFFFF"/>
                <w:lang w:val="en-US"/>
              </w:rPr>
              <w:t xml:space="preserve"> services relating to the accessibility of </w:t>
            </w:r>
            <w:r w:rsidR="00B24689" w:rsidRPr="00744F1D">
              <w:rPr>
                <w:shd w:val="clear" w:color="auto" w:fill="FFFFFF"/>
                <w:lang w:val="en-US"/>
              </w:rPr>
              <w:t>audio-visual</w:t>
            </w:r>
            <w:r w:rsidRPr="00744F1D">
              <w:rPr>
                <w:shd w:val="clear" w:color="auto" w:fill="FFFFFF"/>
                <w:lang w:val="en-US"/>
              </w:rPr>
              <w:t xml:space="preserve"> media services” (Article 34</w:t>
            </w:r>
            <w:r w:rsidR="00D94743" w:rsidRPr="00744F1D">
              <w:rPr>
                <w:shd w:val="clear" w:color="auto" w:fill="FFFFFF"/>
                <w:lang w:val="en-US"/>
              </w:rPr>
              <w:t xml:space="preserve"> (</w:t>
            </w:r>
            <w:r w:rsidRPr="00744F1D">
              <w:rPr>
                <w:shd w:val="clear" w:color="auto" w:fill="FFFFFF"/>
                <w:lang w:val="en-US"/>
              </w:rPr>
              <w:t>2</w:t>
            </w:r>
            <w:r w:rsidR="00D94743" w:rsidRPr="00744F1D">
              <w:rPr>
                <w:shd w:val="clear" w:color="auto" w:fill="FFFFFF"/>
                <w:lang w:val="en-US"/>
              </w:rPr>
              <w:t>))</w:t>
            </w:r>
            <w:r w:rsidRPr="00744F1D">
              <w:rPr>
                <w:shd w:val="clear" w:color="auto" w:fill="FFFFFF"/>
                <w:lang w:val="en-US"/>
              </w:rPr>
              <w:t xml:space="preserve">. </w:t>
            </w:r>
            <w:r w:rsidRPr="00744F1D">
              <w:rPr>
                <w:lang w:val="en-US"/>
              </w:rPr>
              <w:t>The current Multiannual Plan</w:t>
            </w:r>
            <w:r w:rsidR="00D94743" w:rsidRPr="00C41905">
              <w:rPr>
                <w:rStyle w:val="FootnoteReference"/>
                <w:lang w:val="en-GB"/>
              </w:rPr>
              <w:footnoteReference w:id="40"/>
            </w:r>
            <w:r w:rsidR="00D94743" w:rsidRPr="00744F1D">
              <w:rPr>
                <w:lang w:val="en-US"/>
              </w:rPr>
              <w:t xml:space="preserve">, </w:t>
            </w:r>
            <w:r w:rsidRPr="00744F1D">
              <w:rPr>
                <w:lang w:val="en-US"/>
              </w:rPr>
              <w:t>approved by ERC</w:t>
            </w:r>
            <w:r w:rsidR="00D94743" w:rsidRPr="00744F1D">
              <w:rPr>
                <w:lang w:val="en-US"/>
              </w:rPr>
              <w:t xml:space="preserve">, </w:t>
            </w:r>
            <w:r w:rsidRPr="00744F1D">
              <w:rPr>
                <w:lang w:val="en-US"/>
              </w:rPr>
              <w:t>es</w:t>
            </w:r>
            <w:r w:rsidR="00FA7CD8" w:rsidRPr="00744F1D">
              <w:rPr>
                <w:lang w:val="en-US"/>
              </w:rPr>
              <w:t>t</w:t>
            </w:r>
            <w:r w:rsidRPr="00744F1D">
              <w:rPr>
                <w:lang w:val="en-US"/>
              </w:rPr>
              <w:t xml:space="preserve">ablishes clear legal standards and objectives. </w:t>
            </w:r>
          </w:p>
        </w:tc>
      </w:tr>
      <w:tr w:rsidR="00724F94" w:rsidRPr="00C41905" w14:paraId="7537E59B"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8ECD277" w14:textId="77777777" w:rsidR="00724F94" w:rsidRPr="00744F1D" w:rsidRDefault="0003018E" w:rsidP="00B9241D">
            <w:pPr>
              <w:pStyle w:val="FRABodyText"/>
              <w:rPr>
                <w:lang w:val="en-US"/>
              </w:rPr>
            </w:pPr>
            <w:r w:rsidRPr="00744F1D">
              <w:rPr>
                <w:lang w:val="en-US"/>
              </w:rPr>
              <w:lastRenderedPageBreak/>
              <w:t>Are there mandatory accessibility standards for national and local authority buildings in the election context?</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3053237B" w14:textId="77777777" w:rsidR="00724F94" w:rsidRPr="00C41905" w:rsidRDefault="0003018E" w:rsidP="00B9241D">
            <w:pPr>
              <w:pStyle w:val="FRABodyText"/>
            </w:pPr>
            <w:r w:rsidRPr="00C41905">
              <w:t xml:space="preserve">No information </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084F017" w14:textId="7A24CEDF" w:rsidR="00724F94" w:rsidRPr="00744F1D" w:rsidRDefault="0003018E" w:rsidP="00B9241D">
            <w:pPr>
              <w:pStyle w:val="FRABodyText"/>
              <w:rPr>
                <w:shd w:val="clear" w:color="auto" w:fill="FFFFFF"/>
                <w:lang w:val="en-US"/>
              </w:rPr>
            </w:pPr>
            <w:r w:rsidRPr="00744F1D">
              <w:rPr>
                <w:shd w:val="clear" w:color="auto" w:fill="FFFFFF"/>
                <w:lang w:val="en-US"/>
              </w:rPr>
              <w:t>There are no mandatory accessibility standards for national and local authority</w:t>
            </w:r>
            <w:r w:rsidR="008477F3" w:rsidRPr="00744F1D">
              <w:rPr>
                <w:shd w:val="clear" w:color="auto" w:fill="FFFFFF"/>
                <w:lang w:val="en-US"/>
              </w:rPr>
              <w:t>’s</w:t>
            </w:r>
            <w:r w:rsidRPr="00744F1D">
              <w:rPr>
                <w:shd w:val="clear" w:color="auto" w:fill="FFFFFF"/>
                <w:lang w:val="en-US"/>
              </w:rPr>
              <w:t xml:space="preserve"> buil</w:t>
            </w:r>
            <w:r w:rsidR="00B24689" w:rsidRPr="00744F1D">
              <w:rPr>
                <w:shd w:val="clear" w:color="auto" w:fill="FFFFFF"/>
                <w:lang w:val="en-US"/>
              </w:rPr>
              <w:t>dings in the election context. H</w:t>
            </w:r>
            <w:r w:rsidRPr="00744F1D">
              <w:rPr>
                <w:shd w:val="clear" w:color="auto" w:fill="FFFFFF"/>
                <w:lang w:val="en-US"/>
              </w:rPr>
              <w:t xml:space="preserve">owever, </w:t>
            </w:r>
            <w:r w:rsidR="00B24689" w:rsidRPr="00744F1D">
              <w:rPr>
                <w:shd w:val="clear" w:color="auto" w:fill="FFFFFF"/>
                <w:lang w:val="en-US"/>
              </w:rPr>
              <w:t>for</w:t>
            </w:r>
            <w:r w:rsidRPr="00744F1D">
              <w:rPr>
                <w:shd w:val="clear" w:color="auto" w:fill="FFFFFF"/>
                <w:lang w:val="en-US"/>
              </w:rPr>
              <w:t xml:space="preserve"> each election, the </w:t>
            </w:r>
            <w:r w:rsidR="00D94743" w:rsidRPr="00744F1D">
              <w:rPr>
                <w:shd w:val="clear" w:color="auto" w:fill="FFFFFF"/>
                <w:lang w:val="en-US"/>
              </w:rPr>
              <w:t>CNE</w:t>
            </w:r>
            <w:r w:rsidRPr="00744F1D">
              <w:rPr>
                <w:shd w:val="clear" w:color="auto" w:fill="FFFFFF"/>
                <w:lang w:val="en-US"/>
              </w:rPr>
              <w:t xml:space="preserve"> recommends that all local councils promote the necessary measures to guarantee all voters, and especially citizens with reduced mobility, adequate accessibility to the places where the polling stations will be operating</w:t>
            </w:r>
            <w:r w:rsidRPr="00C41905">
              <w:rPr>
                <w:rStyle w:val="ncoradanotaderodap"/>
                <w:rFonts w:ascii="Arial" w:hAnsi="Arial" w:cs="Arial"/>
                <w:color w:val="auto"/>
                <w:shd w:val="clear" w:color="auto" w:fill="FFFFFF"/>
                <w:lang w:val="en-GB"/>
              </w:rPr>
              <w:footnoteReference w:id="41"/>
            </w:r>
            <w:r w:rsidRPr="00744F1D">
              <w:rPr>
                <w:shd w:val="clear" w:color="auto" w:fill="FFFFFF"/>
                <w:lang w:val="en-US"/>
              </w:rPr>
              <w:t xml:space="preserve">. </w:t>
            </w:r>
          </w:p>
          <w:p w14:paraId="06FB63FF" w14:textId="31B9C76C" w:rsidR="00724F94" w:rsidRPr="00744F1D" w:rsidRDefault="0003018E" w:rsidP="00B9241D">
            <w:pPr>
              <w:pStyle w:val="FRABodyText"/>
              <w:rPr>
                <w:shd w:val="clear" w:color="auto" w:fill="FFFFFF"/>
                <w:lang w:val="en-US"/>
              </w:rPr>
            </w:pPr>
            <w:r w:rsidRPr="00744F1D">
              <w:rPr>
                <w:shd w:val="clear" w:color="auto" w:fill="FFFFFF"/>
                <w:lang w:val="en-US"/>
              </w:rPr>
              <w:t xml:space="preserve">In the last local elections, that took place in 2021, the </w:t>
            </w:r>
            <w:r w:rsidR="00D94743" w:rsidRPr="00744F1D">
              <w:rPr>
                <w:shd w:val="clear" w:color="auto" w:fill="FFFFFF"/>
                <w:lang w:val="en-US"/>
              </w:rPr>
              <w:t>INR</w:t>
            </w:r>
            <w:r w:rsidRPr="00744F1D">
              <w:rPr>
                <w:shd w:val="clear" w:color="auto" w:fill="FFFFFF"/>
                <w:lang w:val="en-US"/>
              </w:rPr>
              <w:t xml:space="preserve">, in collaboration with the </w:t>
            </w:r>
            <w:r w:rsidR="00D94743" w:rsidRPr="00744F1D">
              <w:rPr>
                <w:shd w:val="clear" w:color="auto" w:fill="FFFFFF"/>
                <w:lang w:val="en-US"/>
              </w:rPr>
              <w:t>CNE</w:t>
            </w:r>
            <w:r w:rsidRPr="00744F1D">
              <w:rPr>
                <w:shd w:val="clear" w:color="auto" w:fill="FFFFFF"/>
                <w:lang w:val="en-US"/>
              </w:rPr>
              <w:t xml:space="preserve"> and the </w:t>
            </w:r>
            <w:r w:rsidR="00D94743" w:rsidRPr="00744F1D">
              <w:rPr>
                <w:shd w:val="clear" w:color="auto" w:fill="FFFFFF"/>
                <w:lang w:val="en-US"/>
              </w:rPr>
              <w:t>ANMP</w:t>
            </w:r>
            <w:r w:rsidRPr="00744F1D">
              <w:rPr>
                <w:shd w:val="clear" w:color="auto" w:fill="FFFFFF"/>
                <w:lang w:val="en-US"/>
              </w:rPr>
              <w:t>, developed a checklist of minimum accessibility conditions for polling stations, in order to carry out an advance check of the spaces where the polling stations would be located, thus ensuring an accessible, safe and comfortable route for people with reduced mobility</w:t>
            </w:r>
            <w:r w:rsidRPr="00C41905">
              <w:rPr>
                <w:rStyle w:val="ncoradanotaderodap"/>
                <w:rFonts w:ascii="Arial" w:hAnsi="Arial" w:cs="Arial"/>
                <w:color w:val="auto"/>
                <w:shd w:val="clear" w:color="auto" w:fill="FFFFFF"/>
                <w:lang w:val="en-GB"/>
              </w:rPr>
              <w:footnoteReference w:id="42"/>
            </w:r>
            <w:r w:rsidRPr="00744F1D">
              <w:rPr>
                <w:shd w:val="clear" w:color="auto" w:fill="FFFFFF"/>
                <w:lang w:val="en-US"/>
              </w:rPr>
              <w:t>.</w:t>
            </w:r>
          </w:p>
        </w:tc>
      </w:tr>
      <w:tr w:rsidR="00724F94" w:rsidRPr="00C41905" w14:paraId="6B76EC3D"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C706AF2" w14:textId="77777777" w:rsidR="00724F94" w:rsidRPr="00744F1D" w:rsidRDefault="0003018E" w:rsidP="00B9241D">
            <w:pPr>
              <w:pStyle w:val="FRABodyText"/>
              <w:rPr>
                <w:lang w:val="en-US"/>
              </w:rPr>
            </w:pPr>
            <w:r w:rsidRPr="00744F1D">
              <w:rPr>
                <w:lang w:val="en-US"/>
              </w:rPr>
              <w:t>Are there legal accessibility standards for polling stations in place?</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7FC3C344" w14:textId="77777777" w:rsidR="00B24689" w:rsidRPr="00C41905" w:rsidRDefault="0003018E" w:rsidP="00B9241D">
            <w:pPr>
              <w:pStyle w:val="FRABodyText"/>
            </w:pPr>
            <w:r w:rsidRPr="00C41905">
              <w:t>No legal standards</w:t>
            </w:r>
          </w:p>
          <w:p w14:paraId="14270390" w14:textId="77777777" w:rsidR="00724F94" w:rsidRPr="00C41905" w:rsidRDefault="00724F94" w:rsidP="00B9241D">
            <w:pPr>
              <w:pStyle w:val="FRABodyText"/>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37C06888" w14:textId="6989C248" w:rsidR="00724F94" w:rsidRPr="00744F1D" w:rsidRDefault="0003018E" w:rsidP="00B9241D">
            <w:pPr>
              <w:pStyle w:val="FRABodyText"/>
              <w:rPr>
                <w:shd w:val="clear" w:color="auto" w:fill="FFFFFF"/>
                <w:lang w:val="en-US"/>
              </w:rPr>
            </w:pPr>
            <w:r w:rsidRPr="00744F1D">
              <w:rPr>
                <w:shd w:val="clear" w:color="auto" w:fill="FFFFFF"/>
                <w:lang w:val="en-US"/>
              </w:rPr>
              <w:t>As established above, there are no mandatory accessibility standards for national and local authority</w:t>
            </w:r>
            <w:r w:rsidR="008477F3" w:rsidRPr="00744F1D">
              <w:rPr>
                <w:shd w:val="clear" w:color="auto" w:fill="FFFFFF"/>
                <w:lang w:val="en-US"/>
              </w:rPr>
              <w:t>’s</w:t>
            </w:r>
            <w:r w:rsidRPr="00744F1D">
              <w:rPr>
                <w:shd w:val="clear" w:color="auto" w:fill="FFFFFF"/>
                <w:lang w:val="en-US"/>
              </w:rPr>
              <w:t xml:space="preserve"> buildings in t</w:t>
            </w:r>
            <w:r w:rsidR="00B24689" w:rsidRPr="00744F1D">
              <w:rPr>
                <w:shd w:val="clear" w:color="auto" w:fill="FFFFFF"/>
                <w:lang w:val="en-US"/>
              </w:rPr>
              <w:t>he election context. H</w:t>
            </w:r>
            <w:r w:rsidRPr="00744F1D">
              <w:rPr>
                <w:shd w:val="clear" w:color="auto" w:fill="FFFFFF"/>
                <w:lang w:val="en-US"/>
              </w:rPr>
              <w:t xml:space="preserve">owever, in each election, the </w:t>
            </w:r>
            <w:r w:rsidR="0020652A" w:rsidRPr="00744F1D">
              <w:rPr>
                <w:shd w:val="clear" w:color="auto" w:fill="FFFFFF"/>
                <w:lang w:val="en-US"/>
              </w:rPr>
              <w:t>CNE</w:t>
            </w:r>
            <w:r w:rsidRPr="00744F1D">
              <w:rPr>
                <w:shd w:val="clear" w:color="auto" w:fill="FFFFFF"/>
                <w:lang w:val="en-US"/>
              </w:rPr>
              <w:t xml:space="preserve"> recommends that all local councils promote the necessary measures to guarantee all voters, and especially citizens with reduced mobility, adequate accessibility to the places where the polling stations will be operating</w:t>
            </w:r>
            <w:r w:rsidRPr="00C41905">
              <w:rPr>
                <w:rStyle w:val="ncoradanotaderodap"/>
                <w:rFonts w:ascii="Arial" w:hAnsi="Arial" w:cs="Arial"/>
                <w:color w:val="auto"/>
                <w:shd w:val="clear" w:color="auto" w:fill="FFFFFF"/>
                <w:lang w:val="en-GB"/>
              </w:rPr>
              <w:footnoteReference w:id="43"/>
            </w:r>
            <w:r w:rsidRPr="00744F1D">
              <w:rPr>
                <w:shd w:val="clear" w:color="auto" w:fill="FFFFFF"/>
                <w:lang w:val="en-US"/>
              </w:rPr>
              <w:t xml:space="preserve">. </w:t>
            </w:r>
          </w:p>
        </w:tc>
      </w:tr>
      <w:tr w:rsidR="00724F94" w:rsidRPr="00C41905" w14:paraId="256E0DFF" w14:textId="77777777" w:rsidTr="00724F94">
        <w:tc>
          <w:tcPr>
            <w:tcW w:w="3261" w:type="dxa"/>
            <w:tcBorders>
              <w:top w:val="single" w:sz="4" w:space="0" w:color="D5DCE4"/>
              <w:left w:val="single" w:sz="4" w:space="0" w:color="D5DCE4"/>
              <w:bottom w:val="single" w:sz="4" w:space="0" w:color="D5DCE4"/>
              <w:right w:val="single" w:sz="4" w:space="0" w:color="D5DCE4"/>
            </w:tcBorders>
          </w:tcPr>
          <w:p w14:paraId="4C51E143" w14:textId="77777777" w:rsidR="00724F94" w:rsidRPr="00744F1D" w:rsidRDefault="0003018E" w:rsidP="00B9241D">
            <w:pPr>
              <w:pStyle w:val="FRABodyText"/>
              <w:rPr>
                <w:lang w:val="en-US"/>
              </w:rPr>
            </w:pPr>
            <w:r w:rsidRPr="00744F1D">
              <w:rPr>
                <w:lang w:val="en-US"/>
              </w:rPr>
              <w:t xml:space="preserve">Is data available on the proportion of polling stations </w:t>
            </w:r>
            <w:r w:rsidRPr="00744F1D">
              <w:rPr>
                <w:lang w:val="en-US"/>
              </w:rPr>
              <w:lastRenderedPageBreak/>
              <w:t>that are accessible to persons with disabilities?</w:t>
            </w:r>
          </w:p>
          <w:p w14:paraId="7C3B9FFA" w14:textId="77777777" w:rsidR="00724F94" w:rsidRPr="00744F1D" w:rsidRDefault="00724F94" w:rsidP="00B9241D">
            <w:pPr>
              <w:pStyle w:val="FRABodyText"/>
              <w:rPr>
                <w:lang w:val="en-US"/>
              </w:rPr>
            </w:pP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16753574" w14:textId="77777777" w:rsidR="00724F94" w:rsidRPr="00C41905" w:rsidRDefault="0003018E" w:rsidP="00B9241D">
            <w:pPr>
              <w:pStyle w:val="FRABodyText"/>
            </w:pPr>
            <w:r w:rsidRPr="00C41905">
              <w:lastRenderedPageBreak/>
              <w:t>No data identified</w:t>
            </w: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299071E4" w14:textId="4E699AD9" w:rsidR="00724F94" w:rsidRPr="00744F1D" w:rsidRDefault="0003018E" w:rsidP="00B9241D">
            <w:pPr>
              <w:pStyle w:val="FRABodyText"/>
              <w:rPr>
                <w:lang w:val="en-US"/>
              </w:rPr>
            </w:pPr>
            <w:r w:rsidRPr="00744F1D">
              <w:rPr>
                <w:lang w:val="en-US"/>
              </w:rPr>
              <w:t>There is no public information available and CNE does not have</w:t>
            </w:r>
            <w:r w:rsidR="0020652A" w:rsidRPr="00744F1D">
              <w:rPr>
                <w:lang w:val="en-US"/>
              </w:rPr>
              <w:t xml:space="preserve"> </w:t>
            </w:r>
            <w:r w:rsidRPr="00744F1D">
              <w:rPr>
                <w:lang w:val="en-US"/>
              </w:rPr>
              <w:t>this information</w:t>
            </w:r>
            <w:r w:rsidR="0020652A" w:rsidRPr="00744F1D">
              <w:rPr>
                <w:lang w:val="en-US"/>
              </w:rPr>
              <w:t xml:space="preserve"> either. </w:t>
            </w:r>
          </w:p>
        </w:tc>
      </w:tr>
      <w:tr w:rsidR="00724F94" w:rsidRPr="00C41905" w14:paraId="22D74586" w14:textId="77777777" w:rsidTr="00724F94">
        <w:tc>
          <w:tcPr>
            <w:tcW w:w="3261"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0A1BC522" w14:textId="77777777" w:rsidR="00724F94" w:rsidRPr="00744F1D" w:rsidRDefault="0003018E" w:rsidP="00B9241D">
            <w:pPr>
              <w:pStyle w:val="FRABodyText"/>
              <w:rPr>
                <w:lang w:val="en-US"/>
              </w:rPr>
            </w:pPr>
            <w:r w:rsidRPr="00744F1D">
              <w:rPr>
                <w:lang w:val="en-US"/>
              </w:rPr>
              <w:t>Is data available on the proportion of public buildings that are accessible for persons with disabilities?</w:t>
            </w:r>
          </w:p>
        </w:tc>
        <w:tc>
          <w:tcPr>
            <w:tcW w:w="4110"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6666667E" w14:textId="77777777" w:rsidR="00B24689" w:rsidRPr="00C41905" w:rsidRDefault="0003018E" w:rsidP="00B9241D">
            <w:pPr>
              <w:pStyle w:val="FRABodyText"/>
              <w:rPr>
                <w:bCs/>
              </w:rPr>
            </w:pPr>
            <w:r w:rsidRPr="00C41905">
              <w:t>Some official data available</w:t>
            </w:r>
          </w:p>
          <w:p w14:paraId="0176D202" w14:textId="77777777" w:rsidR="00724F94" w:rsidRPr="00C41905" w:rsidRDefault="00724F94" w:rsidP="00B9241D">
            <w:pPr>
              <w:pStyle w:val="FRABodyText"/>
            </w:pPr>
          </w:p>
        </w:tc>
        <w:tc>
          <w:tcPr>
            <w:tcW w:w="6804" w:type="dxa"/>
            <w:tcBorders>
              <w:top w:val="single" w:sz="4" w:space="0" w:color="D5DCE4"/>
              <w:left w:val="single" w:sz="4" w:space="0" w:color="D5DCE4"/>
              <w:bottom w:val="single" w:sz="4" w:space="0" w:color="D5DCE4"/>
              <w:right w:val="single" w:sz="4" w:space="0" w:color="D5DCE4"/>
            </w:tcBorders>
            <w:shd w:val="clear" w:color="auto" w:fill="FFFFFF" w:themeFill="background1"/>
          </w:tcPr>
          <w:p w14:paraId="46634F39" w14:textId="53A2D870" w:rsidR="00724F94" w:rsidRPr="00744F1D" w:rsidRDefault="0003018E" w:rsidP="00B9241D">
            <w:pPr>
              <w:pStyle w:val="FRABodyText"/>
              <w:rPr>
                <w:lang w:val="en-US"/>
              </w:rPr>
            </w:pPr>
            <w:r w:rsidRPr="00744F1D">
              <w:rPr>
                <w:lang w:val="en-US"/>
              </w:rPr>
              <w:t>Article 3 of Decree-Law 125/201</w:t>
            </w:r>
            <w:r w:rsidR="0020652A" w:rsidRPr="00744F1D">
              <w:rPr>
                <w:lang w:val="en-US"/>
              </w:rPr>
              <w:t>7</w:t>
            </w:r>
            <w:r w:rsidR="0020652A" w:rsidRPr="00C41905">
              <w:rPr>
                <w:rStyle w:val="FootnoteReference"/>
                <w:lang w:val="en-GB"/>
              </w:rPr>
              <w:footnoteReference w:id="44"/>
            </w:r>
            <w:r w:rsidR="0020652A" w:rsidRPr="00744F1D">
              <w:rPr>
                <w:lang w:val="en-US"/>
              </w:rPr>
              <w:t xml:space="preserve"> </w:t>
            </w:r>
            <w:r w:rsidRPr="00744F1D">
              <w:rPr>
                <w:lang w:val="en-US"/>
              </w:rPr>
              <w:t>(which approves the accessibility regime for buildings and establishments that receive the public, public roads and residential buildings), created the Commission for the Promotion of Accessibility</w:t>
            </w:r>
            <w:r w:rsidR="0020652A" w:rsidRPr="00744F1D">
              <w:rPr>
                <w:lang w:val="en-US"/>
              </w:rPr>
              <w:t xml:space="preserve"> (Comissão para a Promoção das Acessibilidades</w:t>
            </w:r>
            <w:r w:rsidR="008477F3" w:rsidRPr="00744F1D">
              <w:rPr>
                <w:lang w:val="en-US"/>
              </w:rPr>
              <w:t xml:space="preserve"> - </w:t>
            </w:r>
            <w:r w:rsidRPr="00744F1D">
              <w:rPr>
                <w:lang w:val="en-US"/>
              </w:rPr>
              <w:t xml:space="preserve">CPA), with the mission of diagnosing the current situation of accessibility in buildings, facilities and spaces of central and local administration and public institutes, which provide </w:t>
            </w:r>
            <w:r w:rsidR="009A5D11" w:rsidRPr="00744F1D">
              <w:rPr>
                <w:lang w:val="en-US"/>
              </w:rPr>
              <w:t>personalized</w:t>
            </w:r>
            <w:r w:rsidRPr="00744F1D">
              <w:rPr>
                <w:lang w:val="en-US"/>
              </w:rPr>
              <w:t xml:space="preserve"> services and receives public funds.</w:t>
            </w:r>
          </w:p>
          <w:p w14:paraId="6AE315E6" w14:textId="77777777" w:rsidR="00724F94" w:rsidRPr="00744F1D" w:rsidRDefault="0003018E" w:rsidP="00B9241D">
            <w:pPr>
              <w:pStyle w:val="FRABodyText"/>
              <w:rPr>
                <w:lang w:val="en-US"/>
              </w:rPr>
            </w:pPr>
            <w:r w:rsidRPr="00744F1D">
              <w:rPr>
                <w:lang w:val="en-US"/>
              </w:rPr>
              <w:t>According to the report published by the CPA in January 2020:</w:t>
            </w:r>
          </w:p>
          <w:p w14:paraId="24CBF5D8" w14:textId="55C9F646" w:rsidR="00724F94" w:rsidRPr="00744F1D" w:rsidRDefault="0003018E" w:rsidP="00B9241D">
            <w:pPr>
              <w:pStyle w:val="FRABodyText"/>
              <w:rPr>
                <w:lang w:val="en-US"/>
              </w:rPr>
            </w:pPr>
            <w:r w:rsidRPr="00744F1D">
              <w:rPr>
                <w:lang w:val="en-US"/>
              </w:rPr>
              <w:t>“</w:t>
            </w:r>
            <w:r w:rsidRPr="00744F1D">
              <w:rPr>
                <w:rFonts w:ascii="Segoe UI Symbol" w:hAnsi="Segoe UI Symbol" w:cs="Segoe UI Symbol"/>
                <w:lang w:val="en-US"/>
              </w:rPr>
              <w:t xml:space="preserve">✓ </w:t>
            </w:r>
            <w:r w:rsidRPr="00744F1D">
              <w:rPr>
                <w:lang w:val="en-US"/>
              </w:rPr>
              <w:t>In 42% of the building</w:t>
            </w:r>
            <w:r w:rsidR="008477F3" w:rsidRPr="00744F1D">
              <w:rPr>
                <w:lang w:val="en-US"/>
              </w:rPr>
              <w:t>s</w:t>
            </w:r>
            <w:r w:rsidRPr="00744F1D">
              <w:rPr>
                <w:lang w:val="en-US"/>
              </w:rPr>
              <w:t>, there aren’t parking spaces reserved for people with reduced mobility (42%) and, when they exist, 55% reveal a lack of adequate signage;</w:t>
            </w:r>
          </w:p>
          <w:p w14:paraId="3FA3187D" w14:textId="77777777" w:rsidR="00724F94" w:rsidRPr="00744F1D" w:rsidRDefault="0003018E" w:rsidP="00B9241D">
            <w:pPr>
              <w:pStyle w:val="FRABodyText"/>
              <w:rPr>
                <w:lang w:val="en-US"/>
              </w:rPr>
            </w:pPr>
            <w:r w:rsidRPr="00744F1D">
              <w:rPr>
                <w:rFonts w:ascii="Segoe UI Symbol" w:hAnsi="Segoe UI Symbol" w:cs="Segoe UI Symbol"/>
                <w:lang w:val="en-US"/>
              </w:rPr>
              <w:t>✓</w:t>
            </w:r>
            <w:r w:rsidRPr="00744F1D">
              <w:rPr>
                <w:lang w:val="en-US"/>
              </w:rPr>
              <w:t xml:space="preserve"> The inadequate height of counters and service windows in buildings serving the public is 36%;</w:t>
            </w:r>
          </w:p>
          <w:p w14:paraId="6EEF5603" w14:textId="77777777" w:rsidR="00724F94" w:rsidRPr="00744F1D" w:rsidRDefault="0003018E" w:rsidP="00B9241D">
            <w:pPr>
              <w:pStyle w:val="FRABodyText"/>
              <w:rPr>
                <w:lang w:val="en-US"/>
              </w:rPr>
            </w:pPr>
            <w:r w:rsidRPr="00744F1D">
              <w:rPr>
                <w:rFonts w:ascii="Segoe UI Symbol" w:hAnsi="Segoe UI Symbol" w:cs="Segoe UI Symbol"/>
                <w:lang w:val="en-US"/>
              </w:rPr>
              <w:t>✓</w:t>
            </w:r>
            <w:r w:rsidRPr="00744F1D">
              <w:rPr>
                <w:lang w:val="en-US"/>
              </w:rPr>
              <w:t xml:space="preserve"> In 15% of the buildings with public services there aren’t counters and service windows;</w:t>
            </w:r>
          </w:p>
          <w:p w14:paraId="6EC3B2CA" w14:textId="284196EC" w:rsidR="00724F94" w:rsidRPr="00744F1D" w:rsidRDefault="0003018E" w:rsidP="00B9241D">
            <w:pPr>
              <w:pStyle w:val="FRABodyText"/>
              <w:rPr>
                <w:lang w:val="en-US"/>
              </w:rPr>
            </w:pPr>
            <w:r w:rsidRPr="00744F1D">
              <w:rPr>
                <w:rFonts w:ascii="Segoe UI Symbol" w:hAnsi="Segoe UI Symbol" w:cs="Segoe UI Symbol"/>
                <w:lang w:val="en-US"/>
              </w:rPr>
              <w:t>✓</w:t>
            </w:r>
            <w:r w:rsidRPr="00744F1D">
              <w:rPr>
                <w:lang w:val="en-US"/>
              </w:rPr>
              <w:t xml:space="preserve"> 40% of the building</w:t>
            </w:r>
            <w:r w:rsidR="008477F3" w:rsidRPr="00744F1D">
              <w:rPr>
                <w:lang w:val="en-US"/>
              </w:rPr>
              <w:t>s have</w:t>
            </w:r>
            <w:r w:rsidRPr="00744F1D">
              <w:rPr>
                <w:lang w:val="en-US"/>
              </w:rPr>
              <w:t xml:space="preserve"> an inadequate slope of the ramps in the building, in relation to the maximum slope requirement of 6%. 50% have a maximum slope of 8%;</w:t>
            </w:r>
          </w:p>
          <w:p w14:paraId="64AED968" w14:textId="625166D8" w:rsidR="00724F94" w:rsidRPr="00744F1D" w:rsidRDefault="0003018E" w:rsidP="00B9241D">
            <w:pPr>
              <w:pStyle w:val="FRABodyText"/>
              <w:rPr>
                <w:lang w:val="en-US"/>
              </w:rPr>
            </w:pPr>
            <w:r w:rsidRPr="00744F1D">
              <w:rPr>
                <w:rFonts w:ascii="Segoe UI Symbol" w:hAnsi="Segoe UI Symbol" w:cs="Segoe UI Symbol"/>
                <w:lang w:val="en-US"/>
              </w:rPr>
              <w:lastRenderedPageBreak/>
              <w:t>✓</w:t>
            </w:r>
            <w:r w:rsidRPr="00744F1D">
              <w:rPr>
                <w:lang w:val="en-US"/>
              </w:rPr>
              <w:t xml:space="preserve"> The non-existence or inadequacy of adequate sanitary installations for people with reduced mobility serving the public, in 41% of the building</w:t>
            </w:r>
            <w:r w:rsidR="0020652A" w:rsidRPr="00744F1D">
              <w:rPr>
                <w:lang w:val="en-US"/>
              </w:rPr>
              <w:t>s”</w:t>
            </w:r>
            <w:r w:rsidR="0020652A" w:rsidRPr="00C41905">
              <w:rPr>
                <w:rStyle w:val="FootnoteReference"/>
                <w:lang w:val="en-GB"/>
              </w:rPr>
              <w:footnoteReference w:id="45"/>
            </w:r>
            <w:r w:rsidR="0020652A" w:rsidRPr="00744F1D">
              <w:rPr>
                <w:lang w:val="en-US"/>
              </w:rPr>
              <w:t>.</w:t>
            </w:r>
          </w:p>
        </w:tc>
      </w:tr>
    </w:tbl>
    <w:p w14:paraId="3792D7E2" w14:textId="77777777" w:rsidR="00724F94" w:rsidRPr="00C41905" w:rsidRDefault="00724F94">
      <w:pPr>
        <w:tabs>
          <w:tab w:val="left" w:pos="4584"/>
        </w:tabs>
        <w:rPr>
          <w:b/>
          <w:color w:val="006FB4"/>
          <w:kern w:val="2"/>
          <w:sz w:val="52"/>
        </w:rPr>
      </w:pPr>
    </w:p>
    <w:p w14:paraId="1770C768" w14:textId="6A11DEC1" w:rsidR="00724F94" w:rsidRPr="00C41905" w:rsidRDefault="00724F94">
      <w:pPr>
        <w:tabs>
          <w:tab w:val="left" w:pos="4584"/>
        </w:tabs>
        <w:sectPr w:rsidR="00724F94" w:rsidRPr="00C41905" w:rsidSect="00DC1113">
          <w:headerReference w:type="default" r:id="rId19"/>
          <w:footerReference w:type="default" r:id="rId20"/>
          <w:pgSz w:w="16838" w:h="11906" w:orient="landscape"/>
          <w:pgMar w:top="1701" w:right="1701" w:bottom="1701" w:left="1134" w:header="851" w:footer="567" w:gutter="0"/>
          <w:cols w:space="720"/>
          <w:formProt w:val="0"/>
          <w:docGrid w:linePitch="360"/>
        </w:sectPr>
      </w:pPr>
    </w:p>
    <w:p w14:paraId="5C9E8D23" w14:textId="77777777" w:rsidR="00724F94" w:rsidRPr="00C41905" w:rsidRDefault="0003018E">
      <w:pPr>
        <w:pStyle w:val="HeadingNumbered1"/>
      </w:pPr>
      <w:bookmarkStart w:id="6" w:name="_Toc153528034"/>
      <w:r w:rsidRPr="00C41905">
        <w:lastRenderedPageBreak/>
        <w:t>Political participation of persons with disabilities in practice</w:t>
      </w:r>
      <w:bookmarkEnd w:id="6"/>
    </w:p>
    <w:p w14:paraId="499965EF" w14:textId="77777777" w:rsidR="00724F94" w:rsidRPr="00C41905" w:rsidRDefault="0003018E">
      <w:pPr>
        <w:pStyle w:val="HeadingNumbered2"/>
      </w:pPr>
      <w:bookmarkStart w:id="7" w:name="_Toc153528035"/>
      <w:r w:rsidRPr="00C41905">
        <w:t>Positive and negative key development as regards political participation of persons with disabilities</w:t>
      </w:r>
      <w:bookmarkEnd w:id="7"/>
    </w:p>
    <w:p w14:paraId="1CE86315" w14:textId="77777777" w:rsidR="00724F94" w:rsidRPr="00C41905" w:rsidRDefault="0003018E">
      <w:r w:rsidRPr="00C41905">
        <w:rPr>
          <w:u w:val="single"/>
        </w:rPr>
        <w:t>Positive key development -</w:t>
      </w:r>
      <w:r w:rsidRPr="00C41905">
        <w:t xml:space="preserve"> Braille vote.</w:t>
      </w:r>
    </w:p>
    <w:p w14:paraId="1A2DEDA1" w14:textId="77777777" w:rsidR="00724F94" w:rsidRPr="00C41905" w:rsidRDefault="0003018E">
      <w:r w:rsidRPr="00C41905">
        <w:rPr>
          <w:u w:val="single"/>
        </w:rPr>
        <w:t>Negative key development –</w:t>
      </w:r>
      <w:r w:rsidRPr="00C41905">
        <w:t xml:space="preserve"> Braille vote not available for local elections. Lack of enlarged letters matrix for people with low vision.</w:t>
      </w:r>
    </w:p>
    <w:p w14:paraId="6F01FA86" w14:textId="486B0C4B" w:rsidR="00724F94" w:rsidRPr="00C41905" w:rsidRDefault="0003018E">
      <w:r w:rsidRPr="00C41905">
        <w:t>The introduction of a Braille vote, i.e.</w:t>
      </w:r>
      <w:r w:rsidR="008477F3" w:rsidRPr="00C41905">
        <w:t xml:space="preserve"> the use of a Braille matrix is</w:t>
      </w:r>
      <w:r w:rsidRPr="00C41905">
        <w:t xml:space="preserve"> a positive key development for promoting the political participation of blind people and their autonomy in the voting process. The impact of this initiative</w:t>
      </w:r>
      <w:r w:rsidR="00892C8C" w:rsidRPr="00C41905">
        <w:t xml:space="preserve"> </w:t>
      </w:r>
      <w:r w:rsidR="00FD5C4D" w:rsidRPr="00C41905">
        <w:t>in Portugal</w:t>
      </w:r>
      <w:r w:rsidRPr="00C41905">
        <w:t xml:space="preserve"> was, however, reduced due to several limitations imposed. First, Braille vote was made available</w:t>
      </w:r>
      <w:r w:rsidR="00FD5C4D" w:rsidRPr="00C41905">
        <w:t xml:space="preserve"> only</w:t>
      </w:r>
      <w:r w:rsidR="008477F3" w:rsidRPr="00C41905">
        <w:t xml:space="preserve"> in Parliament</w:t>
      </w:r>
      <w:r w:rsidRPr="00C41905">
        <w:t>, European</w:t>
      </w:r>
      <w:r w:rsidR="008477F3" w:rsidRPr="00C41905">
        <w:t xml:space="preserve"> Union</w:t>
      </w:r>
      <w:r w:rsidRPr="00C41905">
        <w:t xml:space="preserve"> and </w:t>
      </w:r>
      <w:r w:rsidR="00FD5C4D" w:rsidRPr="00C41905">
        <w:t xml:space="preserve">Presidential </w:t>
      </w:r>
      <w:r w:rsidRPr="00C41905">
        <w:t xml:space="preserve">elections. </w:t>
      </w:r>
      <w:r w:rsidR="00C41905" w:rsidRPr="00C41905">
        <w:t>L</w:t>
      </w:r>
      <w:r w:rsidRPr="00C41905">
        <w:t xml:space="preserve">ocal elections were left out of this initiative. The </w:t>
      </w:r>
      <w:r w:rsidR="00C41905">
        <w:t>centralis</w:t>
      </w:r>
      <w:r w:rsidR="00FD5C4D" w:rsidRPr="00C41905">
        <w:t xml:space="preserve">ation of the </w:t>
      </w:r>
      <w:r w:rsidRPr="00C41905">
        <w:t xml:space="preserve">production process of the Braille matrix attributed to the </w:t>
      </w:r>
      <w:r w:rsidRPr="00C41905">
        <w:rPr>
          <w:i/>
        </w:rPr>
        <w:t>Imprensa Nacional – Casa da Moeda</w:t>
      </w:r>
      <w:r w:rsidR="00C41905">
        <w:t xml:space="preserve"> (</w:t>
      </w:r>
      <w:r w:rsidRPr="00C41905">
        <w:t>National Press</w:t>
      </w:r>
      <w:r w:rsidR="00C41905">
        <w:t xml:space="preserve"> –</w:t>
      </w:r>
      <w:r w:rsidR="00C41905" w:rsidRPr="00C41905">
        <w:t xml:space="preserve"> </w:t>
      </w:r>
      <w:r w:rsidR="00C41905">
        <w:t xml:space="preserve">INCM), </w:t>
      </w:r>
      <w:r w:rsidR="00993049" w:rsidRPr="00C41905">
        <w:t xml:space="preserve">combined with </w:t>
      </w:r>
      <w:r w:rsidR="00FD5C4D" w:rsidRPr="00C41905">
        <w:t xml:space="preserve">the high number of different matrices needed for local elections </w:t>
      </w:r>
      <w:r w:rsidR="00993049" w:rsidRPr="00C41905">
        <w:t>(</w:t>
      </w:r>
      <w:r w:rsidR="00FD5C4D" w:rsidRPr="00C41905">
        <w:t>308 municipalities and 3091 parishes)</w:t>
      </w:r>
      <w:r w:rsidR="00993049" w:rsidRPr="00C41905">
        <w:t xml:space="preserve"> may justify this impediment</w:t>
      </w:r>
      <w:r w:rsidRPr="00C41905">
        <w:t xml:space="preserve">. Second, the creation of a matrix with enlarged letters was not considered, leaving people with low vision outside of this initiative. </w:t>
      </w:r>
      <w:r w:rsidR="00993049" w:rsidRPr="00C41905">
        <w:t>Therefore, if the introduction of Braille vote may be regarded as a positive key development in Portugal, the limitation</w:t>
      </w:r>
      <w:r w:rsidR="00FD567D" w:rsidRPr="00C41905">
        <w:t xml:space="preserve">s introduced in the implementation </w:t>
      </w:r>
      <w:r w:rsidR="00C41905">
        <w:t>process</w:t>
      </w:r>
      <w:r w:rsidR="00FD567D" w:rsidRPr="00C41905">
        <w:t xml:space="preserve"> may be regarded as negative developments. </w:t>
      </w:r>
      <w:r w:rsidR="0060380F" w:rsidRPr="00C41905">
        <w:t xml:space="preserve">The use of a </w:t>
      </w:r>
      <w:r w:rsidR="00FD567D" w:rsidRPr="00C41905">
        <w:t xml:space="preserve">Braille </w:t>
      </w:r>
      <w:r w:rsidR="0060380F" w:rsidRPr="00C41905">
        <w:t xml:space="preserve">matrix and enlarged letters matrix are </w:t>
      </w:r>
      <w:r w:rsidR="00C41905">
        <w:t xml:space="preserve">necessary </w:t>
      </w:r>
      <w:r w:rsidR="0060380F" w:rsidRPr="00C41905">
        <w:t>conditions for an autonomous and secret voting exercise of people with visual impairments.</w:t>
      </w:r>
      <w:r w:rsidR="00781218" w:rsidRPr="00C41905">
        <w:t xml:space="preserve"> </w:t>
      </w:r>
      <w:r w:rsidR="00993049" w:rsidRPr="00C41905">
        <w:t xml:space="preserve"> </w:t>
      </w:r>
    </w:p>
    <w:p w14:paraId="39F4D9FF" w14:textId="77777777" w:rsidR="00724F94" w:rsidRPr="00C41905" w:rsidRDefault="0003018E">
      <w:pPr>
        <w:pStyle w:val="HeadingNumbered2"/>
      </w:pPr>
      <w:bookmarkStart w:id="8" w:name="_Toc153528036"/>
      <w:r w:rsidRPr="00C41905">
        <w:t>Political participation: Promising practices</w:t>
      </w:r>
      <w:bookmarkEnd w:id="8"/>
    </w:p>
    <w:p w14:paraId="015BD419" w14:textId="0CA8F5F8" w:rsidR="002D4480" w:rsidRPr="00C41905" w:rsidRDefault="00622AAF">
      <w:r w:rsidRPr="00C41905">
        <w:t xml:space="preserve">Article 29 of the UN Convention on the Rights of Persons with Disabilities is clear about the fact that disabled people should enjoy their political rights on an equal basis with others, and that the states shall make available voting procedures, facilities and </w:t>
      </w:r>
      <w:r w:rsidRPr="00C41905">
        <w:lastRenderedPageBreak/>
        <w:t>materials that are appropriate, accessible and easy to understand and use</w:t>
      </w:r>
      <w:r w:rsidR="002D4480" w:rsidRPr="00C41905">
        <w:t xml:space="preserve">. Moreover, </w:t>
      </w:r>
      <w:r w:rsidR="002D4480" w:rsidRPr="00C41905">
        <w:rPr>
          <w:i/>
        </w:rPr>
        <w:t>inter alia</w:t>
      </w:r>
      <w:r w:rsidR="002D4480" w:rsidRPr="00C41905">
        <w:t xml:space="preserve">, the UN Convention stipulates that states are obliged to protect the right of disabled people to vote by secret ballot and to allow assistance in voting by a person of their own choice. Article 29 </w:t>
      </w:r>
      <w:r w:rsidR="00C41905">
        <w:t>is</w:t>
      </w:r>
      <w:r w:rsidR="002D4480" w:rsidRPr="00C41905">
        <w:t xml:space="preserve"> regarded as the benchmark to enact the political participation of disabled people. </w:t>
      </w:r>
    </w:p>
    <w:p w14:paraId="3AE468FF" w14:textId="3B18280B" w:rsidR="00CF2809" w:rsidRPr="00C41905" w:rsidRDefault="002D4480">
      <w:r w:rsidRPr="00C41905">
        <w:t>The National Strategy for the Inclusion of Disabled People 2021-2025</w:t>
      </w:r>
      <w:r w:rsidR="00ED22B4" w:rsidRPr="00C41905">
        <w:rPr>
          <w:rStyle w:val="FootnoteReference"/>
        </w:rPr>
        <w:footnoteReference w:id="46"/>
      </w:r>
      <w:r w:rsidR="00ED22B4" w:rsidRPr="00C41905">
        <w:t xml:space="preserve"> </w:t>
      </w:r>
      <w:r w:rsidR="0003018E" w:rsidRPr="00C41905">
        <w:t>included several promising practices towards disabled people’s political participation in the election processes</w:t>
      </w:r>
      <w:r w:rsidRPr="00C41905">
        <w:t xml:space="preserve">. </w:t>
      </w:r>
      <w:r w:rsidR="0003018E" w:rsidRPr="00C41905">
        <w:t>First, it included the organisation of the first electoral act with accessible voting made possible through the extension of Braille vote to other elections (measure 1.2.5.). Second, it promised to “Promote awareness-raising actions with political parties to disseminate political propaganda in an accessible format” (measure 1.2.6.)</w:t>
      </w:r>
      <w:r w:rsidR="000B73A3" w:rsidRPr="00C41905">
        <w:t xml:space="preserve">. Third, it states the </w:t>
      </w:r>
      <w:r w:rsidR="00C41905">
        <w:t>will</w:t>
      </w:r>
      <w:r w:rsidR="000B73A3" w:rsidRPr="00C41905">
        <w:t xml:space="preserve"> to “Ensure that campaigns and electoral acts published in media outlets with a public service obligation are in an accessible format” (measure 1.2.7.). No data is, however, available about the implementation of these measures included in the National Strategy for the Inclusion of Disabled People. </w:t>
      </w:r>
    </w:p>
    <w:p w14:paraId="679CD507" w14:textId="13AB3C6D" w:rsidR="000B73A3" w:rsidRPr="00C41905" w:rsidRDefault="00CF2809">
      <w:r w:rsidRPr="00C41905">
        <w:t>Taking into consideration</w:t>
      </w:r>
      <w:r w:rsidR="000B73A3" w:rsidRPr="00C41905">
        <w:t xml:space="preserve"> the Portuguese context</w:t>
      </w:r>
      <w:r w:rsidRPr="00C41905">
        <w:t>,</w:t>
      </w:r>
      <w:r w:rsidR="000B73A3" w:rsidRPr="00C41905">
        <w:t xml:space="preserve"> two other promising practices</w:t>
      </w:r>
      <w:r w:rsidRPr="00C41905">
        <w:t xml:space="preserve"> can be highlighted</w:t>
      </w:r>
      <w:r w:rsidR="000B73A3" w:rsidRPr="00C41905">
        <w:t>:</w:t>
      </w:r>
    </w:p>
    <w:p w14:paraId="06A56369" w14:textId="4779159F" w:rsidR="00724F94" w:rsidRPr="00C41905" w:rsidRDefault="000B73A3">
      <w:r w:rsidRPr="00C41905">
        <w:t xml:space="preserve">1) </w:t>
      </w:r>
      <w:r w:rsidR="0003018E" w:rsidRPr="00C41905">
        <w:t xml:space="preserve">Electronic voting - Electronic voting </w:t>
      </w:r>
      <w:r w:rsidR="00622AAF" w:rsidRPr="00C41905">
        <w:t>has not been</w:t>
      </w:r>
      <w:r w:rsidR="0003018E" w:rsidRPr="00C41905">
        <w:t xml:space="preserve"> implemented in Portugal</w:t>
      </w:r>
      <w:r w:rsidR="00CF2809" w:rsidRPr="00C41905">
        <w:t>. In the last decades,</w:t>
      </w:r>
      <w:r w:rsidRPr="00C41905">
        <w:t xml:space="preserve"> </w:t>
      </w:r>
      <w:r w:rsidR="00CF2809" w:rsidRPr="00C41905">
        <w:t>five pilot</w:t>
      </w:r>
      <w:r w:rsidR="00DB1176" w:rsidRPr="00C41905">
        <w:t xml:space="preserve"> </w:t>
      </w:r>
      <w:r w:rsidR="00CF2809" w:rsidRPr="00C41905">
        <w:t>experiences</w:t>
      </w:r>
      <w:r w:rsidR="0003018E" w:rsidRPr="00C41905">
        <w:t xml:space="preserve"> have been </w:t>
      </w:r>
      <w:r w:rsidR="00736465" w:rsidRPr="00C41905">
        <w:t xml:space="preserve">already </w:t>
      </w:r>
      <w:r w:rsidR="0003018E" w:rsidRPr="00C41905">
        <w:t>carried out in the national territory (1997, 2001, 2004, 2005, 2019). Issues of security and universality of voting prevented the implementation of this voting system. Its test</w:t>
      </w:r>
      <w:r w:rsidR="00736465">
        <w:t>,</w:t>
      </w:r>
      <w:r w:rsidR="0003018E" w:rsidRPr="00C41905">
        <w:t xml:space="preserve"> in the form of in-person electronic voting</w:t>
      </w:r>
      <w:r w:rsidR="00736465">
        <w:t>,</w:t>
      </w:r>
      <w:r w:rsidR="0003018E" w:rsidRPr="00C41905">
        <w:t xml:space="preserve"> proved to be very promising in promoting autonomous voting</w:t>
      </w:r>
      <w:r w:rsidRPr="00C41905">
        <w:t>, especially by</w:t>
      </w:r>
      <w:r w:rsidR="0003018E" w:rsidRPr="00C41905">
        <w:t xml:space="preserve"> people with visual impairments.</w:t>
      </w:r>
    </w:p>
    <w:p w14:paraId="566F5C59" w14:textId="178A3EF8" w:rsidR="00724F94" w:rsidRPr="00C41905" w:rsidRDefault="000B73A3">
      <w:r w:rsidRPr="00C41905">
        <w:t xml:space="preserve">2) </w:t>
      </w:r>
      <w:r w:rsidR="0003018E" w:rsidRPr="00C41905">
        <w:t xml:space="preserve">Postal vote – Postal vote is already available for Portuguese people registered abroad. Its implementation at national level for disabled people could be a short-term strategy to mitigate the physical barriers </w:t>
      </w:r>
      <w:r w:rsidR="00CF2809" w:rsidRPr="00C41905">
        <w:t xml:space="preserve">that </w:t>
      </w:r>
      <w:r w:rsidR="0003018E" w:rsidRPr="00C41905">
        <w:t xml:space="preserve">still exist </w:t>
      </w:r>
      <w:r w:rsidR="00CF2809" w:rsidRPr="00C41905">
        <w:t xml:space="preserve">in some </w:t>
      </w:r>
      <w:r w:rsidR="0003018E" w:rsidRPr="00C41905">
        <w:t>polling stations.</w:t>
      </w:r>
    </w:p>
    <w:sectPr w:rsidR="00724F94" w:rsidRPr="00C41905">
      <w:headerReference w:type="default" r:id="rId21"/>
      <w:footerReference w:type="default" r:id="rId22"/>
      <w:footerReference w:type="first" r:id="rId23"/>
      <w:pgSz w:w="11906" w:h="16838"/>
      <w:pgMar w:top="1701" w:right="1701" w:bottom="1134" w:left="1701" w:header="851"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F1863" w14:textId="77777777" w:rsidR="00DC1113" w:rsidRDefault="00DC1113">
      <w:pPr>
        <w:spacing w:after="0" w:line="240" w:lineRule="auto"/>
      </w:pPr>
      <w:r>
        <w:separator/>
      </w:r>
    </w:p>
  </w:endnote>
  <w:endnote w:type="continuationSeparator" w:id="0">
    <w:p w14:paraId="074D843D" w14:textId="77777777" w:rsidR="00DC1113" w:rsidRDefault="00DC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D8105" w14:textId="77777777" w:rsidR="009E08B4" w:rsidRDefault="009E08B4">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0781644"/>
      <w:docPartObj>
        <w:docPartGallery w:val="Page Numbers (Bottom of Page)"/>
        <w:docPartUnique/>
      </w:docPartObj>
    </w:sdtPr>
    <w:sdtEndPr/>
    <w:sdtContent>
      <w:p w14:paraId="6161D154" w14:textId="67D01C9A" w:rsidR="009E08B4" w:rsidRDefault="009E08B4">
        <w:pPr>
          <w:pStyle w:val="Footer"/>
          <w:jc w:val="right"/>
        </w:pPr>
        <w:r>
          <w:fldChar w:fldCharType="begin"/>
        </w:r>
        <w:r>
          <w:instrText xml:space="preserve"> PAGE </w:instrText>
        </w:r>
        <w:r>
          <w:fldChar w:fldCharType="separate"/>
        </w:r>
        <w:r w:rsidR="00B91679">
          <w:rPr>
            <w:noProof/>
          </w:rPr>
          <w:t>2</w:t>
        </w:r>
        <w:r>
          <w:fldChar w:fldCharType="end"/>
        </w:r>
      </w:p>
    </w:sdtContent>
  </w:sdt>
  <w:p w14:paraId="00A871BD" w14:textId="77777777" w:rsidR="009E08B4" w:rsidRDefault="009E0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78A96" w14:textId="77777777" w:rsidR="009E08B4" w:rsidRDefault="009E08B4">
    <w:pPr>
      <w:pStyle w:val="Footer"/>
      <w:jc w:val="right"/>
    </w:pPr>
  </w:p>
  <w:p w14:paraId="197C68FF" w14:textId="77777777" w:rsidR="009E08B4" w:rsidRDefault="009E08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969524"/>
      <w:docPartObj>
        <w:docPartGallery w:val="Page Numbers (Bottom of Page)"/>
        <w:docPartUnique/>
      </w:docPartObj>
    </w:sdtPr>
    <w:sdtEndPr/>
    <w:sdtContent>
      <w:p w14:paraId="53D75D69" w14:textId="54AA021E" w:rsidR="009E08B4" w:rsidRDefault="009E08B4">
        <w:pPr>
          <w:pStyle w:val="Footer"/>
          <w:jc w:val="right"/>
        </w:pPr>
        <w:r>
          <w:fldChar w:fldCharType="begin"/>
        </w:r>
        <w:r>
          <w:instrText xml:space="preserve"> PAGE </w:instrText>
        </w:r>
        <w:r>
          <w:fldChar w:fldCharType="separate"/>
        </w:r>
        <w:r w:rsidR="00B91679">
          <w:rPr>
            <w:noProof/>
          </w:rPr>
          <w:t>8</w:t>
        </w:r>
        <w:r>
          <w:fldChar w:fldCharType="end"/>
        </w:r>
      </w:p>
    </w:sdtContent>
  </w:sdt>
  <w:p w14:paraId="082773D1" w14:textId="77777777" w:rsidR="009E08B4" w:rsidRDefault="009E0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0264235"/>
      <w:docPartObj>
        <w:docPartGallery w:val="Page Numbers (Bottom of Page)"/>
        <w:docPartUnique/>
      </w:docPartObj>
    </w:sdtPr>
    <w:sdtEndPr/>
    <w:sdtContent>
      <w:p w14:paraId="4FDCFEE2" w14:textId="1910D9BA" w:rsidR="009E08B4" w:rsidRDefault="009E08B4">
        <w:pPr>
          <w:pStyle w:val="Footer"/>
          <w:jc w:val="right"/>
        </w:pPr>
        <w:r>
          <w:fldChar w:fldCharType="begin"/>
        </w:r>
        <w:r>
          <w:instrText xml:space="preserve"> PAGE </w:instrText>
        </w:r>
        <w:r>
          <w:fldChar w:fldCharType="separate"/>
        </w:r>
        <w:r w:rsidR="00B91679">
          <w:rPr>
            <w:noProof/>
          </w:rPr>
          <w:t>21</w:t>
        </w:r>
        <w:r>
          <w:fldChar w:fldCharType="end"/>
        </w:r>
      </w:p>
    </w:sdtContent>
  </w:sdt>
  <w:p w14:paraId="6C2B0655" w14:textId="77777777" w:rsidR="009E08B4" w:rsidRDefault="009E08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457370"/>
      <w:docPartObj>
        <w:docPartGallery w:val="Page Numbers (Bottom of Page)"/>
        <w:docPartUnique/>
      </w:docPartObj>
    </w:sdtPr>
    <w:sdtEndPr/>
    <w:sdtContent>
      <w:p w14:paraId="6BAE3000" w14:textId="4E7BA502" w:rsidR="009E08B4" w:rsidRDefault="009E08B4">
        <w:pPr>
          <w:pStyle w:val="Footer"/>
          <w:jc w:val="right"/>
        </w:pPr>
        <w:r>
          <w:fldChar w:fldCharType="begin"/>
        </w:r>
        <w:r>
          <w:instrText xml:space="preserve"> PAGE </w:instrText>
        </w:r>
        <w:r>
          <w:fldChar w:fldCharType="separate"/>
        </w:r>
        <w:r w:rsidR="00B91679">
          <w:rPr>
            <w:noProof/>
          </w:rPr>
          <w:t>20</w:t>
        </w:r>
        <w:r>
          <w:fldChar w:fldCharType="end"/>
        </w:r>
      </w:p>
    </w:sdtContent>
  </w:sdt>
  <w:p w14:paraId="14744FC3" w14:textId="77777777" w:rsidR="009E08B4" w:rsidRDefault="009E0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EE54D" w14:textId="77777777" w:rsidR="00DC1113" w:rsidRDefault="00DC1113">
      <w:pPr>
        <w:rPr>
          <w:sz w:val="12"/>
        </w:rPr>
      </w:pPr>
      <w:r>
        <w:separator/>
      </w:r>
    </w:p>
  </w:footnote>
  <w:footnote w:type="continuationSeparator" w:id="0">
    <w:p w14:paraId="10B81F9D" w14:textId="77777777" w:rsidR="00DC1113" w:rsidRDefault="00DC1113">
      <w:pPr>
        <w:rPr>
          <w:sz w:val="12"/>
        </w:rPr>
      </w:pPr>
      <w:r>
        <w:continuationSeparator/>
      </w:r>
    </w:p>
  </w:footnote>
  <w:footnote w:id="1">
    <w:p w14:paraId="04B988D1" w14:textId="6F3FE479" w:rsidR="009E08B4" w:rsidRPr="00205B77" w:rsidRDefault="009E08B4" w:rsidP="004D4E84">
      <w:pPr>
        <w:pStyle w:val="FootnoteText"/>
        <w:spacing w:line="240" w:lineRule="auto"/>
        <w:jc w:val="both"/>
        <w:rPr>
          <w:rStyle w:val="FRABodyTextChar"/>
          <w:sz w:val="18"/>
          <w:szCs w:val="18"/>
        </w:rPr>
      </w:pPr>
      <w:r w:rsidRPr="00205B77">
        <w:rPr>
          <w:rStyle w:val="FootnoteReference"/>
          <w:rFonts w:ascii="Verdana" w:hAnsi="Verdana"/>
          <w:sz w:val="18"/>
          <w:szCs w:val="18"/>
        </w:rPr>
        <w:footnoteRef/>
      </w:r>
      <w:r w:rsidRPr="00205B77">
        <w:rPr>
          <w:rFonts w:ascii="Verdana" w:hAnsi="Verdana"/>
          <w:sz w:val="18"/>
          <w:szCs w:val="18"/>
        </w:rPr>
        <w:t xml:space="preserve"> </w:t>
      </w:r>
      <w:bookmarkStart w:id="1" w:name="_Hlk153465707"/>
      <w:r w:rsidRPr="00205B77">
        <w:rPr>
          <w:rStyle w:val="FRABodyTextChar"/>
          <w:sz w:val="18"/>
          <w:szCs w:val="18"/>
        </w:rPr>
        <w:t xml:space="preserve">Portugal, </w:t>
      </w:r>
      <w:hyperlink r:id="rId1" w:history="1">
        <w:r w:rsidRPr="00205B77">
          <w:rPr>
            <w:rStyle w:val="Hyperlink"/>
            <w:rFonts w:ascii="Verdana" w:hAnsi="Verdana"/>
            <w:sz w:val="18"/>
            <w:szCs w:val="18"/>
          </w:rPr>
          <w:t>Resolução do Conselho de Ministros 119/2021, que aprova a Estratégia Nacional para a Inclusão das Pessoas com Deficiência 2021-2025</w:t>
        </w:r>
      </w:hyperlink>
      <w:r w:rsidRPr="00205B77">
        <w:rPr>
          <w:rStyle w:val="FRABodyTextChar"/>
          <w:sz w:val="18"/>
          <w:szCs w:val="18"/>
        </w:rPr>
        <w:t xml:space="preserve"> (Resolution of the Council of Ministers 119/2022, approving the National Strategy for the Inclusion of People with Disabilities 2021-2025), 31 August 2021. </w:t>
      </w:r>
    </w:p>
    <w:bookmarkEnd w:id="1"/>
  </w:footnote>
  <w:footnote w:id="2">
    <w:p w14:paraId="41FEFD8B" w14:textId="584619D3"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2" w:history="1">
        <w:r w:rsidRPr="00205B77">
          <w:rPr>
            <w:rStyle w:val="Hyperlink"/>
            <w:rFonts w:ascii="Verdana" w:hAnsi="Verdana"/>
            <w:sz w:val="18"/>
            <w:szCs w:val="18"/>
            <w:lang w:val="pt-PT"/>
          </w:rPr>
          <w:t>Constituição da República Portuguesa</w:t>
        </w:r>
      </w:hyperlink>
      <w:r w:rsidRPr="00205B77">
        <w:rPr>
          <w:rFonts w:ascii="Verdana" w:hAnsi="Verdana"/>
          <w:sz w:val="18"/>
          <w:szCs w:val="18"/>
          <w:lang w:val="pt-PT"/>
        </w:rPr>
        <w:t xml:space="preserve"> (Constitution of the Portuguese Republic), 10 April 1974. </w:t>
      </w:r>
    </w:p>
  </w:footnote>
  <w:footnote w:id="3">
    <w:p w14:paraId="50833B7B" w14:textId="1B09FF6B"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3" w:history="1">
        <w:r w:rsidRPr="00205B77">
          <w:rPr>
            <w:rStyle w:val="Hyperlink"/>
            <w:rFonts w:ascii="Verdana" w:hAnsi="Verdana"/>
            <w:sz w:val="18"/>
            <w:szCs w:val="18"/>
            <w:lang w:val="pt-PT"/>
          </w:rPr>
          <w:t>Lei 13/99, que estabelece o novo regime jurídico do recenseamento eleitoral</w:t>
        </w:r>
      </w:hyperlink>
      <w:r w:rsidRPr="00205B77">
        <w:rPr>
          <w:rFonts w:ascii="Verdana" w:hAnsi="Verdana"/>
          <w:sz w:val="18"/>
          <w:szCs w:val="18"/>
          <w:lang w:val="pt-PT"/>
        </w:rPr>
        <w:t xml:space="preserve"> (Law 13/99, establishing the new legal regime for voter registration), 22 March 1999.</w:t>
      </w:r>
    </w:p>
  </w:footnote>
  <w:footnote w:id="4">
    <w:p w14:paraId="733791CA" w14:textId="3C65A167"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4" w:history="1">
        <w:r w:rsidRPr="00205B77">
          <w:rPr>
            <w:rStyle w:val="Hyperlink"/>
            <w:rFonts w:ascii="Verdana" w:hAnsi="Verdana"/>
            <w:sz w:val="18"/>
            <w:szCs w:val="18"/>
            <w:lang w:val="pt-PT"/>
          </w:rPr>
          <w:t>Decreto-Lei 319-A/76, que regulamenta a eleição do Presidente da República</w:t>
        </w:r>
      </w:hyperlink>
      <w:r w:rsidRPr="00205B77">
        <w:rPr>
          <w:rFonts w:ascii="Verdana" w:hAnsi="Verdana"/>
          <w:sz w:val="18"/>
          <w:szCs w:val="18"/>
          <w:lang w:val="pt-PT"/>
        </w:rPr>
        <w:t xml:space="preserve"> (Decree-Law 319-A/76, regulating the election of the President of the Republic), 3 May 1976. </w:t>
      </w:r>
    </w:p>
  </w:footnote>
  <w:footnote w:id="5">
    <w:p w14:paraId="0871A4A7" w14:textId="5159C424"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5" w:history="1">
        <w:r w:rsidRPr="00205B77">
          <w:rPr>
            <w:rStyle w:val="Hyperlink"/>
            <w:rFonts w:ascii="Verdana" w:hAnsi="Verdana"/>
            <w:sz w:val="18"/>
            <w:szCs w:val="18"/>
            <w:lang w:val="pt-PT"/>
          </w:rPr>
          <w:t>Lei 14/79, sobre a Lei Eleitoral para a Assembleia da República</w:t>
        </w:r>
      </w:hyperlink>
      <w:r w:rsidRPr="00205B77">
        <w:rPr>
          <w:rFonts w:ascii="Verdana" w:hAnsi="Verdana"/>
          <w:sz w:val="18"/>
          <w:szCs w:val="18"/>
          <w:lang w:val="pt-PT"/>
        </w:rPr>
        <w:t xml:space="preserve"> (Law 14/79, on the Electoral Law for the </w:t>
      </w:r>
      <w:r w:rsidR="00681752">
        <w:rPr>
          <w:rFonts w:ascii="Verdana" w:hAnsi="Verdana"/>
          <w:sz w:val="18"/>
          <w:szCs w:val="18"/>
          <w:lang w:val="pt-PT"/>
        </w:rPr>
        <w:t>Parliament</w:t>
      </w:r>
      <w:r w:rsidRPr="00205B77">
        <w:rPr>
          <w:rFonts w:ascii="Verdana" w:hAnsi="Verdana"/>
          <w:sz w:val="18"/>
          <w:szCs w:val="18"/>
          <w:lang w:val="pt-PT"/>
        </w:rPr>
        <w:t>), 16 May 1979</w:t>
      </w:r>
      <w:r w:rsidR="008601E4" w:rsidRPr="00205B77">
        <w:rPr>
          <w:rFonts w:ascii="Verdana" w:hAnsi="Verdana"/>
          <w:sz w:val="18"/>
          <w:szCs w:val="18"/>
          <w:lang w:val="pt-PT"/>
        </w:rPr>
        <w:t>.</w:t>
      </w:r>
    </w:p>
  </w:footnote>
  <w:footnote w:id="6">
    <w:p w14:paraId="36C9AEDC" w14:textId="67DEA16E"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w:t>
      </w:r>
      <w:bookmarkStart w:id="2" w:name="_Hlk153448772"/>
      <w:r w:rsidRPr="00205B77">
        <w:rPr>
          <w:rFonts w:ascii="Verdana" w:hAnsi="Verdana"/>
          <w:sz w:val="18"/>
          <w:szCs w:val="18"/>
          <w:lang w:val="pt-PT"/>
        </w:rPr>
        <w:t xml:space="preserve">Portugal, </w:t>
      </w:r>
      <w:hyperlink r:id="rId6" w:history="1">
        <w:r w:rsidRPr="00205B77">
          <w:rPr>
            <w:rStyle w:val="Hyperlink"/>
            <w:rFonts w:ascii="Verdana" w:hAnsi="Verdana"/>
            <w:sz w:val="18"/>
            <w:szCs w:val="18"/>
            <w:lang w:val="pt-PT"/>
          </w:rPr>
          <w:t>Lei Orgânica</w:t>
        </w:r>
        <w:r w:rsidR="008601E4" w:rsidRPr="00205B77">
          <w:rPr>
            <w:rStyle w:val="Hyperlink"/>
            <w:rFonts w:ascii="Verdana" w:hAnsi="Verdana"/>
            <w:sz w:val="18"/>
            <w:szCs w:val="18"/>
            <w:lang w:val="pt-PT"/>
          </w:rPr>
          <w:t xml:space="preserve"> </w:t>
        </w:r>
        <w:r w:rsidRPr="00205B77">
          <w:rPr>
            <w:rStyle w:val="Hyperlink"/>
            <w:rFonts w:ascii="Verdana" w:hAnsi="Verdana"/>
            <w:sz w:val="18"/>
            <w:szCs w:val="18"/>
            <w:lang w:val="pt-PT"/>
          </w:rPr>
          <w:t>1/2001, sobre Eleição dos titulares dos órgãos das autarquias locais</w:t>
        </w:r>
      </w:hyperlink>
      <w:r w:rsidRPr="00205B77">
        <w:rPr>
          <w:rFonts w:ascii="Verdana" w:hAnsi="Verdana"/>
          <w:sz w:val="18"/>
          <w:szCs w:val="18"/>
          <w:lang w:val="pt-PT"/>
        </w:rPr>
        <w:t xml:space="preserve"> (Organic Law 1/2001 on the Election of Local Authority Entities), 14 August 2001.</w:t>
      </w:r>
    </w:p>
    <w:bookmarkEnd w:id="2"/>
  </w:footnote>
  <w:footnote w:id="7">
    <w:p w14:paraId="37377D5D" w14:textId="4F089045"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7" w:history="1">
        <w:r w:rsidRPr="00205B77">
          <w:rPr>
            <w:rStyle w:val="Hyperlink"/>
            <w:rFonts w:ascii="Verdana" w:hAnsi="Verdana"/>
            <w:sz w:val="18"/>
            <w:szCs w:val="18"/>
            <w:lang w:val="pt-PT"/>
          </w:rPr>
          <w:t>Lei Orgânica 3/2018, que procede à décima sexta alteração à Lei 14/79, de 16 de maio, que aprova a Lei Eleitoral para a Assembleia da República</w:t>
        </w:r>
        <w:r w:rsidRPr="00205B77">
          <w:rPr>
            <w:rFonts w:ascii="Verdana" w:hAnsi="Verdana"/>
            <w:sz w:val="18"/>
            <w:szCs w:val="18"/>
            <w:lang w:val="pt-PT"/>
          </w:rPr>
          <w:t>, à vigésima primeira alteração ao Decreto-Lei 319-A/76, de 3 de maio, que regulamenta a eleição do Presidente da República, à oitava alteração à Lei Orgânica 1/2001, de 14 de agosto, que regula a eleição dos titulares dos órgãos das autarquias locais, à terceira alteração à Lei Orgânica 4/2000, de 24 de agosto, que aprova o regime jurídico do referendo local, e revoga o Decreto-Lei 95-C/76, de 30 de janeiro, que estabelece a organização do processo eleitoral no estrangeiro</w:t>
        </w:r>
      </w:hyperlink>
      <w:r w:rsidRPr="00205B77">
        <w:rPr>
          <w:rFonts w:ascii="Verdana" w:hAnsi="Verdana"/>
          <w:sz w:val="18"/>
          <w:szCs w:val="18"/>
          <w:lang w:val="pt-PT"/>
        </w:rPr>
        <w:t xml:space="preserve"> (Organic Law 3/2018, which makes the sixteenth amendment to Law 14/79 of 16 May, which approves the Electoral Law for the </w:t>
      </w:r>
      <w:r w:rsidR="00681752">
        <w:rPr>
          <w:rFonts w:ascii="Verdana" w:hAnsi="Verdana"/>
          <w:sz w:val="18"/>
          <w:szCs w:val="18"/>
          <w:lang w:val="pt-PT"/>
        </w:rPr>
        <w:t>Parliament</w:t>
      </w:r>
      <w:r w:rsidRPr="00205B77">
        <w:rPr>
          <w:rFonts w:ascii="Verdana" w:hAnsi="Verdana"/>
          <w:sz w:val="18"/>
          <w:szCs w:val="18"/>
          <w:lang w:val="pt-PT"/>
        </w:rPr>
        <w:t>, the twenty-first amendment to Decree-Law 319-A/76 of 3 May, which regulates the election of the President of the Republic, the eighth amendment to Organic Law 1/2001, of August 14, which regulates the election of local authority body members, the third amendment to Organic Law 4/2000, of August 24, which approves the legal framework for local referendums, and repeals Decree-Law 95-C/76, of January 30, which establishes the organisation of the electoral process abroad), 17 August 2018.</w:t>
      </w:r>
    </w:p>
  </w:footnote>
  <w:footnote w:id="8">
    <w:p w14:paraId="49174952" w14:textId="6C815D14" w:rsidR="009E08B4" w:rsidRPr="00205B77" w:rsidRDefault="009E08B4" w:rsidP="004D4E84">
      <w:pPr>
        <w:pStyle w:val="FootnoteText"/>
        <w:spacing w:line="240" w:lineRule="auto"/>
        <w:ind w:left="284" w:hanging="284"/>
        <w:jc w:val="both"/>
        <w:rPr>
          <w:rFonts w:ascii="Verdana" w:hAnsi="Verdana"/>
          <w:sz w:val="18"/>
          <w:szCs w:val="18"/>
        </w:rPr>
      </w:pPr>
      <w:r w:rsidRPr="00205B77">
        <w:rPr>
          <w:rStyle w:val="FootnoteReference"/>
          <w:rFonts w:ascii="Verdana" w:hAnsi="Verdana"/>
          <w:sz w:val="18"/>
          <w:szCs w:val="18"/>
        </w:rPr>
        <w:footnoteRef/>
      </w:r>
      <w:r w:rsidRPr="00205B77">
        <w:rPr>
          <w:rFonts w:ascii="Verdana" w:hAnsi="Verdana"/>
          <w:sz w:val="18"/>
          <w:szCs w:val="18"/>
        </w:rPr>
        <w:t xml:space="preserve"> </w:t>
      </w:r>
      <w:bookmarkStart w:id="3" w:name="_Hlk1526913961"/>
      <w:r w:rsidRPr="00205B77">
        <w:rPr>
          <w:rFonts w:ascii="Verdana" w:hAnsi="Verdana"/>
          <w:sz w:val="18"/>
          <w:szCs w:val="18"/>
        </w:rPr>
        <w:t xml:space="preserve">For more information, see the </w:t>
      </w:r>
      <w:hyperlink r:id="rId8">
        <w:r w:rsidRPr="00205B77">
          <w:rPr>
            <w:rStyle w:val="LigaodeInternet"/>
            <w:rFonts w:ascii="Verdana" w:hAnsi="Verdana"/>
            <w:sz w:val="18"/>
            <w:szCs w:val="18"/>
          </w:rPr>
          <w:t>website of the National Elections Commission</w:t>
        </w:r>
      </w:hyperlink>
      <w:r w:rsidRPr="00205B77">
        <w:rPr>
          <w:rFonts w:ascii="Verdana" w:hAnsi="Verdana"/>
          <w:sz w:val="18"/>
          <w:szCs w:val="18"/>
        </w:rPr>
        <w:t>.</w:t>
      </w:r>
      <w:bookmarkEnd w:id="3"/>
    </w:p>
  </w:footnote>
  <w:footnote w:id="9">
    <w:p w14:paraId="1111EEB4" w14:textId="37FA2730" w:rsidR="009E08B4" w:rsidRPr="00205B77" w:rsidRDefault="009E08B4" w:rsidP="004D4E84">
      <w:pPr>
        <w:pStyle w:val="FootnoteText"/>
        <w:spacing w:line="240" w:lineRule="auto"/>
        <w:ind w:left="284" w:hanging="284"/>
        <w:jc w:val="both"/>
        <w:rPr>
          <w:rFonts w:ascii="Verdana" w:hAnsi="Verdana"/>
          <w:sz w:val="18"/>
          <w:szCs w:val="18"/>
        </w:rPr>
      </w:pPr>
      <w:r w:rsidRPr="00205B77">
        <w:rPr>
          <w:rStyle w:val="FootnoteReference"/>
          <w:rFonts w:ascii="Verdana" w:hAnsi="Verdana"/>
          <w:sz w:val="18"/>
          <w:szCs w:val="18"/>
        </w:rPr>
        <w:footnoteRef/>
      </w:r>
      <w:r w:rsidRPr="00205B77">
        <w:rPr>
          <w:rFonts w:ascii="Verdana" w:hAnsi="Verdana"/>
          <w:sz w:val="18"/>
          <w:szCs w:val="18"/>
        </w:rPr>
        <w:t xml:space="preserve"> For more information, see the </w:t>
      </w:r>
      <w:hyperlink r:id="rId9">
        <w:r w:rsidRPr="00205B77">
          <w:rPr>
            <w:rStyle w:val="LigaodeInternet"/>
            <w:rFonts w:ascii="Verdana" w:hAnsi="Verdana"/>
            <w:sz w:val="18"/>
            <w:szCs w:val="18"/>
          </w:rPr>
          <w:t>website of the National Elections Commission</w:t>
        </w:r>
      </w:hyperlink>
      <w:r w:rsidRPr="00205B77">
        <w:rPr>
          <w:rStyle w:val="LigaodeInternet"/>
          <w:rFonts w:ascii="Verdana" w:hAnsi="Verdana"/>
          <w:sz w:val="18"/>
          <w:szCs w:val="18"/>
        </w:rPr>
        <w:t xml:space="preserve">. </w:t>
      </w:r>
    </w:p>
  </w:footnote>
  <w:footnote w:id="10">
    <w:p w14:paraId="0D44A92C" w14:textId="701D3393" w:rsidR="00FD0323" w:rsidRPr="00FD0323" w:rsidRDefault="00FD0323" w:rsidP="004D4E84">
      <w:pPr>
        <w:pStyle w:val="FootnoteText"/>
        <w:spacing w:line="240" w:lineRule="auto"/>
        <w:ind w:left="284" w:hanging="284"/>
        <w:jc w:val="both"/>
      </w:pPr>
      <w:r>
        <w:rPr>
          <w:rStyle w:val="FootnoteReference"/>
        </w:rPr>
        <w:footnoteRef/>
      </w:r>
      <w:r w:rsidRPr="00FD0323">
        <w:t xml:space="preserve"> </w:t>
      </w:r>
      <w:r w:rsidRPr="00205B77">
        <w:rPr>
          <w:rFonts w:ascii="Verdana" w:hAnsi="Verdana"/>
          <w:sz w:val="18"/>
          <w:szCs w:val="18"/>
        </w:rPr>
        <w:t xml:space="preserve">For more information, see the </w:t>
      </w:r>
      <w:hyperlink r:id="rId10" w:history="1">
        <w:r w:rsidRPr="00FD0323">
          <w:rPr>
            <w:rStyle w:val="Hyperlink"/>
            <w:rFonts w:ascii="Verdana" w:hAnsi="Verdana"/>
            <w:sz w:val="18"/>
            <w:szCs w:val="18"/>
          </w:rPr>
          <w:t>website of the National Elections Commission</w:t>
        </w:r>
      </w:hyperlink>
      <w:r w:rsidRPr="00205B77">
        <w:rPr>
          <w:rStyle w:val="LigaodeInternet"/>
          <w:rFonts w:ascii="Verdana" w:hAnsi="Verdana"/>
          <w:sz w:val="18"/>
          <w:szCs w:val="18"/>
        </w:rPr>
        <w:t>.</w:t>
      </w:r>
    </w:p>
  </w:footnote>
  <w:footnote w:id="11">
    <w:p w14:paraId="4AD809E0" w14:textId="625BAF37" w:rsidR="004D4E84" w:rsidRPr="004D4E84" w:rsidRDefault="004D4E84" w:rsidP="004D4E84">
      <w:pPr>
        <w:pStyle w:val="FootnoteText"/>
        <w:spacing w:line="240" w:lineRule="auto"/>
        <w:ind w:left="284" w:hanging="284"/>
        <w:jc w:val="both"/>
      </w:pPr>
      <w:r>
        <w:rPr>
          <w:rStyle w:val="FootnoteReference"/>
        </w:rPr>
        <w:footnoteRef/>
      </w:r>
      <w:r w:rsidRPr="004D4E84">
        <w:t xml:space="preserve"> </w:t>
      </w:r>
      <w:r w:rsidRPr="00205B77">
        <w:rPr>
          <w:rFonts w:ascii="Verdana" w:hAnsi="Verdana"/>
          <w:sz w:val="18"/>
          <w:szCs w:val="18"/>
        </w:rPr>
        <w:t xml:space="preserve">For more information, see the </w:t>
      </w:r>
      <w:hyperlink r:id="rId11" w:history="1">
        <w:r w:rsidRPr="004D4E84">
          <w:rPr>
            <w:rStyle w:val="Hyperlink"/>
            <w:rFonts w:ascii="Verdana" w:hAnsi="Verdana"/>
            <w:sz w:val="18"/>
            <w:szCs w:val="18"/>
          </w:rPr>
          <w:t>website of the National Elections Commission</w:t>
        </w:r>
      </w:hyperlink>
      <w:r w:rsidRPr="00205B77">
        <w:rPr>
          <w:rStyle w:val="LigaodeInternet"/>
          <w:rFonts w:ascii="Verdana" w:hAnsi="Verdana"/>
          <w:sz w:val="18"/>
          <w:szCs w:val="18"/>
        </w:rPr>
        <w:t>.</w:t>
      </w:r>
    </w:p>
  </w:footnote>
  <w:footnote w:id="12">
    <w:p w14:paraId="72DDFCCC" w14:textId="31FED39F"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12" w:history="1">
        <w:r w:rsidRPr="00205B77">
          <w:rPr>
            <w:rStyle w:val="Hyperlink"/>
            <w:rFonts w:ascii="Verdana" w:hAnsi="Verdana"/>
            <w:sz w:val="18"/>
            <w:szCs w:val="18"/>
            <w:lang w:val="pt-PT"/>
          </w:rPr>
          <w:t>Lei Orgânica</w:t>
        </w:r>
        <w:r w:rsidR="001A735C" w:rsidRPr="00205B77">
          <w:rPr>
            <w:rStyle w:val="Hyperlink"/>
            <w:rFonts w:ascii="Verdana" w:hAnsi="Verdana"/>
            <w:sz w:val="18"/>
            <w:szCs w:val="18"/>
            <w:lang w:val="pt-PT"/>
          </w:rPr>
          <w:t xml:space="preserve"> </w:t>
        </w:r>
        <w:r w:rsidRPr="00205B77">
          <w:rPr>
            <w:rStyle w:val="Hyperlink"/>
            <w:rFonts w:ascii="Verdana" w:hAnsi="Verdana"/>
            <w:sz w:val="18"/>
            <w:szCs w:val="18"/>
            <w:lang w:val="pt-PT"/>
          </w:rPr>
          <w:t>1/2001, sobre Eleição dos titulares dos órgãos das autarquias locais</w:t>
        </w:r>
      </w:hyperlink>
      <w:r w:rsidRPr="00205B77">
        <w:rPr>
          <w:rFonts w:ascii="Verdana" w:hAnsi="Verdana"/>
          <w:sz w:val="18"/>
          <w:szCs w:val="18"/>
          <w:lang w:val="pt-PT"/>
        </w:rPr>
        <w:t xml:space="preserve"> (Organic Law 1/2001 on the Election of Local Authority Entities), 14 August 2001.</w:t>
      </w:r>
    </w:p>
  </w:footnote>
  <w:footnote w:id="13">
    <w:p w14:paraId="20C3AD5E" w14:textId="79148B00"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13" w:history="1">
        <w:r w:rsidRPr="00205B77">
          <w:rPr>
            <w:rStyle w:val="Hyperlink"/>
            <w:rFonts w:ascii="Verdana" w:hAnsi="Verdana"/>
            <w:sz w:val="18"/>
            <w:szCs w:val="18"/>
            <w:lang w:val="pt-PT"/>
          </w:rPr>
          <w:t>Decreto-Lei 319-A/76, que regulamenta a eleição do Presidente da República</w:t>
        </w:r>
      </w:hyperlink>
      <w:r w:rsidRPr="00205B77">
        <w:rPr>
          <w:rFonts w:ascii="Verdana" w:hAnsi="Verdana"/>
          <w:sz w:val="18"/>
          <w:szCs w:val="18"/>
          <w:lang w:val="pt-PT"/>
        </w:rPr>
        <w:t xml:space="preserve"> (Decree-Law 319-A/76, regulating the election of the President of the Republic), 3 May 1976.</w:t>
      </w:r>
    </w:p>
  </w:footnote>
  <w:footnote w:id="14">
    <w:p w14:paraId="54CB0295" w14:textId="2F327AC0"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14" w:history="1">
        <w:r w:rsidRPr="00205B77">
          <w:rPr>
            <w:rStyle w:val="Hyperlink"/>
            <w:rFonts w:ascii="Verdana" w:hAnsi="Verdana"/>
            <w:sz w:val="18"/>
            <w:szCs w:val="18"/>
            <w:lang w:val="pt-PT"/>
          </w:rPr>
          <w:t>Lei 14/79, sobre a Lei Eleitoral para a Assembleia da República</w:t>
        </w:r>
      </w:hyperlink>
      <w:r w:rsidRPr="00205B77">
        <w:rPr>
          <w:rFonts w:ascii="Verdana" w:hAnsi="Verdana"/>
          <w:sz w:val="18"/>
          <w:szCs w:val="18"/>
          <w:lang w:val="pt-PT"/>
        </w:rPr>
        <w:t xml:space="preserve"> (Law 14/79, on the Electoral Law for the </w:t>
      </w:r>
      <w:r w:rsidR="00681752">
        <w:rPr>
          <w:rFonts w:ascii="Verdana" w:hAnsi="Verdana"/>
          <w:sz w:val="18"/>
          <w:szCs w:val="18"/>
          <w:lang w:val="pt-PT"/>
        </w:rPr>
        <w:t>Parliament</w:t>
      </w:r>
      <w:r w:rsidRPr="00205B77">
        <w:rPr>
          <w:rFonts w:ascii="Verdana" w:hAnsi="Verdana"/>
          <w:sz w:val="18"/>
          <w:szCs w:val="18"/>
          <w:lang w:val="pt-PT"/>
        </w:rPr>
        <w:t>), 16 May 1979</w:t>
      </w:r>
    </w:p>
  </w:footnote>
  <w:footnote w:id="15">
    <w:p w14:paraId="38B62A25" w14:textId="1511ABEB"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15" w:history="1">
        <w:r w:rsidRPr="00205B77">
          <w:rPr>
            <w:rStyle w:val="Hyperlink"/>
            <w:rFonts w:ascii="Verdana" w:hAnsi="Verdana"/>
            <w:sz w:val="18"/>
            <w:szCs w:val="18"/>
            <w:lang w:val="pt-PT"/>
          </w:rPr>
          <w:t>Lei Orgânica</w:t>
        </w:r>
        <w:r w:rsidR="008A7F18">
          <w:rPr>
            <w:rStyle w:val="Hyperlink"/>
            <w:rFonts w:ascii="Verdana" w:hAnsi="Verdana"/>
            <w:sz w:val="18"/>
            <w:szCs w:val="18"/>
            <w:lang w:val="pt-PT"/>
          </w:rPr>
          <w:t xml:space="preserve"> </w:t>
        </w:r>
        <w:r w:rsidRPr="00205B77">
          <w:rPr>
            <w:rStyle w:val="Hyperlink"/>
            <w:rFonts w:ascii="Verdana" w:hAnsi="Verdana"/>
            <w:sz w:val="18"/>
            <w:szCs w:val="18"/>
            <w:lang w:val="pt-PT"/>
          </w:rPr>
          <w:t>1/2001, sobre Eleição dos titulares dos órgãos das autarquias locais</w:t>
        </w:r>
      </w:hyperlink>
      <w:r w:rsidRPr="00205B77">
        <w:rPr>
          <w:rFonts w:ascii="Verdana" w:hAnsi="Verdana"/>
          <w:sz w:val="18"/>
          <w:szCs w:val="18"/>
          <w:lang w:val="pt-PT"/>
        </w:rPr>
        <w:t xml:space="preserve"> (Organic Law 1/2001 on the Election of Local Authority Entities), 14 August 2001.</w:t>
      </w:r>
    </w:p>
  </w:footnote>
  <w:footnote w:id="16">
    <w:p w14:paraId="4DE47B6B" w14:textId="77777777"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16" w:history="1">
        <w:r w:rsidRPr="00205B77">
          <w:rPr>
            <w:rStyle w:val="Hyperlink"/>
            <w:rFonts w:ascii="Verdana" w:hAnsi="Verdana"/>
            <w:sz w:val="18"/>
            <w:szCs w:val="18"/>
            <w:lang w:val="pt-PT"/>
          </w:rPr>
          <w:t>Decreto-Lei 319-A/76, que regulamenta a eleição do Presidente da República</w:t>
        </w:r>
      </w:hyperlink>
      <w:r w:rsidRPr="00205B77">
        <w:rPr>
          <w:rFonts w:ascii="Verdana" w:hAnsi="Verdana"/>
          <w:sz w:val="18"/>
          <w:szCs w:val="18"/>
          <w:lang w:val="pt-PT"/>
        </w:rPr>
        <w:t xml:space="preserve"> (Decree-Law 319-A/76, regulating the election of the President of the Republic), 3 May 1976.</w:t>
      </w:r>
    </w:p>
  </w:footnote>
  <w:footnote w:id="17">
    <w:p w14:paraId="098B4EBB" w14:textId="5C983F2F" w:rsidR="009E08B4" w:rsidRPr="00205B77"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17" w:history="1">
        <w:r w:rsidRPr="00205B77">
          <w:rPr>
            <w:rStyle w:val="Hyperlink"/>
            <w:rFonts w:ascii="Verdana" w:hAnsi="Verdana"/>
            <w:sz w:val="18"/>
            <w:szCs w:val="18"/>
            <w:lang w:val="pt-PT"/>
          </w:rPr>
          <w:t>Lei 14/79, sobre a Lei Eleitoral para a Assembleia da República</w:t>
        </w:r>
      </w:hyperlink>
      <w:r w:rsidRPr="00205B77">
        <w:rPr>
          <w:rFonts w:ascii="Verdana" w:hAnsi="Verdana"/>
          <w:sz w:val="18"/>
          <w:szCs w:val="18"/>
          <w:lang w:val="pt-PT"/>
        </w:rPr>
        <w:t xml:space="preserve"> (Law 14/79, on the Electoral Law for the </w:t>
      </w:r>
      <w:r w:rsidR="00681752">
        <w:rPr>
          <w:rFonts w:ascii="Verdana" w:hAnsi="Verdana"/>
          <w:sz w:val="18"/>
          <w:szCs w:val="18"/>
          <w:lang w:val="pt-PT"/>
        </w:rPr>
        <w:t>Parliament</w:t>
      </w:r>
      <w:r w:rsidRPr="00205B77">
        <w:rPr>
          <w:rFonts w:ascii="Verdana" w:hAnsi="Verdana"/>
          <w:sz w:val="18"/>
          <w:szCs w:val="18"/>
          <w:lang w:val="pt-PT"/>
        </w:rPr>
        <w:t>), 16 May 1979</w:t>
      </w:r>
    </w:p>
  </w:footnote>
  <w:footnote w:id="18">
    <w:p w14:paraId="6413C054" w14:textId="77777777" w:rsidR="009E08B4" w:rsidRPr="00205B77" w:rsidRDefault="009E08B4" w:rsidP="004D4E84">
      <w:pPr>
        <w:pStyle w:val="FootnoteText"/>
        <w:spacing w:line="240" w:lineRule="auto"/>
        <w:jc w:val="both"/>
        <w:rPr>
          <w:rFonts w:ascii="Verdana" w:hAnsi="Verdana"/>
          <w:sz w:val="18"/>
          <w:szCs w:val="18"/>
          <w:lang w:val="pt-PT"/>
        </w:rPr>
      </w:pPr>
      <w:r w:rsidRPr="00205B77">
        <w:rPr>
          <w:rStyle w:val="Caracteresdanotaderodap"/>
          <w:rFonts w:ascii="Verdana" w:hAnsi="Verdana"/>
          <w:sz w:val="18"/>
          <w:szCs w:val="18"/>
        </w:rPr>
        <w:footnoteRef/>
      </w:r>
      <w:r w:rsidRPr="00205B77">
        <w:rPr>
          <w:rFonts w:ascii="Verdana" w:hAnsi="Verdana"/>
          <w:sz w:val="18"/>
          <w:szCs w:val="18"/>
          <w:lang w:val="pt-PT"/>
        </w:rPr>
        <w:tab/>
        <w:t xml:space="preserve"> Portugal, </w:t>
      </w:r>
      <w:hyperlink r:id="rId18">
        <w:r w:rsidRPr="00205B77">
          <w:rPr>
            <w:rStyle w:val="LigaodeInternet"/>
            <w:rFonts w:ascii="Verdana" w:hAnsi="Verdana"/>
            <w:sz w:val="18"/>
            <w:szCs w:val="18"/>
            <w:lang w:val="pt-PT"/>
          </w:rPr>
          <w:t>Deliberação 540/2020, que estabelece o regimento da Comissão Nacional de Eleições</w:t>
        </w:r>
      </w:hyperlink>
      <w:r w:rsidRPr="00205B77">
        <w:rPr>
          <w:rFonts w:ascii="Verdana" w:hAnsi="Verdana"/>
          <w:sz w:val="18"/>
          <w:szCs w:val="18"/>
          <w:lang w:val="pt-PT"/>
        </w:rPr>
        <w:t xml:space="preserve"> (Resolution 540/2020, which establishes the regulations of the National Elections Commission), 05 May 2020. </w:t>
      </w:r>
    </w:p>
  </w:footnote>
  <w:footnote w:id="19">
    <w:p w14:paraId="64C65225" w14:textId="77777777" w:rsidR="009E08B4" w:rsidRPr="00205B77" w:rsidRDefault="009E08B4" w:rsidP="004D4E84">
      <w:pPr>
        <w:pStyle w:val="FootnoteText"/>
        <w:spacing w:line="240" w:lineRule="auto"/>
        <w:jc w:val="both"/>
        <w:rPr>
          <w:rFonts w:ascii="Verdana" w:hAnsi="Verdana"/>
          <w:sz w:val="18"/>
          <w:szCs w:val="18"/>
        </w:rPr>
      </w:pPr>
      <w:r w:rsidRPr="00205B77">
        <w:rPr>
          <w:rStyle w:val="Caracteresdanotaderodap"/>
          <w:rFonts w:ascii="Verdana" w:hAnsi="Verdana"/>
          <w:sz w:val="18"/>
          <w:szCs w:val="18"/>
        </w:rPr>
        <w:footnoteRef/>
      </w:r>
      <w:r w:rsidRPr="00205B77">
        <w:rPr>
          <w:rFonts w:ascii="Verdana" w:hAnsi="Verdana"/>
          <w:sz w:val="18"/>
          <w:szCs w:val="18"/>
        </w:rPr>
        <w:tab/>
        <w:t xml:space="preserve"> For more information, see the </w:t>
      </w:r>
      <w:hyperlink r:id="rId19">
        <w:r w:rsidRPr="00205B77">
          <w:rPr>
            <w:rStyle w:val="LigaodeInternet"/>
            <w:rFonts w:ascii="Verdana" w:hAnsi="Verdana"/>
            <w:sz w:val="18"/>
            <w:szCs w:val="18"/>
          </w:rPr>
          <w:t>website of the</w:t>
        </w:r>
        <w:r w:rsidRPr="00205B77">
          <w:rPr>
            <w:rStyle w:val="LigaodeInternet"/>
            <w:rFonts w:ascii="Verdana" w:hAnsi="Verdana"/>
            <w:sz w:val="18"/>
            <w:szCs w:val="18"/>
            <w:lang w:val="en-US"/>
          </w:rPr>
          <w:t xml:space="preserve"> National Elections Commission</w:t>
        </w:r>
      </w:hyperlink>
      <w:r w:rsidRPr="00205B77">
        <w:rPr>
          <w:rFonts w:ascii="Verdana" w:hAnsi="Verdana"/>
          <w:sz w:val="18"/>
          <w:szCs w:val="18"/>
          <w:lang w:val="en-US"/>
        </w:rPr>
        <w:t>.</w:t>
      </w:r>
    </w:p>
  </w:footnote>
  <w:footnote w:id="20">
    <w:p w14:paraId="556691B3" w14:textId="49BA0E7F" w:rsidR="00595BA8" w:rsidRPr="00EF3F60" w:rsidRDefault="00595BA8" w:rsidP="004D4E84">
      <w:pPr>
        <w:pStyle w:val="FootnoteText"/>
        <w:spacing w:line="240" w:lineRule="auto"/>
        <w:ind w:left="284" w:hanging="284"/>
        <w:jc w:val="both"/>
        <w:rPr>
          <w:lang w:val="pt-PT"/>
        </w:rPr>
      </w:pPr>
      <w:r>
        <w:rPr>
          <w:rStyle w:val="FootnoteReference"/>
        </w:rPr>
        <w:footnoteRef/>
      </w:r>
      <w:r w:rsidRPr="00EF3F60">
        <w:rPr>
          <w:lang w:val="pt-PT"/>
        </w:rPr>
        <w:t xml:space="preserve"> </w:t>
      </w:r>
      <w:r w:rsidRPr="00EF3F60">
        <w:rPr>
          <w:rFonts w:ascii="Verdana" w:hAnsi="Verdana"/>
          <w:sz w:val="18"/>
          <w:szCs w:val="18"/>
          <w:lang w:val="pt-PT"/>
        </w:rPr>
        <w:t>Portugal, </w:t>
      </w:r>
      <w:hyperlink r:id="rId20" w:history="1">
        <w:r w:rsidRPr="00EF3F60">
          <w:rPr>
            <w:rStyle w:val="Hyperlink"/>
            <w:rFonts w:ascii="Verdana" w:hAnsi="Verdana"/>
            <w:sz w:val="18"/>
            <w:szCs w:val="18"/>
            <w:lang w:val="pt-PT"/>
          </w:rPr>
          <w:t>Lei 49/2018, que cria o regime jurídico do maior acompanhado, eliminando os institutos da interdição e da inabilitação, previstos no Código Civil, aprovado pelo Decreto-Lei 47 344, de 25 de novembro de 1966</w:t>
        </w:r>
      </w:hyperlink>
      <w:r w:rsidRPr="00EF3F60">
        <w:rPr>
          <w:rFonts w:ascii="Verdana" w:hAnsi="Verdana"/>
          <w:sz w:val="18"/>
          <w:szCs w:val="18"/>
          <w:lang w:val="pt-PT"/>
        </w:rPr>
        <w:t xml:space="preserve"> (Law 49/2018, which creates the legal regime for accompanied adults, eliminating the institutes of interdiction and disqualification provided for in the Civil Code, approved by Decree-Law 47 344 of 25 November 1966), 14 August 2018.</w:t>
      </w:r>
    </w:p>
  </w:footnote>
  <w:footnote w:id="21">
    <w:p w14:paraId="409670F7" w14:textId="708E7832" w:rsidR="009E08B4" w:rsidRPr="00EF3F60"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EF3F60">
        <w:rPr>
          <w:rFonts w:ascii="Verdana" w:hAnsi="Verdana"/>
          <w:sz w:val="18"/>
          <w:szCs w:val="18"/>
          <w:lang w:val="pt-PT"/>
        </w:rPr>
        <w:t xml:space="preserve"> National Elections Commission, written response, 30 November 2023.</w:t>
      </w:r>
    </w:p>
  </w:footnote>
  <w:footnote w:id="22">
    <w:p w14:paraId="5C8BD94E" w14:textId="24681357" w:rsidR="009E08B4" w:rsidRPr="00EF3F60" w:rsidRDefault="009E08B4"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EF3F60">
        <w:rPr>
          <w:rFonts w:ascii="Verdana" w:hAnsi="Verdana"/>
          <w:sz w:val="18"/>
          <w:szCs w:val="18"/>
          <w:lang w:val="pt-PT"/>
        </w:rPr>
        <w:t xml:space="preserve"> Comissão Nacional de Eleições (National Elections Commission) (2022), </w:t>
      </w:r>
      <w:hyperlink r:id="rId21" w:history="1">
        <w:r w:rsidRPr="00EF3F60">
          <w:rPr>
            <w:rStyle w:val="Hyperlink"/>
            <w:rFonts w:ascii="Verdana" w:hAnsi="Verdana"/>
            <w:i/>
            <w:sz w:val="18"/>
            <w:szCs w:val="18"/>
            <w:lang w:val="pt-PT"/>
          </w:rPr>
          <w:t>Plano de Atividades e Orçamento 2023</w:t>
        </w:r>
      </w:hyperlink>
      <w:r w:rsidRPr="00EF3F60">
        <w:rPr>
          <w:rFonts w:ascii="Verdana" w:hAnsi="Verdana"/>
          <w:sz w:val="18"/>
          <w:szCs w:val="18"/>
          <w:lang w:val="pt-PT"/>
        </w:rPr>
        <w:t xml:space="preserve"> (Activity Plan and Budget 2023)</w:t>
      </w:r>
      <w:r w:rsidR="00BA0024" w:rsidRPr="00EF3F60">
        <w:rPr>
          <w:rFonts w:ascii="Verdana" w:hAnsi="Verdana"/>
          <w:sz w:val="18"/>
          <w:szCs w:val="18"/>
          <w:lang w:val="pt-PT"/>
        </w:rPr>
        <w:t xml:space="preserve">, Lisboa, National Elections Commission. </w:t>
      </w:r>
    </w:p>
  </w:footnote>
  <w:footnote w:id="23">
    <w:p w14:paraId="68154003" w14:textId="77777777" w:rsidR="009E08B4" w:rsidRPr="00EF3F60" w:rsidRDefault="009E08B4" w:rsidP="004D4E84">
      <w:pPr>
        <w:pStyle w:val="FootnoteText"/>
        <w:spacing w:line="240" w:lineRule="auto"/>
        <w:jc w:val="both"/>
        <w:rPr>
          <w:rFonts w:ascii="Verdana" w:hAnsi="Verdana"/>
          <w:sz w:val="18"/>
          <w:szCs w:val="18"/>
          <w:lang w:val="pt-PT"/>
        </w:rPr>
      </w:pPr>
      <w:r w:rsidRPr="00A86399">
        <w:rPr>
          <w:rStyle w:val="FootnoteReference"/>
        </w:rPr>
        <w:footnoteRef/>
      </w:r>
      <w:r w:rsidRPr="00EF3F60">
        <w:rPr>
          <w:rStyle w:val="FootnoteReference"/>
          <w:lang w:val="pt-PT"/>
        </w:rPr>
        <w:tab/>
      </w:r>
      <w:r w:rsidRPr="00EF3F60">
        <w:rPr>
          <w:rFonts w:ascii="Verdana" w:hAnsi="Verdana"/>
          <w:sz w:val="18"/>
          <w:szCs w:val="18"/>
          <w:lang w:val="pt-PT"/>
        </w:rPr>
        <w:t xml:space="preserve"> Portugal, Supreme Court of Justice (Supremo Tribunal de Justiça), </w:t>
      </w:r>
      <w:hyperlink r:id="rId22">
        <w:r w:rsidRPr="00EF3F60">
          <w:rPr>
            <w:rStyle w:val="LigaodeInternet"/>
            <w:rFonts w:ascii="Verdana" w:hAnsi="Verdana"/>
            <w:sz w:val="18"/>
            <w:szCs w:val="18"/>
            <w:lang w:val="pt-PT"/>
          </w:rPr>
          <w:t>Judgement 1472/22.8T8STR.E1.S1</w:t>
        </w:r>
      </w:hyperlink>
      <w:r w:rsidRPr="00EF3F60">
        <w:rPr>
          <w:rFonts w:ascii="Verdana" w:hAnsi="Verdana"/>
          <w:sz w:val="18"/>
          <w:szCs w:val="18"/>
          <w:lang w:val="pt-PT"/>
        </w:rPr>
        <w:t xml:space="preserve">, 13 September 2023. </w:t>
      </w:r>
    </w:p>
  </w:footnote>
  <w:footnote w:id="24">
    <w:p w14:paraId="124590D4" w14:textId="77777777" w:rsidR="009E08B4" w:rsidRPr="00EF3F60" w:rsidRDefault="009E08B4" w:rsidP="004D4E84">
      <w:pPr>
        <w:pStyle w:val="FootnoteText"/>
        <w:spacing w:line="240" w:lineRule="auto"/>
        <w:jc w:val="both"/>
        <w:rPr>
          <w:rFonts w:ascii="Verdana" w:hAnsi="Verdana"/>
          <w:sz w:val="18"/>
          <w:szCs w:val="18"/>
          <w:lang w:val="pt-PT"/>
        </w:rPr>
      </w:pPr>
      <w:r w:rsidRPr="00A86399">
        <w:rPr>
          <w:rStyle w:val="FootnoteReference"/>
        </w:rPr>
        <w:footnoteRef/>
      </w:r>
      <w:r w:rsidRPr="00EF3F60">
        <w:rPr>
          <w:rStyle w:val="FootnoteReference"/>
          <w:lang w:val="pt-PT"/>
        </w:rPr>
        <w:tab/>
      </w:r>
      <w:r w:rsidRPr="00EF3F60">
        <w:rPr>
          <w:rFonts w:ascii="Verdana" w:hAnsi="Verdana"/>
          <w:sz w:val="18"/>
          <w:szCs w:val="18"/>
          <w:lang w:val="pt-PT"/>
        </w:rPr>
        <w:t xml:space="preserve"> National Elections Commission, written response, 30 November 2023. </w:t>
      </w:r>
    </w:p>
  </w:footnote>
  <w:footnote w:id="25">
    <w:p w14:paraId="11D1D169" w14:textId="77777777" w:rsidR="009E08B4" w:rsidRPr="00205B77" w:rsidRDefault="009E08B4" w:rsidP="004D4E84">
      <w:pPr>
        <w:pStyle w:val="FootnoteText"/>
        <w:spacing w:line="240" w:lineRule="auto"/>
        <w:jc w:val="both"/>
        <w:rPr>
          <w:rFonts w:ascii="Verdana" w:hAnsi="Verdana"/>
          <w:sz w:val="18"/>
          <w:szCs w:val="18"/>
        </w:rPr>
      </w:pPr>
      <w:r w:rsidRPr="00A86399">
        <w:rPr>
          <w:rStyle w:val="FootnoteReference"/>
        </w:rPr>
        <w:footnoteRef/>
      </w:r>
      <w:r w:rsidRPr="00A86399">
        <w:rPr>
          <w:rStyle w:val="FootnoteReference"/>
        </w:rPr>
        <w:tab/>
      </w:r>
      <w:r w:rsidRPr="00205B77">
        <w:rPr>
          <w:rFonts w:ascii="Verdana" w:hAnsi="Verdana"/>
          <w:sz w:val="18"/>
          <w:szCs w:val="18"/>
        </w:rPr>
        <w:t xml:space="preserve"> Ombudsperson Office, written response, 5 December 2023. </w:t>
      </w:r>
    </w:p>
  </w:footnote>
  <w:footnote w:id="26">
    <w:p w14:paraId="395B6C0E" w14:textId="77777777" w:rsidR="009E08B4" w:rsidRPr="00205B77" w:rsidRDefault="009E08B4" w:rsidP="004D4E84">
      <w:pPr>
        <w:pStyle w:val="FootnoteText"/>
        <w:spacing w:line="240" w:lineRule="auto"/>
        <w:jc w:val="both"/>
        <w:rPr>
          <w:rFonts w:ascii="Verdana" w:hAnsi="Verdana"/>
          <w:sz w:val="18"/>
          <w:szCs w:val="18"/>
        </w:rPr>
      </w:pPr>
      <w:r w:rsidRPr="00A86399">
        <w:rPr>
          <w:rStyle w:val="FootnoteReference"/>
        </w:rPr>
        <w:footnoteRef/>
      </w:r>
      <w:r w:rsidRPr="00205B77">
        <w:rPr>
          <w:rFonts w:ascii="Verdana" w:hAnsi="Verdana"/>
          <w:sz w:val="18"/>
          <w:szCs w:val="18"/>
        </w:rPr>
        <w:tab/>
        <w:t xml:space="preserve"> National Institute for Rehabilitation, written response, 5 December 2023. </w:t>
      </w:r>
    </w:p>
  </w:footnote>
  <w:footnote w:id="27">
    <w:p w14:paraId="1051A263" w14:textId="77777777" w:rsidR="00A86399" w:rsidRPr="00205B77" w:rsidRDefault="00A86399" w:rsidP="004D4E84">
      <w:pPr>
        <w:pStyle w:val="FootnoteText"/>
        <w:spacing w:line="240" w:lineRule="auto"/>
        <w:jc w:val="both"/>
        <w:rPr>
          <w:rFonts w:ascii="Verdana" w:hAnsi="Verdana"/>
          <w:sz w:val="18"/>
          <w:szCs w:val="18"/>
        </w:rPr>
      </w:pPr>
      <w:r w:rsidRPr="00205B77">
        <w:rPr>
          <w:rStyle w:val="FootnoteReference"/>
          <w:rFonts w:ascii="Verdana" w:hAnsi="Verdana"/>
          <w:sz w:val="18"/>
          <w:szCs w:val="18"/>
        </w:rPr>
        <w:footnoteRef/>
      </w:r>
      <w:r w:rsidRPr="00205B77">
        <w:rPr>
          <w:rFonts w:ascii="Verdana" w:hAnsi="Verdana"/>
          <w:sz w:val="18"/>
          <w:szCs w:val="18"/>
        </w:rPr>
        <w:t xml:space="preserve"> Portugal, </w:t>
      </w:r>
      <w:hyperlink r:id="rId23" w:history="1">
        <w:r w:rsidRPr="00205B77">
          <w:rPr>
            <w:rStyle w:val="Hyperlink"/>
            <w:rFonts w:ascii="Verdana" w:hAnsi="Verdana"/>
            <w:sz w:val="18"/>
            <w:szCs w:val="18"/>
          </w:rPr>
          <w:t>Decreto-Lei 225/97, que aprova a composição e competências do Conselho Nacional para a Reabilitação e Integração das Pessoas com Deficiência</w:t>
        </w:r>
      </w:hyperlink>
      <w:r w:rsidRPr="00205B77">
        <w:rPr>
          <w:rFonts w:ascii="Verdana" w:hAnsi="Verdana"/>
          <w:sz w:val="18"/>
          <w:szCs w:val="18"/>
        </w:rPr>
        <w:t xml:space="preserve"> (Decree-Law 225/97, approving the composition and competences of the National Council for the Rehabilitation and Integration of People with Disabilities), 27 August 1997.</w:t>
      </w:r>
    </w:p>
  </w:footnote>
  <w:footnote w:id="28">
    <w:p w14:paraId="5CC28398" w14:textId="7DBB65AE" w:rsidR="00317823" w:rsidRPr="00205B77" w:rsidRDefault="00317823" w:rsidP="004D4E84">
      <w:pPr>
        <w:pStyle w:val="FootnoteText"/>
        <w:spacing w:line="240" w:lineRule="auto"/>
        <w:jc w:val="both"/>
        <w:rPr>
          <w:rFonts w:ascii="Verdana" w:hAnsi="Verdana"/>
          <w:sz w:val="18"/>
          <w:szCs w:val="18"/>
        </w:rPr>
      </w:pPr>
      <w:r w:rsidRPr="00205B77">
        <w:rPr>
          <w:rStyle w:val="FootnoteReference"/>
          <w:rFonts w:ascii="Verdana" w:hAnsi="Verdana"/>
          <w:sz w:val="18"/>
          <w:szCs w:val="18"/>
        </w:rPr>
        <w:footnoteRef/>
      </w:r>
      <w:r w:rsidRPr="00205B77">
        <w:rPr>
          <w:rFonts w:ascii="Verdana" w:hAnsi="Verdana"/>
          <w:sz w:val="18"/>
          <w:szCs w:val="18"/>
        </w:rPr>
        <w:t xml:space="preserve"> Portugal, </w:t>
      </w:r>
      <w:hyperlink r:id="rId24" w:history="1">
        <w:r w:rsidRPr="00205B77">
          <w:rPr>
            <w:rStyle w:val="Hyperlink"/>
            <w:rFonts w:ascii="Verdana" w:hAnsi="Verdana"/>
            <w:sz w:val="18"/>
            <w:szCs w:val="18"/>
          </w:rPr>
          <w:t>Decreto-Lei 167-C/2013, que aprova a Lei Orgânica do Ministério da Solidariedade, Emprego e Segurança Social</w:t>
        </w:r>
      </w:hyperlink>
      <w:r w:rsidRPr="00205B77">
        <w:rPr>
          <w:rFonts w:ascii="Verdana" w:hAnsi="Verdana"/>
          <w:sz w:val="18"/>
          <w:szCs w:val="18"/>
        </w:rPr>
        <w:t xml:space="preserve"> (Decree-Law 167-C/2013, approving the Organic Law of the Ministry of Solidarity, Employment and Social Security), 31 December 2013.</w:t>
      </w:r>
    </w:p>
  </w:footnote>
  <w:footnote w:id="29">
    <w:p w14:paraId="66AE788E" w14:textId="6160EC3F" w:rsidR="0001041C" w:rsidRPr="00205B77" w:rsidRDefault="0001041C"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25" w:history="1">
        <w:r w:rsidRPr="00205B77">
          <w:rPr>
            <w:rStyle w:val="Hyperlink"/>
            <w:rFonts w:ascii="Verdana" w:hAnsi="Verdana"/>
            <w:sz w:val="18"/>
            <w:szCs w:val="18"/>
            <w:lang w:val="pt-PT"/>
          </w:rPr>
          <w:t>Decreto-Lei 48/2017, que altera a composição e o modo de funcionamento do Conselho Nacional para as Políticas de Solidariedade, Voluntariado, Família, Reabilitação e Segurança Social</w:t>
        </w:r>
      </w:hyperlink>
      <w:r w:rsidR="00B97055" w:rsidRPr="00205B77">
        <w:rPr>
          <w:rFonts w:ascii="Verdana" w:hAnsi="Verdana"/>
          <w:sz w:val="18"/>
          <w:szCs w:val="18"/>
          <w:lang w:val="pt-PT"/>
        </w:rPr>
        <w:t xml:space="preserve"> (Decree-Law 48/2017, amending the composition and operating methods of the National Council for Solidarity, Volunteering, Family, Rehabilitation and Social Security Policies), 22 May 2017.</w:t>
      </w:r>
    </w:p>
  </w:footnote>
  <w:footnote w:id="30">
    <w:p w14:paraId="4336D9FC" w14:textId="5AD37D95" w:rsidR="00B97055" w:rsidRPr="003F4A22" w:rsidRDefault="00B97055"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3F4A22">
        <w:rPr>
          <w:rFonts w:ascii="Verdana" w:hAnsi="Verdana"/>
          <w:sz w:val="18"/>
          <w:szCs w:val="18"/>
          <w:lang w:val="pt-PT"/>
        </w:rPr>
        <w:t xml:space="preserve"> National Association of Portuguese Municipalities, written response, </w:t>
      </w:r>
      <w:r w:rsidR="004D7298" w:rsidRPr="003F4A22">
        <w:rPr>
          <w:rFonts w:ascii="Verdana" w:hAnsi="Verdana"/>
          <w:sz w:val="18"/>
          <w:szCs w:val="18"/>
          <w:lang w:val="pt-PT"/>
        </w:rPr>
        <w:t>28 November 2023.</w:t>
      </w:r>
    </w:p>
  </w:footnote>
  <w:footnote w:id="31">
    <w:p w14:paraId="59C46CFC" w14:textId="60BC6660" w:rsidR="004D7298" w:rsidRPr="00205B77" w:rsidRDefault="004D7298"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Comissão Nacional de Eleições (National Elections Commission) (2022), </w:t>
      </w:r>
      <w:hyperlink r:id="rId26" w:history="1">
        <w:r w:rsidRPr="00205B77">
          <w:rPr>
            <w:rStyle w:val="Hyperlink"/>
            <w:rFonts w:ascii="Verdana" w:hAnsi="Verdana"/>
            <w:i/>
            <w:sz w:val="18"/>
            <w:szCs w:val="18"/>
            <w:lang w:val="pt-PT"/>
          </w:rPr>
          <w:t>Plano de Atividades e Orçamento 2023</w:t>
        </w:r>
      </w:hyperlink>
      <w:r w:rsidRPr="00205B77">
        <w:rPr>
          <w:rFonts w:ascii="Verdana" w:hAnsi="Verdana"/>
          <w:sz w:val="18"/>
          <w:szCs w:val="18"/>
          <w:lang w:val="pt-PT"/>
        </w:rPr>
        <w:t xml:space="preserve"> (Activity Plan and Budget 2023), Lisboa, </w:t>
      </w:r>
      <w:r w:rsidR="00844B74" w:rsidRPr="00205B77">
        <w:rPr>
          <w:rFonts w:ascii="Verdana" w:hAnsi="Verdana"/>
          <w:sz w:val="18"/>
          <w:szCs w:val="18"/>
          <w:lang w:val="pt-PT"/>
        </w:rPr>
        <w:t xml:space="preserve">Comissão Nacional de Eleições. </w:t>
      </w:r>
    </w:p>
  </w:footnote>
  <w:footnote w:id="32">
    <w:p w14:paraId="76EFF5B6" w14:textId="0C37910B" w:rsidR="004D7298" w:rsidRPr="00205B77" w:rsidRDefault="004D7298"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Entidade Reguladora para a Comunicação Social (Portuguese Regulatory Authority for the Media) (2021), </w:t>
      </w:r>
      <w:hyperlink r:id="rId27" w:history="1">
        <w:r w:rsidR="00844B74" w:rsidRPr="00205B77">
          <w:rPr>
            <w:rStyle w:val="Hyperlink"/>
            <w:rFonts w:ascii="Verdana" w:hAnsi="Verdana"/>
            <w:sz w:val="18"/>
            <w:szCs w:val="18"/>
            <w:lang w:val="pt-PT"/>
          </w:rPr>
          <w:t>Deliberação ERC/2021/317</w:t>
        </w:r>
        <w:r w:rsidR="006B46F0" w:rsidRPr="00205B77">
          <w:rPr>
            <w:rStyle w:val="Hyperlink"/>
            <w:rFonts w:ascii="Verdana" w:hAnsi="Verdana"/>
            <w:sz w:val="18"/>
            <w:szCs w:val="18"/>
            <w:lang w:val="pt-PT"/>
          </w:rPr>
          <w:t xml:space="preserve"> (OUT-TV)</w:t>
        </w:r>
        <w:r w:rsidR="00844B74" w:rsidRPr="00205B77">
          <w:rPr>
            <w:rStyle w:val="Hyperlink"/>
            <w:rFonts w:ascii="Verdana" w:hAnsi="Verdana"/>
            <w:sz w:val="18"/>
            <w:szCs w:val="18"/>
            <w:lang w:val="pt-PT"/>
          </w:rPr>
          <w:t xml:space="preserve">: </w:t>
        </w:r>
        <w:r w:rsidRPr="00205B77">
          <w:rPr>
            <w:rStyle w:val="Hyperlink"/>
            <w:rFonts w:ascii="Verdana" w:hAnsi="Verdana"/>
            <w:i/>
            <w:sz w:val="18"/>
            <w:szCs w:val="18"/>
            <w:lang w:val="pt-PT"/>
          </w:rPr>
          <w:t>Plano plurianual que define o conjunto de obrigações relativas à acessibilidade dos serviços de programas televisivos e dos serviços audiovisuais a pedido por pessoas com necessidades especiais</w:t>
        </w:r>
      </w:hyperlink>
      <w:r w:rsidRPr="00205B77">
        <w:rPr>
          <w:rFonts w:ascii="Verdana" w:hAnsi="Verdana"/>
          <w:sz w:val="18"/>
          <w:szCs w:val="18"/>
          <w:lang w:val="pt-PT"/>
        </w:rPr>
        <w:t xml:space="preserve"> </w:t>
      </w:r>
      <w:r w:rsidR="00844B74" w:rsidRPr="00205B77">
        <w:rPr>
          <w:rFonts w:ascii="Verdana" w:hAnsi="Verdana"/>
          <w:sz w:val="18"/>
          <w:szCs w:val="18"/>
          <w:lang w:val="pt-PT"/>
        </w:rPr>
        <w:t>(Deliberation ERC/2021/317: Multi-annual plan defining the set of obligations relating to the accessibility of television programme services and on-demand services for people with special needs), Lisboa, Entidade Reguladora para a Comunicação Social.</w:t>
      </w:r>
    </w:p>
  </w:footnote>
  <w:footnote w:id="33">
    <w:p w14:paraId="7819D989" w14:textId="724F9C62" w:rsidR="006B46F0" w:rsidRPr="00205B77" w:rsidRDefault="006B46F0"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w:t>
      </w:r>
      <w:bookmarkStart w:id="5" w:name="_Hlk153461813"/>
      <w:r w:rsidRPr="00205B77">
        <w:rPr>
          <w:rFonts w:ascii="Verdana" w:hAnsi="Verdana"/>
          <w:sz w:val="18"/>
          <w:szCs w:val="18"/>
          <w:lang w:val="pt-PT"/>
        </w:rPr>
        <w:t xml:space="preserve">Entidade Reguladora para a Comunicação Social (Portuguese Regulatory Authority for the Media) (2021), </w:t>
      </w:r>
      <w:hyperlink r:id="rId28" w:history="1">
        <w:r w:rsidRPr="00205B77">
          <w:rPr>
            <w:rStyle w:val="Hyperlink"/>
            <w:rFonts w:ascii="Verdana" w:hAnsi="Verdana"/>
            <w:sz w:val="18"/>
            <w:szCs w:val="18"/>
            <w:lang w:val="pt-PT"/>
          </w:rPr>
          <w:t xml:space="preserve">Deliberação ERC/2021/317 (OUT-TV): </w:t>
        </w:r>
        <w:r w:rsidRPr="00205B77">
          <w:rPr>
            <w:rStyle w:val="Hyperlink"/>
            <w:rFonts w:ascii="Verdana" w:hAnsi="Verdana"/>
            <w:i/>
            <w:sz w:val="18"/>
            <w:szCs w:val="18"/>
            <w:lang w:val="pt-PT"/>
          </w:rPr>
          <w:t>Plano plurianual que define o conjunto de obrigações relativas à acessibilidade dos serviços de programas televisivos e dos serviços audiovisuais a pedido por pessoas com necessidades especiais</w:t>
        </w:r>
      </w:hyperlink>
      <w:r w:rsidRPr="00205B77">
        <w:rPr>
          <w:rFonts w:ascii="Verdana" w:hAnsi="Verdana"/>
          <w:sz w:val="18"/>
          <w:szCs w:val="18"/>
          <w:lang w:val="pt-PT"/>
        </w:rPr>
        <w:t xml:space="preserve"> (Deliberation ERC/2021/317: Multi-annual plan defining the set of obligations relating to the accessibility of television programme services and on-demand services for people with special needs), Lisboa, Entidade Reguladora para a Comunicação Social.</w:t>
      </w:r>
      <w:bookmarkEnd w:id="5"/>
    </w:p>
  </w:footnote>
  <w:footnote w:id="34">
    <w:p w14:paraId="7A9A98E8" w14:textId="72650AEC" w:rsidR="008C6410" w:rsidRPr="00205B77" w:rsidRDefault="008C6410"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Entidade Reguladora para a Comunicação Social (Portuguese Regulatory Authority for the Media) (2021), </w:t>
      </w:r>
      <w:hyperlink r:id="rId29" w:history="1">
        <w:r w:rsidRPr="00205B77">
          <w:rPr>
            <w:rStyle w:val="Hyperlink"/>
            <w:rFonts w:ascii="Verdana" w:hAnsi="Verdana"/>
            <w:sz w:val="18"/>
            <w:szCs w:val="18"/>
            <w:lang w:val="pt-PT"/>
          </w:rPr>
          <w:t xml:space="preserve">Deliberação ERC/2021/317 (OUT-TV): </w:t>
        </w:r>
        <w:r w:rsidRPr="00205B77">
          <w:rPr>
            <w:rStyle w:val="Hyperlink"/>
            <w:rFonts w:ascii="Verdana" w:hAnsi="Verdana"/>
            <w:i/>
            <w:sz w:val="18"/>
            <w:szCs w:val="18"/>
            <w:lang w:val="pt-PT"/>
          </w:rPr>
          <w:t>Plano plurianual que define o conjunto de obrigações relativas à acessibilidade dos serviços de programas televisivos e dos serviços audiovisuais a pedido por pessoas com necessidades especiais</w:t>
        </w:r>
      </w:hyperlink>
      <w:r w:rsidRPr="00205B77">
        <w:rPr>
          <w:rFonts w:ascii="Verdana" w:hAnsi="Verdana"/>
          <w:sz w:val="18"/>
          <w:szCs w:val="18"/>
          <w:lang w:val="pt-PT"/>
        </w:rPr>
        <w:t xml:space="preserve"> (Deliberation ERC/2021/317: Multi-annual plan defining the set of obligations relating to the accessibility of television programme services and on-demand services for people with special needs), Lisboa, Entidade Reguladora para a Comunicação Social.</w:t>
      </w:r>
    </w:p>
  </w:footnote>
  <w:footnote w:id="35">
    <w:p w14:paraId="443BDE31" w14:textId="759183F7" w:rsidR="009E08B4" w:rsidRPr="00205B77" w:rsidRDefault="009E08B4" w:rsidP="004D4E84">
      <w:pPr>
        <w:pStyle w:val="FootnoteText"/>
        <w:spacing w:line="240" w:lineRule="auto"/>
        <w:jc w:val="both"/>
        <w:rPr>
          <w:rFonts w:ascii="Verdana" w:hAnsi="Verdana"/>
          <w:sz w:val="18"/>
          <w:szCs w:val="18"/>
          <w:lang w:val="pt-PT"/>
        </w:rPr>
      </w:pPr>
      <w:r w:rsidRPr="001F3F0B">
        <w:rPr>
          <w:rStyle w:val="FootnoteReference"/>
        </w:rPr>
        <w:footnoteRef/>
      </w:r>
      <w:r w:rsidR="00D06804" w:rsidRPr="00205B77">
        <w:rPr>
          <w:rFonts w:ascii="Verdana" w:hAnsi="Verdana"/>
          <w:sz w:val="18"/>
          <w:szCs w:val="18"/>
          <w:lang w:val="pt-PT"/>
        </w:rPr>
        <w:t xml:space="preserve"> Público (2019), “</w:t>
      </w:r>
      <w:hyperlink r:id="rId30" w:history="1">
        <w:r w:rsidR="00D06804" w:rsidRPr="00205B77">
          <w:rPr>
            <w:rStyle w:val="Hyperlink"/>
            <w:rFonts w:ascii="Verdana" w:hAnsi="Verdana"/>
            <w:sz w:val="18"/>
            <w:szCs w:val="18"/>
            <w:lang w:val="pt-PT"/>
          </w:rPr>
          <w:t>Braille, língua gestual ou “leitura fácil”. Quais são os partidos que adaptaram os seus programas?</w:t>
        </w:r>
      </w:hyperlink>
      <w:r w:rsidR="00D06804" w:rsidRPr="00205B77">
        <w:rPr>
          <w:rFonts w:ascii="Verdana" w:hAnsi="Verdana"/>
          <w:sz w:val="18"/>
          <w:szCs w:val="18"/>
          <w:lang w:val="pt-PT"/>
        </w:rPr>
        <w:t>”</w:t>
      </w:r>
      <w:r w:rsidR="008344F7" w:rsidRPr="00205B77">
        <w:rPr>
          <w:rFonts w:ascii="Verdana" w:hAnsi="Verdana"/>
          <w:sz w:val="18"/>
          <w:szCs w:val="18"/>
          <w:lang w:val="pt-PT"/>
        </w:rPr>
        <w:t xml:space="preserve"> (Braille, sign language or "easy-to-read". Which parties have adapted their programmes?), 4 October 2019. </w:t>
      </w:r>
    </w:p>
  </w:footnote>
  <w:footnote w:id="36">
    <w:p w14:paraId="7EF9D4B5" w14:textId="198D5892" w:rsidR="008C1CE5" w:rsidRPr="00205B77" w:rsidRDefault="008C1CE5"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31" w:history="1">
        <w:r w:rsidRPr="00205B77">
          <w:rPr>
            <w:rStyle w:val="Hyperlink"/>
            <w:rFonts w:ascii="Verdana" w:hAnsi="Verdana"/>
            <w:sz w:val="18"/>
            <w:szCs w:val="18"/>
            <w:lang w:val="pt-PT"/>
          </w:rPr>
          <w:t>Decreto-Lei 83/2018, que define os requisitos de acessibilidade dos sítios web e das aplicações móveis de organismos públicos, transpondo a Diretiva (UE) 2016/2102</w:t>
        </w:r>
      </w:hyperlink>
      <w:r w:rsidR="002E11F5" w:rsidRPr="00205B77">
        <w:rPr>
          <w:rFonts w:ascii="Verdana" w:hAnsi="Verdana"/>
          <w:sz w:val="18"/>
          <w:szCs w:val="18"/>
          <w:lang w:val="pt-PT"/>
        </w:rPr>
        <w:t xml:space="preserve"> (Decree-Law 83/2018, which defines the accessibility requirements for websites and mobile applications of public organisations, transposing Directive (EU) 2016/2102), 19 October 2018. </w:t>
      </w:r>
    </w:p>
  </w:footnote>
  <w:footnote w:id="37">
    <w:p w14:paraId="784DA761" w14:textId="40C3F655" w:rsidR="00A07123" w:rsidRPr="00205B77" w:rsidRDefault="00A07123" w:rsidP="004D4E84">
      <w:pPr>
        <w:pStyle w:val="FootnoteText"/>
        <w:spacing w:line="240" w:lineRule="auto"/>
        <w:jc w:val="both"/>
        <w:rPr>
          <w:rFonts w:ascii="Verdana" w:hAnsi="Verdana"/>
          <w:sz w:val="18"/>
          <w:szCs w:val="18"/>
        </w:rPr>
      </w:pPr>
      <w:r w:rsidRPr="00205B77">
        <w:rPr>
          <w:rStyle w:val="FootnoteReference"/>
          <w:rFonts w:ascii="Verdana" w:hAnsi="Verdana"/>
          <w:sz w:val="18"/>
          <w:szCs w:val="18"/>
        </w:rPr>
        <w:footnoteRef/>
      </w:r>
      <w:r w:rsidRPr="00205B77">
        <w:rPr>
          <w:rFonts w:ascii="Verdana" w:hAnsi="Verdana"/>
          <w:sz w:val="18"/>
          <w:szCs w:val="18"/>
        </w:rPr>
        <w:t xml:space="preserve"> </w:t>
      </w:r>
      <w:hyperlink r:id="rId32" w:history="1">
        <w:r w:rsidRPr="00205B77">
          <w:rPr>
            <w:rStyle w:val="Hyperlink"/>
            <w:rFonts w:ascii="Verdana" w:hAnsi="Verdana"/>
            <w:sz w:val="18"/>
            <w:szCs w:val="18"/>
          </w:rPr>
          <w:t>Directive (EU) 2016/2102 of the European Parliament and of the Council of 26 October 2016 on the accessibility of the websites and mobile applications of public sector bodies</w:t>
        </w:r>
      </w:hyperlink>
      <w:r w:rsidRPr="00205B77">
        <w:rPr>
          <w:rFonts w:ascii="Verdana" w:hAnsi="Verdana"/>
          <w:sz w:val="18"/>
          <w:szCs w:val="18"/>
        </w:rPr>
        <w:t xml:space="preserve">, OJ 2016 L 327. </w:t>
      </w:r>
    </w:p>
  </w:footnote>
  <w:footnote w:id="38">
    <w:p w14:paraId="04712DE9" w14:textId="1D7615F6" w:rsidR="0042778F" w:rsidRPr="00205B77" w:rsidRDefault="0042778F"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33" w:history="1">
        <w:r w:rsidRPr="00205B77">
          <w:rPr>
            <w:rStyle w:val="Hyperlink"/>
            <w:rFonts w:ascii="Verdana" w:hAnsi="Verdana"/>
            <w:sz w:val="18"/>
            <w:szCs w:val="18"/>
            <w:lang w:val="pt-PT"/>
          </w:rPr>
          <w:t>Lei 74/2020, que transpõe para a ordem jurídica interna a Diretiva (UE) 2018/1808 do Parlamento Europeu e do Conselho, de 14 de novembro de 2018, alterando a Lei 27/2007, de 30 de julho, que aprova a Lei da Televisão e dos Serviços Audiovisuais a Pedido, e a Lei 55/2012, de 6 de setembro, relativa ao fomento, desenvolvimento e proteção da arte do cinema e das atividades cinematográficas e audiovisuais</w:t>
        </w:r>
      </w:hyperlink>
      <w:r w:rsidRPr="00205B77">
        <w:rPr>
          <w:rFonts w:ascii="Verdana" w:hAnsi="Verdana"/>
          <w:sz w:val="18"/>
          <w:szCs w:val="18"/>
          <w:lang w:val="pt-PT"/>
        </w:rPr>
        <w:t xml:space="preserve"> (Law 74/2020, which transposes into national law Directive (EU) 2018/1808 of the European Parliament and of the Council of 14 November 2018, amending Law 27/2007 of 30 July, which approves the Law on Television and On-Demand Audiovisual Services, and Law 55/2012 of 6 September, on the promotion, development and protection of the art of cinema and cinematographic and audiovisual activities), 19 November 2020. </w:t>
      </w:r>
    </w:p>
  </w:footnote>
  <w:footnote w:id="39">
    <w:p w14:paraId="5922EB14" w14:textId="795F1716" w:rsidR="00D94743" w:rsidRPr="00205B77" w:rsidRDefault="00D94743" w:rsidP="004D4E84">
      <w:pPr>
        <w:pStyle w:val="FootnoteText"/>
        <w:spacing w:line="240" w:lineRule="auto"/>
        <w:jc w:val="both"/>
        <w:rPr>
          <w:rFonts w:ascii="Verdana" w:hAnsi="Verdana"/>
          <w:sz w:val="18"/>
          <w:szCs w:val="18"/>
        </w:rPr>
      </w:pPr>
      <w:r w:rsidRPr="00205B77">
        <w:rPr>
          <w:rStyle w:val="FootnoteReference"/>
          <w:rFonts w:ascii="Verdana" w:hAnsi="Verdana"/>
          <w:sz w:val="18"/>
          <w:szCs w:val="18"/>
        </w:rPr>
        <w:footnoteRef/>
      </w:r>
      <w:r w:rsidRPr="00205B77">
        <w:rPr>
          <w:rFonts w:ascii="Verdana" w:hAnsi="Verdana"/>
          <w:sz w:val="18"/>
          <w:szCs w:val="18"/>
        </w:rPr>
        <w:t xml:space="preserve"> </w:t>
      </w:r>
      <w:hyperlink r:id="rId34" w:history="1">
        <w:r w:rsidRPr="00205B77">
          <w:rPr>
            <w:rStyle w:val="Hyperlink"/>
            <w:rFonts w:ascii="Verdana" w:hAnsi="Verdana"/>
            <w:sz w:val="18"/>
            <w:szCs w:val="18"/>
          </w:rPr>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hyperlink>
      <w:r w:rsidRPr="00205B77">
        <w:rPr>
          <w:rFonts w:ascii="Verdana" w:hAnsi="Verdana"/>
          <w:sz w:val="18"/>
          <w:szCs w:val="18"/>
        </w:rPr>
        <w:t xml:space="preserve">, OJ 2018 L 303/69. </w:t>
      </w:r>
    </w:p>
  </w:footnote>
  <w:footnote w:id="40">
    <w:p w14:paraId="0002707C" w14:textId="77777777" w:rsidR="00D94743" w:rsidRPr="00205B77" w:rsidRDefault="00D94743"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Entidade Reguladora para a Comunicação Social (Portuguese Regulatory Authority for the Media) (2021), </w:t>
      </w:r>
      <w:hyperlink r:id="rId35" w:history="1">
        <w:r w:rsidRPr="00205B77">
          <w:rPr>
            <w:rStyle w:val="Hyperlink"/>
            <w:rFonts w:ascii="Verdana" w:hAnsi="Verdana"/>
            <w:sz w:val="18"/>
            <w:szCs w:val="18"/>
            <w:lang w:val="pt-PT"/>
          </w:rPr>
          <w:t xml:space="preserve">Deliberação ERC/2021/317 (OUT-TV): </w:t>
        </w:r>
        <w:r w:rsidRPr="00205B77">
          <w:rPr>
            <w:rStyle w:val="Hyperlink"/>
            <w:rFonts w:ascii="Verdana" w:hAnsi="Verdana"/>
            <w:i/>
            <w:sz w:val="18"/>
            <w:szCs w:val="18"/>
            <w:lang w:val="pt-PT"/>
          </w:rPr>
          <w:t>Plano plurianual que define o conjunto de obrigações relativas à acessibilidade dos serviços de programas televisivos e dos serviços audiovisuais a pedido por pessoas com necessidades especiais</w:t>
        </w:r>
      </w:hyperlink>
      <w:r w:rsidRPr="00205B77">
        <w:rPr>
          <w:rFonts w:ascii="Verdana" w:hAnsi="Verdana"/>
          <w:sz w:val="18"/>
          <w:szCs w:val="18"/>
          <w:lang w:val="pt-PT"/>
        </w:rPr>
        <w:t xml:space="preserve"> (Deliberation ERC/2021/317: Multi-annual plan defining the set of obligations relating to the accessibility of television programme services and on-demand services for people with special needs), Lisboa, Entidade Reguladora para a Comunicação Social.</w:t>
      </w:r>
    </w:p>
    <w:p w14:paraId="1D86FF3A" w14:textId="3CA0CDC2" w:rsidR="00D94743" w:rsidRPr="00205B77" w:rsidRDefault="00D94743" w:rsidP="004D4E84">
      <w:pPr>
        <w:pStyle w:val="FootnoteText"/>
        <w:spacing w:line="240" w:lineRule="auto"/>
        <w:jc w:val="both"/>
        <w:rPr>
          <w:rFonts w:ascii="Verdana" w:hAnsi="Verdana"/>
          <w:sz w:val="18"/>
          <w:szCs w:val="18"/>
          <w:lang w:val="pt-PT"/>
        </w:rPr>
      </w:pPr>
    </w:p>
  </w:footnote>
  <w:footnote w:id="41">
    <w:p w14:paraId="47C7CC7A" w14:textId="77777777" w:rsidR="009E08B4" w:rsidRPr="00205B77" w:rsidRDefault="009E08B4" w:rsidP="004D4E84">
      <w:pPr>
        <w:pStyle w:val="FootnoteText"/>
        <w:spacing w:line="240" w:lineRule="auto"/>
        <w:jc w:val="both"/>
        <w:rPr>
          <w:rFonts w:ascii="Verdana" w:hAnsi="Verdana"/>
          <w:sz w:val="18"/>
          <w:szCs w:val="18"/>
        </w:rPr>
      </w:pPr>
      <w:r w:rsidRPr="008477F3">
        <w:rPr>
          <w:rStyle w:val="FootnoteReference"/>
        </w:rPr>
        <w:footnoteRef/>
      </w:r>
      <w:r w:rsidRPr="00205B77">
        <w:rPr>
          <w:rFonts w:ascii="Verdana" w:hAnsi="Verdana"/>
          <w:sz w:val="18"/>
          <w:szCs w:val="18"/>
        </w:rPr>
        <w:tab/>
        <w:t xml:space="preserve"> For more information, see the </w:t>
      </w:r>
      <w:hyperlink r:id="rId36">
        <w:r w:rsidRPr="00205B77">
          <w:rPr>
            <w:rStyle w:val="LigaodeInternet"/>
            <w:rFonts w:ascii="Verdana" w:hAnsi="Verdana"/>
            <w:sz w:val="18"/>
            <w:szCs w:val="18"/>
          </w:rPr>
          <w:t>website of the National Elections Commission</w:t>
        </w:r>
      </w:hyperlink>
      <w:r w:rsidRPr="00205B77">
        <w:rPr>
          <w:rFonts w:ascii="Verdana" w:hAnsi="Verdana"/>
          <w:sz w:val="18"/>
          <w:szCs w:val="18"/>
        </w:rPr>
        <w:t>.</w:t>
      </w:r>
    </w:p>
  </w:footnote>
  <w:footnote w:id="42">
    <w:p w14:paraId="56FC4A85" w14:textId="77777777" w:rsidR="009E08B4" w:rsidRPr="00205B77" w:rsidRDefault="009E08B4" w:rsidP="004D4E84">
      <w:pPr>
        <w:pStyle w:val="FootnoteText"/>
        <w:spacing w:line="240" w:lineRule="auto"/>
        <w:jc w:val="both"/>
        <w:rPr>
          <w:rFonts w:ascii="Verdana" w:hAnsi="Verdana"/>
          <w:sz w:val="18"/>
          <w:szCs w:val="18"/>
        </w:rPr>
      </w:pPr>
      <w:r w:rsidRPr="008477F3">
        <w:rPr>
          <w:rStyle w:val="FootnoteReference"/>
        </w:rPr>
        <w:footnoteRef/>
      </w:r>
      <w:r w:rsidRPr="00205B77">
        <w:rPr>
          <w:rFonts w:ascii="Verdana" w:hAnsi="Verdana" w:cstheme="minorHAnsi"/>
          <w:sz w:val="18"/>
          <w:szCs w:val="18"/>
        </w:rPr>
        <w:tab/>
        <w:t xml:space="preserve"> </w:t>
      </w:r>
      <w:r w:rsidRPr="00205B77">
        <w:rPr>
          <w:rFonts w:ascii="Verdana" w:hAnsi="Verdana" w:cstheme="minorHAnsi"/>
          <w:color w:val="000000"/>
          <w:sz w:val="18"/>
          <w:szCs w:val="18"/>
          <w:shd w:val="clear" w:color="auto" w:fill="FFFFFF"/>
        </w:rPr>
        <w:t xml:space="preserve">National Association of Portuguese Municipalities, written response, 28 November. </w:t>
      </w:r>
      <w:r w:rsidRPr="00205B77">
        <w:rPr>
          <w:rFonts w:ascii="Verdana" w:hAnsi="Verdana" w:cstheme="minorHAnsi"/>
          <w:color w:val="FFFFFF" w:themeColor="background1"/>
          <w:sz w:val="18"/>
          <w:szCs w:val="18"/>
          <w:shd w:val="clear" w:color="auto" w:fill="FFFFFF"/>
        </w:rPr>
        <w:t>2023</w:t>
      </w:r>
      <w:r w:rsidRPr="00205B77">
        <w:rPr>
          <w:rFonts w:ascii="Verdana" w:hAnsi="Verdana"/>
          <w:color w:val="FFFFFF" w:themeColor="background1"/>
          <w:sz w:val="18"/>
          <w:szCs w:val="18"/>
          <w:shd w:val="clear" w:color="auto" w:fill="FFFFFF"/>
        </w:rPr>
        <w:t xml:space="preserve">. </w:t>
      </w:r>
    </w:p>
  </w:footnote>
  <w:footnote w:id="43">
    <w:p w14:paraId="27C3C73B" w14:textId="77777777" w:rsidR="009E08B4" w:rsidRPr="00205B77" w:rsidRDefault="009E08B4" w:rsidP="004D4E84">
      <w:pPr>
        <w:pStyle w:val="FootnoteText"/>
        <w:spacing w:line="240" w:lineRule="auto"/>
        <w:jc w:val="both"/>
        <w:rPr>
          <w:rFonts w:ascii="Verdana" w:hAnsi="Verdana"/>
          <w:sz w:val="18"/>
          <w:szCs w:val="18"/>
        </w:rPr>
      </w:pPr>
      <w:r w:rsidRPr="008477F3">
        <w:rPr>
          <w:rStyle w:val="FootnoteReference"/>
        </w:rPr>
        <w:footnoteRef/>
      </w:r>
      <w:r w:rsidRPr="008477F3">
        <w:rPr>
          <w:rStyle w:val="FootnoteReference"/>
        </w:rPr>
        <w:tab/>
      </w:r>
      <w:r w:rsidRPr="00205B77">
        <w:rPr>
          <w:rFonts w:ascii="Verdana" w:hAnsi="Verdana"/>
          <w:sz w:val="18"/>
          <w:szCs w:val="18"/>
        </w:rPr>
        <w:t xml:space="preserve"> For more information, see the </w:t>
      </w:r>
      <w:hyperlink r:id="rId37">
        <w:r w:rsidRPr="00205B77">
          <w:rPr>
            <w:rStyle w:val="LigaodeInternet"/>
            <w:rFonts w:ascii="Verdana" w:hAnsi="Verdana"/>
            <w:sz w:val="18"/>
            <w:szCs w:val="18"/>
          </w:rPr>
          <w:t>website of the National Elections Commission</w:t>
        </w:r>
      </w:hyperlink>
      <w:r w:rsidRPr="00205B77">
        <w:rPr>
          <w:rFonts w:ascii="Verdana" w:hAnsi="Verdana"/>
          <w:sz w:val="18"/>
          <w:szCs w:val="18"/>
        </w:rPr>
        <w:t>.</w:t>
      </w:r>
    </w:p>
  </w:footnote>
  <w:footnote w:id="44">
    <w:p w14:paraId="45EDFE1C" w14:textId="01622319" w:rsidR="0020652A" w:rsidRPr="00205B77" w:rsidRDefault="0020652A"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Portugal, </w:t>
      </w:r>
      <w:hyperlink r:id="rId38" w:history="1">
        <w:r w:rsidRPr="00205B77">
          <w:rPr>
            <w:rStyle w:val="Hyperlink"/>
            <w:rFonts w:ascii="Verdana" w:hAnsi="Verdana"/>
            <w:sz w:val="18"/>
            <w:szCs w:val="18"/>
            <w:lang w:val="pt-PT"/>
          </w:rPr>
          <w:t>Decreto-Lei 125/2017, que altera o regime da acessibilidade aos edifícios e estabelecimentos que recebem público, via pública e edifícios habitacionais</w:t>
        </w:r>
      </w:hyperlink>
      <w:r w:rsidRPr="00205B77">
        <w:rPr>
          <w:rFonts w:ascii="Verdana" w:hAnsi="Verdana"/>
          <w:sz w:val="18"/>
          <w:szCs w:val="18"/>
          <w:lang w:val="pt-PT"/>
        </w:rPr>
        <w:t xml:space="preserve"> (Decree-Law 125/2017, amending the accessibility regime for buildings and establishments that receive the public, public roads and residential buildings), 4 October 2017. </w:t>
      </w:r>
    </w:p>
  </w:footnote>
  <w:footnote w:id="45">
    <w:p w14:paraId="67E36494" w14:textId="77AE7D2A" w:rsidR="0020652A" w:rsidRPr="00205B77" w:rsidRDefault="0020652A" w:rsidP="004D4E84">
      <w:pPr>
        <w:pStyle w:val="FootnoteText"/>
        <w:spacing w:line="240" w:lineRule="auto"/>
        <w:jc w:val="both"/>
        <w:rPr>
          <w:rFonts w:ascii="Verdana" w:hAnsi="Verdana"/>
          <w:sz w:val="18"/>
          <w:szCs w:val="18"/>
          <w:lang w:val="pt-PT"/>
        </w:rPr>
      </w:pPr>
      <w:r w:rsidRPr="00205B77">
        <w:rPr>
          <w:rStyle w:val="FootnoteReference"/>
          <w:rFonts w:ascii="Verdana" w:hAnsi="Verdana"/>
          <w:sz w:val="18"/>
          <w:szCs w:val="18"/>
        </w:rPr>
        <w:footnoteRef/>
      </w:r>
      <w:r w:rsidRPr="00205B77">
        <w:rPr>
          <w:rFonts w:ascii="Verdana" w:hAnsi="Verdana"/>
          <w:sz w:val="18"/>
          <w:szCs w:val="18"/>
          <w:lang w:val="pt-PT"/>
        </w:rPr>
        <w:t xml:space="preserve"> </w:t>
      </w:r>
      <w:r w:rsidR="00ED22B4" w:rsidRPr="00205B77">
        <w:rPr>
          <w:rFonts w:ascii="Verdana" w:hAnsi="Verdana"/>
          <w:sz w:val="18"/>
          <w:szCs w:val="18"/>
          <w:lang w:val="pt-PT"/>
        </w:rPr>
        <w:t>Comissão para a Promoção das Acessibilidades (</w:t>
      </w:r>
      <w:r w:rsidRPr="00205B77">
        <w:rPr>
          <w:rFonts w:ascii="Verdana" w:hAnsi="Verdana"/>
          <w:sz w:val="18"/>
          <w:szCs w:val="18"/>
          <w:lang w:val="pt-PT"/>
        </w:rPr>
        <w:t>Commission for the Promotion of Accessibility</w:t>
      </w:r>
      <w:r w:rsidR="00ED22B4" w:rsidRPr="00205B77">
        <w:rPr>
          <w:rFonts w:ascii="Verdana" w:hAnsi="Verdana"/>
          <w:sz w:val="18"/>
          <w:szCs w:val="18"/>
          <w:lang w:val="pt-PT"/>
        </w:rPr>
        <w:t xml:space="preserve">) (2020), </w:t>
      </w:r>
      <w:hyperlink r:id="rId39" w:history="1">
        <w:r w:rsidR="00ED22B4" w:rsidRPr="00205B77">
          <w:rPr>
            <w:rStyle w:val="Hyperlink"/>
            <w:rFonts w:ascii="Verdana" w:hAnsi="Verdana"/>
            <w:i/>
            <w:sz w:val="18"/>
            <w:szCs w:val="18"/>
            <w:lang w:val="pt-PT"/>
          </w:rPr>
          <w:t>Comissão para a Promoção das Acessibilidades: Relatório</w:t>
        </w:r>
      </w:hyperlink>
      <w:r w:rsidR="00ED22B4" w:rsidRPr="00205B77">
        <w:rPr>
          <w:rFonts w:ascii="Verdana" w:hAnsi="Verdana"/>
          <w:sz w:val="18"/>
          <w:szCs w:val="18"/>
          <w:lang w:val="pt-PT"/>
        </w:rPr>
        <w:t xml:space="preserve"> (Commission for the Promotion of Accessibility: Report), Lisboa, Comissão para a Promoção das Acessibilidades.</w:t>
      </w:r>
    </w:p>
  </w:footnote>
  <w:footnote w:id="46">
    <w:p w14:paraId="1991EF5D" w14:textId="77777777" w:rsidR="00ED22B4" w:rsidRPr="00205B77" w:rsidRDefault="00ED22B4" w:rsidP="004D4E84">
      <w:pPr>
        <w:pStyle w:val="FootnoteText"/>
        <w:spacing w:line="240" w:lineRule="auto"/>
        <w:jc w:val="both"/>
        <w:rPr>
          <w:rStyle w:val="FRABodyTextChar"/>
          <w:sz w:val="18"/>
          <w:szCs w:val="18"/>
        </w:rPr>
      </w:pPr>
      <w:r w:rsidRPr="00205B77">
        <w:rPr>
          <w:rStyle w:val="FootnoteReference"/>
          <w:rFonts w:ascii="Verdana" w:hAnsi="Verdana"/>
          <w:sz w:val="18"/>
          <w:szCs w:val="18"/>
        </w:rPr>
        <w:footnoteRef/>
      </w:r>
      <w:r w:rsidRPr="00205B77">
        <w:rPr>
          <w:rFonts w:ascii="Verdana" w:hAnsi="Verdana"/>
          <w:sz w:val="18"/>
          <w:szCs w:val="18"/>
          <w:lang w:val="pt-PT"/>
        </w:rPr>
        <w:t xml:space="preserve"> </w:t>
      </w:r>
      <w:r w:rsidRPr="00205B77">
        <w:rPr>
          <w:rStyle w:val="FRABodyTextChar"/>
          <w:sz w:val="18"/>
          <w:szCs w:val="18"/>
        </w:rPr>
        <w:t xml:space="preserve">Portugal, </w:t>
      </w:r>
      <w:hyperlink r:id="rId40" w:history="1">
        <w:r w:rsidRPr="00205B77">
          <w:rPr>
            <w:rStyle w:val="Hyperlink"/>
            <w:rFonts w:ascii="Verdana" w:hAnsi="Verdana"/>
            <w:sz w:val="18"/>
            <w:szCs w:val="18"/>
            <w:lang w:val="pt-PT"/>
          </w:rPr>
          <w:t>Resolução do Conselho de Ministros 119/2021, que aprova a Estratégia Nacional para a Inclusão das Pessoas com Deficiência 2021-2025</w:t>
        </w:r>
      </w:hyperlink>
      <w:r w:rsidRPr="00205B77">
        <w:rPr>
          <w:rStyle w:val="FRABodyTextChar"/>
          <w:sz w:val="18"/>
          <w:szCs w:val="18"/>
        </w:rPr>
        <w:t xml:space="preserve"> (Resolution of the Council of Ministers 119/2022, approving the National Strategy for the Inclusion of People with Disabilities 2021-2025), 31 August 2021. </w:t>
      </w:r>
    </w:p>
    <w:p w14:paraId="51BBB272" w14:textId="734783A3" w:rsidR="00ED22B4" w:rsidRPr="00205B77" w:rsidRDefault="00ED22B4" w:rsidP="004D4E84">
      <w:pPr>
        <w:pStyle w:val="FRABody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77648" w14:textId="77777777" w:rsidR="00941F9C" w:rsidRDefault="00941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id w:val="1749678194"/>
    </w:sdtPr>
    <w:sdtEndPr/>
    <w:sdtContent>
      <w:p w14:paraId="5BAC6F34" w14:textId="77777777" w:rsidR="009E08B4" w:rsidRDefault="009E08B4">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6FC42" w14:textId="77777777" w:rsidR="00941F9C" w:rsidRDefault="00941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id w:val="677810794"/>
    </w:sdtPr>
    <w:sdtEndPr/>
    <w:sdtContent>
      <w:p w14:paraId="015F9614" w14:textId="77777777" w:rsidR="009E08B4" w:rsidRDefault="009E08B4">
        <w:pPr>
          <w:pStyle w:val="Header"/>
        </w:pPr>
        <w: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id w:val="601138310"/>
    </w:sdtPr>
    <w:sdtEndPr/>
    <w:sdtContent>
      <w:p w14:paraId="58592A56" w14:textId="77777777" w:rsidR="009E08B4" w:rsidRDefault="009E08B4">
        <w:pPr>
          <w:pStyle w:val="Head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707D"/>
    <w:multiLevelType w:val="multilevel"/>
    <w:tmpl w:val="64EE9950"/>
    <w:lvl w:ilvl="0">
      <w:start w:val="1"/>
      <w:numFmt w:val="lowerRoman"/>
      <w:pStyle w:val="ListRoman"/>
      <w:lvlText w:val="(%1)"/>
      <w:lvlJc w:val="left"/>
      <w:pPr>
        <w:tabs>
          <w:tab w:val="num" w:pos="0"/>
        </w:tabs>
        <w:ind w:left="482" w:hanging="482"/>
      </w:pPr>
      <w:rPr>
        <w:rFonts w:ascii="Calibri" w:hAnsi="Calibri"/>
      </w:rPr>
    </w:lvl>
    <w:lvl w:ilvl="1">
      <w:start w:val="1"/>
      <w:numFmt w:val="bullet"/>
      <w:pStyle w:val="ListRomanLevel2"/>
      <w:lvlText w:val="—"/>
      <w:lvlJc w:val="left"/>
      <w:pPr>
        <w:tabs>
          <w:tab w:val="num" w:pos="0"/>
        </w:tabs>
        <w:ind w:left="964" w:hanging="482"/>
      </w:pPr>
      <w:rPr>
        <w:rFonts w:ascii="Calibri" w:hAnsi="Calibri" w:cs="Calibri" w:hint="default"/>
        <w:color w:val="auto"/>
      </w:rPr>
    </w:lvl>
    <w:lvl w:ilvl="2">
      <w:start w:val="1"/>
      <w:numFmt w:val="bullet"/>
      <w:pStyle w:val="ListRomanLevel3"/>
      <w:lvlText w:val="o"/>
      <w:lvlJc w:val="left"/>
      <w:pPr>
        <w:tabs>
          <w:tab w:val="num" w:pos="0"/>
        </w:tabs>
        <w:ind w:left="1446" w:hanging="482"/>
      </w:pPr>
      <w:rPr>
        <w:rFonts w:ascii="Calibri" w:hAnsi="Calibri" w:cs="Calibri" w:hint="default"/>
        <w:color w:val="auto"/>
      </w:rPr>
    </w:lvl>
    <w:lvl w:ilvl="3">
      <w:start w:val="1"/>
      <w:numFmt w:val="bullet"/>
      <w:pStyle w:val="ListRomanLevel4"/>
      <w:lvlText w:val=""/>
      <w:lvlJc w:val="left"/>
      <w:pPr>
        <w:tabs>
          <w:tab w:val="num" w:pos="0"/>
        </w:tabs>
        <w:ind w:left="1928" w:hanging="482"/>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C7214F8"/>
    <w:multiLevelType w:val="multilevel"/>
    <w:tmpl w:val="3DC07C90"/>
    <w:lvl w:ilvl="0">
      <w:start w:val="1"/>
      <w:numFmt w:val="lowerLetter"/>
      <w:pStyle w:val="Listabc"/>
      <w:lvlText w:val="(%1)"/>
      <w:lvlJc w:val="left"/>
      <w:pPr>
        <w:tabs>
          <w:tab w:val="num" w:pos="0"/>
        </w:tabs>
        <w:ind w:left="482" w:hanging="482"/>
      </w:pPr>
    </w:lvl>
    <w:lvl w:ilvl="1">
      <w:start w:val="1"/>
      <w:numFmt w:val="lowerRoman"/>
      <w:pStyle w:val="ListabcLevel2"/>
      <w:lvlText w:val="(%2)"/>
      <w:lvlJc w:val="left"/>
      <w:pPr>
        <w:tabs>
          <w:tab w:val="num" w:pos="0"/>
        </w:tabs>
        <w:ind w:left="964" w:hanging="482"/>
      </w:pPr>
      <w:rPr>
        <w:color w:val="auto"/>
      </w:rPr>
    </w:lvl>
    <w:lvl w:ilvl="2">
      <w:start w:val="1"/>
      <w:numFmt w:val="bullet"/>
      <w:pStyle w:val="ListabcLevel3"/>
      <w:lvlText w:val="—"/>
      <w:lvlJc w:val="left"/>
      <w:pPr>
        <w:tabs>
          <w:tab w:val="num" w:pos="0"/>
        </w:tabs>
        <w:ind w:left="1446" w:hanging="482"/>
      </w:pPr>
      <w:rPr>
        <w:rFonts w:ascii="Calibri" w:hAnsi="Calibri" w:cs="Calibri" w:hint="default"/>
        <w:color w:val="auto"/>
      </w:rPr>
    </w:lvl>
    <w:lvl w:ilvl="3">
      <w:start w:val="1"/>
      <w:numFmt w:val="bullet"/>
      <w:pStyle w:val="ListabcLevel4"/>
      <w:lvlText w:val="—"/>
      <w:lvlJc w:val="left"/>
      <w:pPr>
        <w:tabs>
          <w:tab w:val="num" w:pos="0"/>
        </w:tabs>
        <w:ind w:left="1928" w:hanging="482"/>
      </w:pPr>
      <w:rPr>
        <w:rFonts w:ascii="Calibri" w:hAnsi="Calibri" w:cs="Calibri" w:hint="default"/>
        <w:color w:val="auto"/>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E6A191C"/>
    <w:multiLevelType w:val="multilevel"/>
    <w:tmpl w:val="FC749E1A"/>
    <w:lvl w:ilvl="0">
      <w:start w:val="1"/>
      <w:numFmt w:val="decimal"/>
      <w:pStyle w:val="ListNumberNonindented"/>
      <w:lvlText w:val="%1."/>
      <w:lvlJc w:val="left"/>
      <w:pPr>
        <w:tabs>
          <w:tab w:val="num" w:pos="0"/>
        </w:tabs>
        <w:ind w:left="567" w:hanging="567"/>
      </w:pPr>
      <w:rPr>
        <w:color w:val="525E65"/>
      </w:rPr>
    </w:lvl>
    <w:lvl w:ilvl="1">
      <w:start w:val="1"/>
      <w:numFmt w:val="decimal"/>
      <w:pStyle w:val="ListNumberNonindentedLevel2"/>
      <w:lvlText w:val="%1.%2."/>
      <w:lvlJc w:val="left"/>
      <w:pPr>
        <w:tabs>
          <w:tab w:val="num" w:pos="0"/>
        </w:tabs>
        <w:ind w:left="850" w:hanging="850"/>
      </w:pPr>
      <w:rPr>
        <w:color w:val="525E65"/>
      </w:rPr>
    </w:lvl>
    <w:lvl w:ilvl="2">
      <w:start w:val="1"/>
      <w:numFmt w:val="decimal"/>
      <w:pStyle w:val="ListNumberNonindentedLevel3"/>
      <w:lvlText w:val="%1.%2.%3."/>
      <w:lvlJc w:val="left"/>
      <w:pPr>
        <w:tabs>
          <w:tab w:val="num" w:pos="0"/>
        </w:tabs>
        <w:ind w:left="1134" w:hanging="1134"/>
      </w:pPr>
      <w:rPr>
        <w:color w:val="525E65"/>
      </w:rPr>
    </w:lvl>
    <w:lvl w:ilvl="3">
      <w:start w:val="1"/>
      <w:numFmt w:val="decimal"/>
      <w:pStyle w:val="ListNumberNonindentedLevel4"/>
      <w:lvlText w:val="%1.%2.%3.%4."/>
      <w:lvlJc w:val="left"/>
      <w:pPr>
        <w:tabs>
          <w:tab w:val="num" w:pos="0"/>
        </w:tabs>
        <w:ind w:left="1417" w:hanging="1417"/>
      </w:pPr>
      <w:rPr>
        <w:rFonts w:ascii="Calibri" w:hAnsi="Calibri"/>
        <w:color w:val="525E65"/>
      </w:rPr>
    </w:lvl>
    <w:lvl w:ilvl="4">
      <w:start w:val="1"/>
      <w:numFmt w:val="decimal"/>
      <w:pStyle w:val="ListNumberNonindentedLevel5"/>
      <w:lvlText w:val="%1.%2.%3.%4.%5."/>
      <w:lvlJc w:val="left"/>
      <w:pPr>
        <w:tabs>
          <w:tab w:val="num" w:pos="0"/>
        </w:tabs>
        <w:ind w:left="1701" w:hanging="1701"/>
      </w:pPr>
      <w:rPr>
        <w:rFonts w:ascii="Calibri" w:hAnsi="Calibri"/>
        <w:color w:val="525E65"/>
      </w:rPr>
    </w:lvl>
    <w:lvl w:ilvl="5">
      <w:start w:val="1"/>
      <w:numFmt w:val="decimal"/>
      <w:lvlText w:val="%1.%2.%3.%4.%5."/>
      <w:lvlJc w:val="left"/>
      <w:pPr>
        <w:tabs>
          <w:tab w:val="num" w:pos="0"/>
        </w:tabs>
        <w:ind w:left="1701" w:hanging="1701"/>
      </w:pPr>
      <w:rPr>
        <w:rFonts w:ascii="Calibri" w:hAnsi="Calibri"/>
      </w:rPr>
    </w:lvl>
    <w:lvl w:ilvl="6">
      <w:start w:val="1"/>
      <w:numFmt w:val="decimal"/>
      <w:lvlText w:val="%1.%2.%3.%4.%5."/>
      <w:lvlJc w:val="left"/>
      <w:pPr>
        <w:tabs>
          <w:tab w:val="num" w:pos="0"/>
        </w:tabs>
        <w:ind w:left="1701" w:hanging="1701"/>
      </w:pPr>
      <w:rPr>
        <w:rFonts w:ascii="Calibri" w:hAnsi="Calibri"/>
      </w:rPr>
    </w:lvl>
    <w:lvl w:ilvl="7">
      <w:start w:val="1"/>
      <w:numFmt w:val="decimal"/>
      <w:lvlText w:val="%1.%2.%3.%4.%5."/>
      <w:lvlJc w:val="left"/>
      <w:pPr>
        <w:tabs>
          <w:tab w:val="num" w:pos="0"/>
        </w:tabs>
        <w:ind w:left="1701" w:hanging="1701"/>
      </w:pPr>
      <w:rPr>
        <w:rFonts w:ascii="Calibri" w:hAnsi="Calibri"/>
      </w:rPr>
    </w:lvl>
    <w:lvl w:ilvl="8">
      <w:start w:val="1"/>
      <w:numFmt w:val="decimal"/>
      <w:lvlText w:val="%1.%2.%3.%4.%5."/>
      <w:lvlJc w:val="left"/>
      <w:pPr>
        <w:tabs>
          <w:tab w:val="num" w:pos="0"/>
        </w:tabs>
        <w:ind w:left="1701" w:hanging="1701"/>
      </w:pPr>
      <w:rPr>
        <w:rFonts w:ascii="Calibri" w:hAnsi="Calibri"/>
      </w:rPr>
    </w:lvl>
  </w:abstractNum>
  <w:abstractNum w:abstractNumId="3" w15:restartNumberingAfterBreak="0">
    <w:nsid w:val="11BE4F61"/>
    <w:multiLevelType w:val="multilevel"/>
    <w:tmpl w:val="90E899B8"/>
    <w:lvl w:ilvl="0">
      <w:start w:val="1"/>
      <w:numFmt w:val="decimal"/>
      <w:pStyle w:val="FRAHeading1"/>
      <w:lvlText w:val="%1"/>
      <w:lvlJc w:val="left"/>
      <w:pPr>
        <w:tabs>
          <w:tab w:val="num" w:pos="0"/>
        </w:tabs>
        <w:ind w:left="907" w:hanging="907"/>
      </w:pPr>
    </w:lvl>
    <w:lvl w:ilvl="1">
      <w:start w:val="1"/>
      <w:numFmt w:val="decimal"/>
      <w:lvlText w:val="%1.%2"/>
      <w:lvlJc w:val="left"/>
      <w:pPr>
        <w:tabs>
          <w:tab w:val="num" w:pos="0"/>
        </w:tabs>
        <w:ind w:left="907" w:hanging="907"/>
      </w:pPr>
    </w:lvl>
    <w:lvl w:ilvl="2">
      <w:start w:val="1"/>
      <w:numFmt w:val="decimal"/>
      <w:lvlText w:val="%1.%2.%3"/>
      <w:lvlJc w:val="left"/>
      <w:pPr>
        <w:tabs>
          <w:tab w:val="num" w:pos="0"/>
        </w:tabs>
        <w:ind w:left="907" w:hanging="907"/>
      </w:pPr>
    </w:lvl>
    <w:lvl w:ilvl="3">
      <w:start w:val="1"/>
      <w:numFmt w:val="none"/>
      <w:pStyle w:val="FRAHeading4Unnumbered"/>
      <w:suff w:val="nothing"/>
      <w:lvlText w:val=""/>
      <w:lvlJc w:val="left"/>
      <w:pPr>
        <w:tabs>
          <w:tab w:val="num" w:pos="0"/>
        </w:tabs>
        <w:ind w:left="907" w:hanging="907"/>
      </w:pPr>
    </w:lvl>
    <w:lvl w:ilvl="4">
      <w:start w:val="1"/>
      <w:numFmt w:val="decimal"/>
      <w:pStyle w:val="FRAListNumbered"/>
      <w:lvlText w:val="%5."/>
      <w:lvlJc w:val="left"/>
      <w:pPr>
        <w:tabs>
          <w:tab w:val="num" w:pos="0"/>
        </w:tabs>
        <w:ind w:left="284" w:firstLine="0"/>
      </w:pPr>
    </w:lvl>
    <w:lvl w:ilvl="5">
      <w:start w:val="1"/>
      <w:numFmt w:val="bullet"/>
      <w:pStyle w:val="FRAListBullet"/>
      <w:lvlText w:val=""/>
      <w:lvlJc w:val="left"/>
      <w:pPr>
        <w:tabs>
          <w:tab w:val="num" w:pos="0"/>
        </w:tabs>
        <w:ind w:left="284" w:firstLine="0"/>
      </w:pPr>
      <w:rPr>
        <w:rFonts w:ascii="Symbol" w:hAnsi="Symbol" w:cs="Symbol" w:hint="default"/>
        <w:color w:val="auto"/>
      </w:rPr>
    </w:lvl>
    <w:lvl w:ilvl="6">
      <w:start w:val="1"/>
      <w:numFmt w:val="none"/>
      <w:suff w:val="nothing"/>
      <w:lvlText w:val=""/>
      <w:lvlJc w:val="left"/>
      <w:pPr>
        <w:tabs>
          <w:tab w:val="num" w:pos="0"/>
        </w:tabs>
        <w:ind w:left="907" w:hanging="907"/>
      </w:pPr>
    </w:lvl>
    <w:lvl w:ilvl="7">
      <w:start w:val="1"/>
      <w:numFmt w:val="none"/>
      <w:suff w:val="nothing"/>
      <w:lvlText w:val=""/>
      <w:lvlJc w:val="left"/>
      <w:pPr>
        <w:tabs>
          <w:tab w:val="num" w:pos="0"/>
        </w:tabs>
        <w:ind w:left="907" w:hanging="907"/>
      </w:pPr>
    </w:lvl>
    <w:lvl w:ilvl="8">
      <w:start w:val="1"/>
      <w:numFmt w:val="none"/>
      <w:suff w:val="nothing"/>
      <w:lvlText w:val=""/>
      <w:lvlJc w:val="right"/>
      <w:pPr>
        <w:tabs>
          <w:tab w:val="num" w:pos="0"/>
        </w:tabs>
        <w:ind w:left="907" w:hanging="907"/>
      </w:pPr>
    </w:lvl>
  </w:abstractNum>
  <w:abstractNum w:abstractNumId="4" w15:restartNumberingAfterBreak="0">
    <w:nsid w:val="11EA675F"/>
    <w:multiLevelType w:val="multilevel"/>
    <w:tmpl w:val="FB044E42"/>
    <w:lvl w:ilvl="0">
      <w:start w:val="1"/>
      <w:numFmt w:val="decimalZero"/>
      <w:pStyle w:val="NumberedParagraph"/>
      <w:suff w:val="space"/>
      <w:lvlText w:val="%1"/>
      <w:lvlJc w:val="left"/>
      <w:pPr>
        <w:tabs>
          <w:tab w:val="num" w:pos="0"/>
        </w:tabs>
        <w:ind w:left="0" w:firstLine="0"/>
      </w:pPr>
      <w:rPr>
        <w:b/>
        <w:color w:val="771D7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E465D03"/>
    <w:multiLevelType w:val="multilevel"/>
    <w:tmpl w:val="183277FA"/>
    <w:lvl w:ilvl="0">
      <w:start w:val="1"/>
      <w:numFmt w:val="upperRoman"/>
      <w:pStyle w:val="RomanParagraph"/>
      <w:suff w:val="space"/>
      <w:lvlText w:val="%1"/>
      <w:lvlJc w:val="left"/>
      <w:pPr>
        <w:tabs>
          <w:tab w:val="num" w:pos="0"/>
        </w:tabs>
        <w:ind w:left="0" w:firstLine="0"/>
      </w:pPr>
      <w:rPr>
        <w:b/>
        <w:color w:val="771D7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4BA39CA"/>
    <w:multiLevelType w:val="multilevel"/>
    <w:tmpl w:val="7ADCA93E"/>
    <w:lvl w:ilvl="0">
      <w:start w:val="1"/>
      <w:numFmt w:val="decimal"/>
      <w:pStyle w:val="HeadingNumbered1"/>
      <w:lvlText w:val="%1."/>
      <w:lvlJc w:val="left"/>
      <w:pPr>
        <w:tabs>
          <w:tab w:val="num" w:pos="0"/>
        </w:tabs>
        <w:ind w:left="1417" w:hanging="1417"/>
      </w:pPr>
    </w:lvl>
    <w:lvl w:ilvl="1">
      <w:start w:val="1"/>
      <w:numFmt w:val="decimal"/>
      <w:pStyle w:val="HeadingNumbered2"/>
      <w:lvlText w:val="%1.%2."/>
      <w:lvlJc w:val="left"/>
      <w:pPr>
        <w:tabs>
          <w:tab w:val="num" w:pos="0"/>
        </w:tabs>
        <w:ind w:left="1417" w:hanging="1417"/>
      </w:pPr>
    </w:lvl>
    <w:lvl w:ilvl="2">
      <w:start w:val="1"/>
      <w:numFmt w:val="decimal"/>
      <w:pStyle w:val="HeadingNumbered3"/>
      <w:lvlText w:val="%1.%2.%3."/>
      <w:lvlJc w:val="left"/>
      <w:pPr>
        <w:tabs>
          <w:tab w:val="num" w:pos="0"/>
        </w:tabs>
        <w:ind w:left="1417" w:hanging="1417"/>
      </w:pPr>
      <w:rPr>
        <w:rFonts w:ascii="Calibri" w:hAnsi="Calibri"/>
      </w:rPr>
    </w:lvl>
    <w:lvl w:ilvl="3">
      <w:start w:val="1"/>
      <w:numFmt w:val="decimal"/>
      <w:pStyle w:val="HeadingNumbered4"/>
      <w:lvlText w:val="%1.%2.%3.%4."/>
      <w:lvlJc w:val="left"/>
      <w:pPr>
        <w:tabs>
          <w:tab w:val="num" w:pos="0"/>
        </w:tabs>
        <w:ind w:left="1417" w:hanging="1417"/>
      </w:pPr>
      <w:rPr>
        <w:rFonts w:ascii="Calibri" w:hAnsi="Calibri"/>
      </w:rPr>
    </w:lvl>
    <w:lvl w:ilvl="4">
      <w:start w:val="1"/>
      <w:numFmt w:val="decimal"/>
      <w:lvlText w:val="%1.%2.%3.%4."/>
      <w:lvlJc w:val="left"/>
      <w:pPr>
        <w:tabs>
          <w:tab w:val="num" w:pos="0"/>
        </w:tabs>
        <w:ind w:left="1417" w:hanging="1417"/>
      </w:pPr>
      <w:rPr>
        <w:rFonts w:ascii="Calibri" w:hAnsi="Calibri"/>
      </w:rPr>
    </w:lvl>
    <w:lvl w:ilvl="5">
      <w:start w:val="1"/>
      <w:numFmt w:val="decimal"/>
      <w:lvlText w:val="%1.%2.%3.%4."/>
      <w:lvlJc w:val="left"/>
      <w:pPr>
        <w:tabs>
          <w:tab w:val="num" w:pos="0"/>
        </w:tabs>
        <w:ind w:left="1417" w:hanging="1417"/>
      </w:pPr>
      <w:rPr>
        <w:rFonts w:ascii="Calibri" w:hAnsi="Calibri"/>
      </w:rPr>
    </w:lvl>
    <w:lvl w:ilvl="6">
      <w:start w:val="1"/>
      <w:numFmt w:val="decimal"/>
      <w:lvlText w:val="%1.%2.%3.%4."/>
      <w:lvlJc w:val="left"/>
      <w:pPr>
        <w:tabs>
          <w:tab w:val="num" w:pos="0"/>
        </w:tabs>
        <w:ind w:left="1417" w:hanging="1417"/>
      </w:pPr>
      <w:rPr>
        <w:rFonts w:ascii="Calibri" w:hAnsi="Calibri"/>
      </w:rPr>
    </w:lvl>
    <w:lvl w:ilvl="7">
      <w:start w:val="1"/>
      <w:numFmt w:val="decimal"/>
      <w:lvlText w:val="%1.%2.%3.%4."/>
      <w:lvlJc w:val="left"/>
      <w:pPr>
        <w:tabs>
          <w:tab w:val="num" w:pos="0"/>
        </w:tabs>
        <w:ind w:left="1417" w:hanging="1417"/>
      </w:pPr>
      <w:rPr>
        <w:rFonts w:ascii="Calibri" w:hAnsi="Calibri"/>
      </w:rPr>
    </w:lvl>
    <w:lvl w:ilvl="8">
      <w:start w:val="1"/>
      <w:numFmt w:val="decimal"/>
      <w:lvlText w:val="%1.%2.%3.%4."/>
      <w:lvlJc w:val="left"/>
      <w:pPr>
        <w:tabs>
          <w:tab w:val="num" w:pos="0"/>
        </w:tabs>
        <w:ind w:left="1417" w:hanging="1417"/>
      </w:pPr>
      <w:rPr>
        <w:rFonts w:ascii="Calibri" w:hAnsi="Calibri"/>
      </w:rPr>
    </w:lvl>
  </w:abstractNum>
  <w:abstractNum w:abstractNumId="7" w15:restartNumberingAfterBreak="0">
    <w:nsid w:val="56BE0BB2"/>
    <w:multiLevelType w:val="multilevel"/>
    <w:tmpl w:val="C2EA0472"/>
    <w:lvl w:ilvl="0">
      <w:start w:val="1"/>
      <w:numFmt w:val="decimal"/>
      <w:pStyle w:val="ListNumber"/>
      <w:lvlText w:val="%1."/>
      <w:lvlJc w:val="left"/>
      <w:pPr>
        <w:tabs>
          <w:tab w:val="num" w:pos="0"/>
        </w:tabs>
        <w:ind w:left="1134" w:hanging="567"/>
      </w:pPr>
      <w:rPr>
        <w:color w:val="525E65"/>
      </w:rPr>
    </w:lvl>
    <w:lvl w:ilvl="1">
      <w:start w:val="1"/>
      <w:numFmt w:val="decimal"/>
      <w:lvlText w:val="%1.%2."/>
      <w:lvlJc w:val="left"/>
      <w:pPr>
        <w:tabs>
          <w:tab w:val="num" w:pos="0"/>
        </w:tabs>
        <w:ind w:left="1701" w:hanging="567"/>
      </w:pPr>
      <w:rPr>
        <w:color w:val="525E65"/>
      </w:rPr>
    </w:lvl>
    <w:lvl w:ilvl="2">
      <w:start w:val="1"/>
      <w:numFmt w:val="decimal"/>
      <w:lvlText w:val="%1.%2.%3."/>
      <w:lvlJc w:val="left"/>
      <w:pPr>
        <w:tabs>
          <w:tab w:val="num" w:pos="0"/>
        </w:tabs>
        <w:ind w:left="2268" w:hanging="851"/>
      </w:pPr>
      <w:rPr>
        <w:color w:val="525E65"/>
      </w:rPr>
    </w:lvl>
    <w:lvl w:ilvl="3">
      <w:start w:val="1"/>
      <w:numFmt w:val="decimal"/>
      <w:lvlText w:val="%1.%2.%3.%4."/>
      <w:lvlJc w:val="left"/>
      <w:pPr>
        <w:tabs>
          <w:tab w:val="num" w:pos="0"/>
        </w:tabs>
        <w:ind w:left="3118" w:hanging="1134"/>
      </w:pPr>
      <w:rPr>
        <w:rFonts w:ascii="Calibri" w:hAnsi="Calibri"/>
        <w:color w:val="525E65"/>
      </w:rPr>
    </w:lvl>
    <w:lvl w:ilvl="4">
      <w:start w:val="1"/>
      <w:numFmt w:val="decimal"/>
      <w:pStyle w:val="ListNumberLevel5"/>
      <w:lvlText w:val="%1.%2.%3.%4.%5."/>
      <w:lvlJc w:val="left"/>
      <w:pPr>
        <w:tabs>
          <w:tab w:val="num" w:pos="0"/>
        </w:tabs>
        <w:ind w:left="3969" w:hanging="1134"/>
      </w:pPr>
      <w:rPr>
        <w:rFonts w:ascii="Calibri" w:hAnsi="Calibri"/>
        <w:color w:val="525E65"/>
      </w:rPr>
    </w:lvl>
    <w:lvl w:ilvl="5">
      <w:start w:val="1"/>
      <w:numFmt w:val="decimal"/>
      <w:lvlText w:val="%1.%2.%3.%4.%5."/>
      <w:lvlJc w:val="left"/>
      <w:pPr>
        <w:tabs>
          <w:tab w:val="num" w:pos="0"/>
        </w:tabs>
        <w:ind w:left="3969" w:hanging="1134"/>
      </w:pPr>
      <w:rPr>
        <w:rFonts w:ascii="Calibri" w:hAnsi="Calibri"/>
      </w:rPr>
    </w:lvl>
    <w:lvl w:ilvl="6">
      <w:start w:val="1"/>
      <w:numFmt w:val="decimal"/>
      <w:lvlText w:val="%1.%2.%3.%4.%5."/>
      <w:lvlJc w:val="left"/>
      <w:pPr>
        <w:tabs>
          <w:tab w:val="num" w:pos="0"/>
        </w:tabs>
        <w:ind w:left="3969" w:hanging="1134"/>
      </w:pPr>
      <w:rPr>
        <w:rFonts w:ascii="Calibri" w:hAnsi="Calibri"/>
      </w:rPr>
    </w:lvl>
    <w:lvl w:ilvl="7">
      <w:start w:val="1"/>
      <w:numFmt w:val="decimal"/>
      <w:lvlText w:val="%1.%2.%3.%4.%5."/>
      <w:lvlJc w:val="left"/>
      <w:pPr>
        <w:tabs>
          <w:tab w:val="num" w:pos="0"/>
        </w:tabs>
        <w:ind w:left="3969" w:hanging="1134"/>
      </w:pPr>
      <w:rPr>
        <w:rFonts w:ascii="Calibri" w:hAnsi="Calibri"/>
      </w:rPr>
    </w:lvl>
    <w:lvl w:ilvl="8">
      <w:start w:val="1"/>
      <w:numFmt w:val="decimal"/>
      <w:lvlText w:val="%1.%2.%3.%4.%5."/>
      <w:lvlJc w:val="left"/>
      <w:pPr>
        <w:tabs>
          <w:tab w:val="num" w:pos="0"/>
        </w:tabs>
        <w:ind w:left="3969" w:hanging="1134"/>
      </w:pPr>
      <w:rPr>
        <w:rFonts w:ascii="Calibri" w:hAnsi="Calibri"/>
      </w:rPr>
    </w:lvl>
  </w:abstractNum>
  <w:abstractNum w:abstractNumId="8" w15:restartNumberingAfterBreak="0">
    <w:nsid w:val="6B7F324D"/>
    <w:multiLevelType w:val="multilevel"/>
    <w:tmpl w:val="E2F69548"/>
    <w:lvl w:ilvl="0">
      <w:start w:val="1"/>
      <w:numFmt w:val="bullet"/>
      <w:pStyle w:val="ListBullet"/>
      <w:lvlText w:val="●"/>
      <w:lvlJc w:val="left"/>
      <w:pPr>
        <w:tabs>
          <w:tab w:val="num" w:pos="0"/>
        </w:tabs>
        <w:ind w:left="482" w:hanging="482"/>
      </w:pPr>
      <w:rPr>
        <w:rFonts w:ascii="Calibri" w:hAnsi="Calibri" w:cs="Calibri" w:hint="default"/>
        <w:color w:val="771D7B"/>
      </w:rPr>
    </w:lvl>
    <w:lvl w:ilvl="1">
      <w:start w:val="1"/>
      <w:numFmt w:val="bullet"/>
      <w:pStyle w:val="ListBulletLevel2"/>
      <w:lvlText w:val="■"/>
      <w:lvlJc w:val="left"/>
      <w:pPr>
        <w:tabs>
          <w:tab w:val="num" w:pos="0"/>
        </w:tabs>
        <w:ind w:left="964" w:hanging="482"/>
      </w:pPr>
      <w:rPr>
        <w:rFonts w:ascii="Arial" w:hAnsi="Arial" w:cs="Arial" w:hint="default"/>
        <w:color w:val="771D7B"/>
        <w:sz w:val="20"/>
      </w:rPr>
    </w:lvl>
    <w:lvl w:ilvl="2">
      <w:start w:val="1"/>
      <w:numFmt w:val="bullet"/>
      <w:pStyle w:val="ListBulletLevel3"/>
      <w:lvlText w:val="—"/>
      <w:lvlJc w:val="left"/>
      <w:pPr>
        <w:tabs>
          <w:tab w:val="num" w:pos="0"/>
        </w:tabs>
        <w:ind w:left="1446" w:hanging="482"/>
      </w:pPr>
      <w:rPr>
        <w:rFonts w:ascii="Calibri" w:hAnsi="Calibri" w:cs="Calibri" w:hint="default"/>
        <w:color w:val="771D7B"/>
      </w:rPr>
    </w:lvl>
    <w:lvl w:ilvl="3">
      <w:start w:val="1"/>
      <w:numFmt w:val="bullet"/>
      <w:pStyle w:val="ListBulletLevel4"/>
      <w:lvlText w:val="—"/>
      <w:lvlJc w:val="left"/>
      <w:pPr>
        <w:tabs>
          <w:tab w:val="num" w:pos="0"/>
        </w:tabs>
        <w:ind w:left="1928" w:hanging="482"/>
      </w:pPr>
      <w:rPr>
        <w:rFonts w:ascii="Calibri" w:hAnsi="Calibri" w:cs="Calibri" w:hint="default"/>
        <w:color w:val="771D7B"/>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6F3A484C"/>
    <w:multiLevelType w:val="multilevel"/>
    <w:tmpl w:val="84DC5D46"/>
    <w:lvl w:ilvl="0">
      <w:start w:val="1"/>
      <w:numFmt w:val="bullet"/>
      <w:pStyle w:val="ListDash"/>
      <w:lvlText w:val="—"/>
      <w:lvlJc w:val="left"/>
      <w:pPr>
        <w:tabs>
          <w:tab w:val="num" w:pos="0"/>
        </w:tabs>
        <w:ind w:left="482" w:hanging="482"/>
      </w:pPr>
      <w:rPr>
        <w:rFonts w:ascii="Calibri" w:hAnsi="Calibri" w:cs="Calibri" w:hint="default"/>
        <w:color w:val="771D7B"/>
      </w:rPr>
    </w:lvl>
    <w:lvl w:ilvl="1">
      <w:start w:val="1"/>
      <w:numFmt w:val="bullet"/>
      <w:pStyle w:val="ListDashLevel2"/>
      <w:lvlText w:val="—"/>
      <w:lvlJc w:val="left"/>
      <w:pPr>
        <w:tabs>
          <w:tab w:val="num" w:pos="0"/>
        </w:tabs>
        <w:ind w:left="964" w:hanging="482"/>
      </w:pPr>
      <w:rPr>
        <w:rFonts w:ascii="Calibri" w:hAnsi="Calibri" w:cs="Calibri" w:hint="default"/>
        <w:color w:val="771D7B"/>
      </w:rPr>
    </w:lvl>
    <w:lvl w:ilvl="2">
      <w:start w:val="1"/>
      <w:numFmt w:val="bullet"/>
      <w:pStyle w:val="ListDashLevel3"/>
      <w:lvlText w:val="—"/>
      <w:lvlJc w:val="left"/>
      <w:pPr>
        <w:tabs>
          <w:tab w:val="num" w:pos="0"/>
        </w:tabs>
        <w:ind w:left="1446" w:hanging="482"/>
      </w:pPr>
      <w:rPr>
        <w:rFonts w:ascii="Calibri" w:hAnsi="Calibri" w:cs="Calibri" w:hint="default"/>
        <w:color w:val="771D7B"/>
      </w:rPr>
    </w:lvl>
    <w:lvl w:ilvl="3">
      <w:start w:val="1"/>
      <w:numFmt w:val="bullet"/>
      <w:pStyle w:val="ListDashLevel4"/>
      <w:lvlText w:val="—"/>
      <w:lvlJc w:val="left"/>
      <w:pPr>
        <w:tabs>
          <w:tab w:val="num" w:pos="0"/>
        </w:tabs>
        <w:ind w:left="1928" w:hanging="482"/>
      </w:pPr>
      <w:rPr>
        <w:rFonts w:ascii="Calibri" w:hAnsi="Calibri" w:cs="Calibri" w:hint="default"/>
        <w:color w:val="771D7B"/>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0" w15:restartNumberingAfterBreak="0">
    <w:nsid w:val="79FF7E72"/>
    <w:multiLevelType w:val="multilevel"/>
    <w:tmpl w:val="40D48E3C"/>
    <w:lvl w:ilvl="0">
      <w:start w:val="1"/>
      <w:numFmt w:val="decimal"/>
      <w:pStyle w:val="ListMixed"/>
      <w:lvlText w:val="%1."/>
      <w:lvlJc w:val="left"/>
      <w:pPr>
        <w:tabs>
          <w:tab w:val="num" w:pos="0"/>
        </w:tabs>
        <w:ind w:left="1134" w:hanging="567"/>
      </w:pPr>
      <w:rPr>
        <w:color w:val="525E65"/>
      </w:rPr>
    </w:lvl>
    <w:lvl w:ilvl="1">
      <w:start w:val="1"/>
      <w:numFmt w:val="lowerLetter"/>
      <w:pStyle w:val="ListMixedLevel2"/>
      <w:lvlText w:val="(%2)"/>
      <w:lvlJc w:val="left"/>
      <w:pPr>
        <w:tabs>
          <w:tab w:val="num" w:pos="0"/>
        </w:tabs>
        <w:ind w:left="1701" w:hanging="567"/>
      </w:pPr>
      <w:rPr>
        <w:color w:val="525E65"/>
      </w:rPr>
    </w:lvl>
    <w:lvl w:ilvl="2">
      <w:start w:val="1"/>
      <w:numFmt w:val="bullet"/>
      <w:pStyle w:val="ListMixedLevel3"/>
      <w:lvlText w:val="—"/>
      <w:lvlJc w:val="left"/>
      <w:pPr>
        <w:tabs>
          <w:tab w:val="num" w:pos="0"/>
        </w:tabs>
        <w:ind w:left="2268" w:hanging="567"/>
      </w:pPr>
      <w:rPr>
        <w:rFonts w:ascii="OpenSymbol" w:hAnsi="OpenSymbol" w:cs="OpenSymbol" w:hint="default"/>
        <w:color w:val="525E65"/>
      </w:rPr>
    </w:lvl>
    <w:lvl w:ilvl="3">
      <w:start w:val="1"/>
      <w:numFmt w:val="bullet"/>
      <w:pStyle w:val="ListMixedLevel4"/>
      <w:lvlText w:val="▪"/>
      <w:lvlJc w:val="left"/>
      <w:pPr>
        <w:tabs>
          <w:tab w:val="num" w:pos="0"/>
        </w:tabs>
        <w:ind w:left="2835" w:hanging="567"/>
      </w:pPr>
      <w:rPr>
        <w:rFonts w:ascii="Calibri" w:hAnsi="Calibri" w:cs="Calibri" w:hint="default"/>
        <w:color w:val="525E65"/>
      </w:rPr>
    </w:lvl>
    <w:lvl w:ilvl="4">
      <w:start w:val="1"/>
      <w:numFmt w:val="bullet"/>
      <w:lvlText w:val="▪"/>
      <w:lvlJc w:val="left"/>
      <w:pPr>
        <w:tabs>
          <w:tab w:val="num" w:pos="0"/>
        </w:tabs>
        <w:ind w:left="3402" w:hanging="567"/>
      </w:pPr>
      <w:rPr>
        <w:rFonts w:ascii="Calibri" w:hAnsi="Calibri" w:cs="Calibri" w:hint="default"/>
        <w:color w:val="525E65"/>
      </w:rPr>
    </w:lvl>
    <w:lvl w:ilvl="5">
      <w:start w:val="1"/>
      <w:numFmt w:val="bullet"/>
      <w:lvlText w:val="▪"/>
      <w:lvlJc w:val="left"/>
      <w:pPr>
        <w:tabs>
          <w:tab w:val="num" w:pos="0"/>
        </w:tabs>
        <w:ind w:left="3402" w:hanging="567"/>
      </w:pPr>
      <w:rPr>
        <w:rFonts w:ascii="Calibri" w:hAnsi="Calibri" w:cs="Calibri" w:hint="default"/>
      </w:rPr>
    </w:lvl>
    <w:lvl w:ilvl="6">
      <w:start w:val="1"/>
      <w:numFmt w:val="bullet"/>
      <w:lvlText w:val="▪"/>
      <w:lvlJc w:val="left"/>
      <w:pPr>
        <w:tabs>
          <w:tab w:val="num" w:pos="0"/>
        </w:tabs>
        <w:ind w:left="3402" w:hanging="567"/>
      </w:pPr>
      <w:rPr>
        <w:rFonts w:ascii="Calibri" w:hAnsi="Calibri" w:cs="Calibri" w:hint="default"/>
      </w:rPr>
    </w:lvl>
    <w:lvl w:ilvl="7">
      <w:start w:val="1"/>
      <w:numFmt w:val="bullet"/>
      <w:lvlText w:val="▪"/>
      <w:lvlJc w:val="left"/>
      <w:pPr>
        <w:tabs>
          <w:tab w:val="num" w:pos="0"/>
        </w:tabs>
        <w:ind w:left="3402" w:hanging="567"/>
      </w:pPr>
      <w:rPr>
        <w:rFonts w:ascii="Calibri" w:hAnsi="Calibri" w:cs="Calibri" w:hint="default"/>
      </w:rPr>
    </w:lvl>
    <w:lvl w:ilvl="8">
      <w:start w:val="1"/>
      <w:numFmt w:val="bullet"/>
      <w:lvlText w:val="▪"/>
      <w:lvlJc w:val="left"/>
      <w:pPr>
        <w:tabs>
          <w:tab w:val="num" w:pos="0"/>
        </w:tabs>
        <w:ind w:left="3402" w:hanging="567"/>
      </w:pPr>
      <w:rPr>
        <w:rFonts w:ascii="Calibri" w:hAnsi="Calibri" w:cs="Calibri" w:hint="default"/>
      </w:rPr>
    </w:lvl>
  </w:abstractNum>
  <w:num w:numId="1" w16cid:durableId="658072591">
    <w:abstractNumId w:val="6"/>
  </w:num>
  <w:num w:numId="2" w16cid:durableId="784467304">
    <w:abstractNumId w:val="2"/>
  </w:num>
  <w:num w:numId="3" w16cid:durableId="1613783448">
    <w:abstractNumId w:val="9"/>
  </w:num>
  <w:num w:numId="4" w16cid:durableId="1751079360">
    <w:abstractNumId w:val="8"/>
  </w:num>
  <w:num w:numId="5" w16cid:durableId="1100444512">
    <w:abstractNumId w:val="5"/>
  </w:num>
  <w:num w:numId="6" w16cid:durableId="825362849">
    <w:abstractNumId w:val="4"/>
  </w:num>
  <w:num w:numId="7" w16cid:durableId="659849196">
    <w:abstractNumId w:val="7"/>
  </w:num>
  <w:num w:numId="8" w16cid:durableId="895091111">
    <w:abstractNumId w:val="10"/>
  </w:num>
  <w:num w:numId="9" w16cid:durableId="1838302667">
    <w:abstractNumId w:val="1"/>
  </w:num>
  <w:num w:numId="10" w16cid:durableId="1045300698">
    <w:abstractNumId w:val="0"/>
  </w:num>
  <w:num w:numId="11" w16cid:durableId="1073697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94"/>
    <w:rsid w:val="0001041C"/>
    <w:rsid w:val="0003018E"/>
    <w:rsid w:val="000317EA"/>
    <w:rsid w:val="000B73A3"/>
    <w:rsid w:val="000C4D52"/>
    <w:rsid w:val="000C7F48"/>
    <w:rsid w:val="000D5884"/>
    <w:rsid w:val="00131FBE"/>
    <w:rsid w:val="001A0961"/>
    <w:rsid w:val="001A735C"/>
    <w:rsid w:val="001E2649"/>
    <w:rsid w:val="001F3F0B"/>
    <w:rsid w:val="001F60FF"/>
    <w:rsid w:val="00205B77"/>
    <w:rsid w:val="0020652A"/>
    <w:rsid w:val="002376D6"/>
    <w:rsid w:val="002B12FC"/>
    <w:rsid w:val="002B6D67"/>
    <w:rsid w:val="002C35A7"/>
    <w:rsid w:val="002D4480"/>
    <w:rsid w:val="002E11F5"/>
    <w:rsid w:val="00317823"/>
    <w:rsid w:val="0033728B"/>
    <w:rsid w:val="00365CB9"/>
    <w:rsid w:val="0037039A"/>
    <w:rsid w:val="00371F64"/>
    <w:rsid w:val="003746FA"/>
    <w:rsid w:val="00385DF6"/>
    <w:rsid w:val="00387A14"/>
    <w:rsid w:val="003C3DDC"/>
    <w:rsid w:val="003F4A22"/>
    <w:rsid w:val="00411256"/>
    <w:rsid w:val="00426B53"/>
    <w:rsid w:val="0042778F"/>
    <w:rsid w:val="00432313"/>
    <w:rsid w:val="00447FF1"/>
    <w:rsid w:val="004C7BE6"/>
    <w:rsid w:val="004D4E84"/>
    <w:rsid w:val="004D7298"/>
    <w:rsid w:val="004F7796"/>
    <w:rsid w:val="00577CEC"/>
    <w:rsid w:val="005868D7"/>
    <w:rsid w:val="00595BA8"/>
    <w:rsid w:val="005C56DF"/>
    <w:rsid w:val="0060380F"/>
    <w:rsid w:val="00617884"/>
    <w:rsid w:val="00622AAF"/>
    <w:rsid w:val="0063642C"/>
    <w:rsid w:val="00673A07"/>
    <w:rsid w:val="00681752"/>
    <w:rsid w:val="006B46F0"/>
    <w:rsid w:val="00724F94"/>
    <w:rsid w:val="00736465"/>
    <w:rsid w:val="00744D70"/>
    <w:rsid w:val="00744F1D"/>
    <w:rsid w:val="00781218"/>
    <w:rsid w:val="00796A97"/>
    <w:rsid w:val="007976AF"/>
    <w:rsid w:val="00797C0B"/>
    <w:rsid w:val="007B0B27"/>
    <w:rsid w:val="007C424B"/>
    <w:rsid w:val="007D4C8B"/>
    <w:rsid w:val="00830307"/>
    <w:rsid w:val="008344F7"/>
    <w:rsid w:val="00844B74"/>
    <w:rsid w:val="00846049"/>
    <w:rsid w:val="008460D1"/>
    <w:rsid w:val="008477F3"/>
    <w:rsid w:val="008601E4"/>
    <w:rsid w:val="008667F1"/>
    <w:rsid w:val="008832E7"/>
    <w:rsid w:val="00892C8C"/>
    <w:rsid w:val="008A7F18"/>
    <w:rsid w:val="008C1CE5"/>
    <w:rsid w:val="008C6410"/>
    <w:rsid w:val="00933CE7"/>
    <w:rsid w:val="00941F9C"/>
    <w:rsid w:val="00960EAA"/>
    <w:rsid w:val="00986F1A"/>
    <w:rsid w:val="00993049"/>
    <w:rsid w:val="009A5D11"/>
    <w:rsid w:val="009E08B4"/>
    <w:rsid w:val="00A07123"/>
    <w:rsid w:val="00A84C5D"/>
    <w:rsid w:val="00A86399"/>
    <w:rsid w:val="00AC5DC7"/>
    <w:rsid w:val="00AD1093"/>
    <w:rsid w:val="00AE77F0"/>
    <w:rsid w:val="00AF2C84"/>
    <w:rsid w:val="00B24689"/>
    <w:rsid w:val="00B77B4E"/>
    <w:rsid w:val="00B91679"/>
    <w:rsid w:val="00B9241D"/>
    <w:rsid w:val="00B97055"/>
    <w:rsid w:val="00BA0024"/>
    <w:rsid w:val="00C40330"/>
    <w:rsid w:val="00C41905"/>
    <w:rsid w:val="00C44A03"/>
    <w:rsid w:val="00C80D49"/>
    <w:rsid w:val="00CB4400"/>
    <w:rsid w:val="00CF2809"/>
    <w:rsid w:val="00D06804"/>
    <w:rsid w:val="00D22D58"/>
    <w:rsid w:val="00D34317"/>
    <w:rsid w:val="00D556C9"/>
    <w:rsid w:val="00D776F1"/>
    <w:rsid w:val="00D9316A"/>
    <w:rsid w:val="00D94743"/>
    <w:rsid w:val="00D94F1C"/>
    <w:rsid w:val="00DA6694"/>
    <w:rsid w:val="00DB1176"/>
    <w:rsid w:val="00DC1113"/>
    <w:rsid w:val="00DC19C3"/>
    <w:rsid w:val="00E2154B"/>
    <w:rsid w:val="00E41085"/>
    <w:rsid w:val="00E45E25"/>
    <w:rsid w:val="00E87110"/>
    <w:rsid w:val="00E87270"/>
    <w:rsid w:val="00EA1992"/>
    <w:rsid w:val="00ED22B4"/>
    <w:rsid w:val="00EF3F60"/>
    <w:rsid w:val="00F32BC5"/>
    <w:rsid w:val="00FA7CD8"/>
    <w:rsid w:val="00FB3FC5"/>
    <w:rsid w:val="00FD0323"/>
    <w:rsid w:val="00FD567D"/>
    <w:rsid w:val="00FD5C4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B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uppressAutoHyphens/>
      </w:pPr>
    </w:pPrDefault>
  </w:docDefaults>
  <w:latentStyles w:defLockedState="0" w:defUIPriority="0" w:defSemiHidden="0" w:defUnhideWhenUsed="0" w:defQFormat="0" w:count="376">
    <w:lsdException w:name="Normal" w:uiPriority="1" w:qFormat="1"/>
    <w:lsdException w:name="heading 1" w:uiPriority="9"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qFormat="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uiPriority="22" w:qFormat="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spacing w:after="240" w:line="280" w:lineRule="auto"/>
    </w:pPr>
  </w:style>
  <w:style w:type="paragraph" w:styleId="Heading1">
    <w:name w:val="heading 1"/>
    <w:next w:val="Normal"/>
    <w:link w:val="Heading1Char"/>
    <w:uiPriority w:val="9"/>
    <w:qFormat/>
    <w:pPr>
      <w:keepNext/>
      <w:pageBreakBefore/>
      <w:spacing w:before="600" w:after="400"/>
      <w:outlineLvl w:val="0"/>
    </w:pPr>
    <w:rPr>
      <w:b/>
      <w:color w:val="006FB4"/>
      <w:kern w:val="2"/>
      <w:sz w:val="52"/>
    </w:rPr>
  </w:style>
  <w:style w:type="paragraph" w:styleId="Heading2">
    <w:name w:val="heading 2"/>
    <w:next w:val="Normal"/>
    <w:link w:val="Heading2Char"/>
    <w:uiPriority w:val="2"/>
    <w:qFormat/>
    <w:pPr>
      <w:keepNext/>
      <w:spacing w:before="520" w:after="320"/>
      <w:outlineLvl w:val="1"/>
    </w:pPr>
    <w:rPr>
      <w:color w:val="006FB4"/>
      <w:sz w:val="44"/>
    </w:rPr>
  </w:style>
  <w:style w:type="paragraph" w:styleId="Heading3">
    <w:name w:val="heading 3"/>
    <w:next w:val="Normal"/>
    <w:link w:val="Heading3Char"/>
    <w:uiPriority w:val="2"/>
    <w:qFormat/>
    <w:pPr>
      <w:keepNext/>
      <w:spacing w:before="320" w:after="240"/>
      <w:outlineLvl w:val="2"/>
    </w:pPr>
    <w:rPr>
      <w:b/>
      <w:color w:val="525E65"/>
      <w:sz w:val="36"/>
    </w:rPr>
  </w:style>
  <w:style w:type="paragraph" w:styleId="Heading4">
    <w:name w:val="heading 4"/>
    <w:next w:val="Normal"/>
    <w:link w:val="Heading4Char"/>
    <w:uiPriority w:val="2"/>
    <w:semiHidden/>
    <w:unhideWhenUsed/>
    <w:qFormat/>
    <w:pPr>
      <w:keepNext/>
      <w:spacing w:after="240"/>
      <w:outlineLvl w:val="3"/>
    </w:pPr>
    <w:rPr>
      <w:color w:val="525E65"/>
      <w:sz w:val="32"/>
    </w:rPr>
  </w:style>
  <w:style w:type="paragraph" w:styleId="Heading5">
    <w:name w:val="heading 5"/>
    <w:next w:val="Normal"/>
    <w:link w:val="Heading5Char"/>
    <w:uiPriority w:val="2"/>
    <w:semiHidden/>
    <w:qFormat/>
    <w:pPr>
      <w:spacing w:after="240" w:line="280" w:lineRule="auto"/>
      <w:outlineLvl w:val="4"/>
    </w:pPr>
  </w:style>
  <w:style w:type="paragraph" w:styleId="Heading6">
    <w:name w:val="heading 6"/>
    <w:next w:val="Normal"/>
    <w:link w:val="Heading6Char"/>
    <w:uiPriority w:val="2"/>
    <w:semiHidden/>
    <w:qFormat/>
    <w:pPr>
      <w:spacing w:after="240" w:line="280" w:lineRule="auto"/>
      <w:outlineLvl w:val="5"/>
    </w:pPr>
  </w:style>
  <w:style w:type="paragraph" w:styleId="Heading7">
    <w:name w:val="heading 7"/>
    <w:next w:val="Normal"/>
    <w:link w:val="Heading7Char"/>
    <w:uiPriority w:val="2"/>
    <w:semiHidden/>
    <w:qFormat/>
    <w:pPr>
      <w:spacing w:after="240" w:line="280" w:lineRule="auto"/>
      <w:outlineLvl w:val="6"/>
    </w:pPr>
  </w:style>
  <w:style w:type="paragraph" w:styleId="Heading8">
    <w:name w:val="heading 8"/>
    <w:next w:val="Normal"/>
    <w:link w:val="Heading8Char"/>
    <w:uiPriority w:val="2"/>
    <w:semiHidden/>
    <w:qFormat/>
    <w:pPr>
      <w:spacing w:after="240" w:line="280" w:lineRule="auto"/>
      <w:outlineLvl w:val="7"/>
    </w:pPr>
  </w:style>
  <w:style w:type="paragraph" w:styleId="Heading9">
    <w:name w:val="heading 9"/>
    <w:next w:val="Normal"/>
    <w:link w:val="Heading9Char"/>
    <w:uiPriority w:val="2"/>
    <w:semiHidden/>
    <w:qFormat/>
    <w:pPr>
      <w:spacing w:after="240" w:line="28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qFormat/>
  </w:style>
  <w:style w:type="character" w:customStyle="1" w:styleId="langSV">
    <w:name w:val="lang_SV"/>
    <w:qFormat/>
    <w:rPr>
      <w:lang w:val="sv-SE"/>
    </w:rPr>
  </w:style>
  <w:style w:type="character" w:customStyle="1" w:styleId="langES">
    <w:name w:val="lang_ES"/>
    <w:qFormat/>
    <w:rPr>
      <w:lang w:val="es-ES"/>
    </w:rPr>
  </w:style>
  <w:style w:type="character" w:customStyle="1" w:styleId="langSL">
    <w:name w:val="lang_SL"/>
    <w:qFormat/>
    <w:rPr>
      <w:lang w:val="sl-SI"/>
    </w:rPr>
  </w:style>
  <w:style w:type="character" w:customStyle="1" w:styleId="langSK">
    <w:name w:val="lang_SK"/>
    <w:qFormat/>
    <w:rPr>
      <w:lang w:val="sk-SK"/>
    </w:rPr>
  </w:style>
  <w:style w:type="character" w:customStyle="1" w:styleId="langRO">
    <w:name w:val="lang_RO"/>
    <w:qFormat/>
    <w:rPr>
      <w:lang w:val="ro-RO"/>
    </w:rPr>
  </w:style>
  <w:style w:type="character" w:customStyle="1" w:styleId="langPT">
    <w:name w:val="lang_PT"/>
    <w:qFormat/>
    <w:rPr>
      <w:lang w:val="pt-PT"/>
    </w:rPr>
  </w:style>
  <w:style w:type="character" w:customStyle="1" w:styleId="langPL">
    <w:name w:val="lang_PL"/>
    <w:qFormat/>
    <w:rPr>
      <w:lang w:val="pl-PL"/>
    </w:rPr>
  </w:style>
  <w:style w:type="character" w:customStyle="1" w:styleId="langMT">
    <w:name w:val="lang_MT"/>
    <w:qFormat/>
    <w:rPr>
      <w:lang w:val="mt-MT"/>
    </w:rPr>
  </w:style>
  <w:style w:type="character" w:customStyle="1" w:styleId="langLT">
    <w:name w:val="lang_LT"/>
    <w:qFormat/>
    <w:rPr>
      <w:lang w:val="lt-LT"/>
    </w:rPr>
  </w:style>
  <w:style w:type="character" w:customStyle="1" w:styleId="langLV">
    <w:name w:val="lang_LV"/>
    <w:qFormat/>
    <w:rPr>
      <w:lang w:val="lv-LV"/>
    </w:rPr>
  </w:style>
  <w:style w:type="character" w:customStyle="1" w:styleId="langIT">
    <w:name w:val="lang_IT"/>
    <w:qFormat/>
    <w:rPr>
      <w:lang w:val="it-IT"/>
    </w:rPr>
  </w:style>
  <w:style w:type="character" w:customStyle="1" w:styleId="langGA">
    <w:name w:val="lang_GA"/>
    <w:qFormat/>
    <w:rPr>
      <w:lang w:val="ga-IE"/>
    </w:rPr>
  </w:style>
  <w:style w:type="character" w:customStyle="1" w:styleId="langHU">
    <w:name w:val="lang_HU"/>
    <w:qFormat/>
    <w:rPr>
      <w:lang w:val="hu-HU"/>
    </w:rPr>
  </w:style>
  <w:style w:type="character" w:customStyle="1" w:styleId="langEL">
    <w:name w:val="lang_EL"/>
    <w:qFormat/>
    <w:rPr>
      <w:lang w:val="el-GR"/>
    </w:rPr>
  </w:style>
  <w:style w:type="character" w:customStyle="1" w:styleId="langDE">
    <w:name w:val="lang_DE"/>
    <w:qFormat/>
    <w:rPr>
      <w:lang w:val="de-DE"/>
    </w:rPr>
  </w:style>
  <w:style w:type="character" w:customStyle="1" w:styleId="langFR">
    <w:name w:val="lang_FR"/>
    <w:qFormat/>
    <w:rPr>
      <w:lang w:val="fr-FR"/>
    </w:rPr>
  </w:style>
  <w:style w:type="character" w:customStyle="1" w:styleId="langFI">
    <w:name w:val="lang_FI"/>
    <w:qFormat/>
    <w:rPr>
      <w:lang w:val="fi-FI"/>
    </w:rPr>
  </w:style>
  <w:style w:type="character" w:customStyle="1" w:styleId="langET">
    <w:name w:val="lang_ET"/>
    <w:qFormat/>
    <w:rPr>
      <w:lang w:val="et-EE"/>
    </w:rPr>
  </w:style>
  <w:style w:type="character" w:customStyle="1" w:styleId="langEN">
    <w:name w:val="lang_EN"/>
    <w:qFormat/>
    <w:rPr>
      <w:lang w:val="en-GB"/>
    </w:rPr>
  </w:style>
  <w:style w:type="character" w:customStyle="1" w:styleId="langNL">
    <w:name w:val="lang_NL"/>
    <w:qFormat/>
    <w:rPr>
      <w:lang w:val="nl-NL"/>
    </w:rPr>
  </w:style>
  <w:style w:type="character" w:customStyle="1" w:styleId="langDA">
    <w:name w:val="lang_DA"/>
    <w:qFormat/>
    <w:rPr>
      <w:lang w:val="da-DK"/>
    </w:rPr>
  </w:style>
  <w:style w:type="character" w:customStyle="1" w:styleId="langCS">
    <w:name w:val="lang_CS"/>
    <w:qFormat/>
    <w:rPr>
      <w:lang w:val="cs-CZ"/>
    </w:rPr>
  </w:style>
  <w:style w:type="character" w:customStyle="1" w:styleId="langHR">
    <w:name w:val="lang_HR"/>
    <w:qFormat/>
    <w:rPr>
      <w:lang w:val="hr-HR"/>
    </w:rPr>
  </w:style>
  <w:style w:type="character" w:customStyle="1" w:styleId="langBG">
    <w:name w:val="lang_BG"/>
    <w:qFormat/>
    <w:rPr>
      <w:lang w:val="bg-BG"/>
    </w:rPr>
  </w:style>
  <w:style w:type="character" w:customStyle="1" w:styleId="LigaodeInternet">
    <w:name w:val="Ligação de Internet"/>
    <w:uiPriority w:val="99"/>
    <w:unhideWhenUsed/>
    <w:rPr>
      <w:color w:val="337AB7"/>
      <w:u w:val="single"/>
      <w:shd w:val="clear" w:color="auto" w:fill="auto"/>
    </w:rPr>
  </w:style>
  <w:style w:type="character" w:customStyle="1" w:styleId="ncoradanotaderodap">
    <w:name w:val="Âncora da nota de rodapé"/>
    <w:rPr>
      <w:color w:val="337AB7"/>
      <w:vertAlign w:val="superscript"/>
    </w:rPr>
  </w:style>
  <w:style w:type="character" w:customStyle="1" w:styleId="FootnoteCharacters">
    <w:name w:val="Footnote Characters"/>
    <w:link w:val="BVIfnrCharCharCharChar"/>
    <w:unhideWhenUsed/>
    <w:qFormat/>
    <w:rPr>
      <w:color w:val="337AB7"/>
      <w:vertAlign w:val="superscript"/>
    </w:rPr>
  </w:style>
  <w:style w:type="character" w:customStyle="1" w:styleId="ncoradanotafinal">
    <w:name w:val="Âncora da nota final"/>
    <w:rPr>
      <w:vertAlign w:val="superscript"/>
    </w:rPr>
  </w:style>
  <w:style w:type="character" w:customStyle="1" w:styleId="EndnoteCharacters">
    <w:name w:val="Endnote Characters"/>
    <w:uiPriority w:val="99"/>
    <w:semiHidden/>
    <w:unhideWhenUsed/>
    <w:qFormat/>
    <w:rPr>
      <w:vertAlign w:val="superscript"/>
    </w:rPr>
  </w:style>
  <w:style w:type="character" w:styleId="Emphasis">
    <w:name w:val="Emphasis"/>
    <w:uiPriority w:val="69"/>
    <w:qFormat/>
    <w:rPr>
      <w:i/>
    </w:rPr>
  </w:style>
  <w:style w:type="character" w:customStyle="1" w:styleId="CrossReference">
    <w:name w:val="Cross Reference"/>
    <w:uiPriority w:val="11"/>
    <w:qFormat/>
    <w:rPr>
      <w:b/>
      <w:i/>
      <w:color w:val="337AB7"/>
    </w:rPr>
  </w:style>
  <w:style w:type="character" w:customStyle="1" w:styleId="Reference">
    <w:name w:val="Reference"/>
    <w:uiPriority w:val="10"/>
    <w:qFormat/>
    <w:rPr>
      <w:b/>
      <w:i/>
      <w:shd w:val="clear" w:color="auto" w:fill="auto"/>
    </w:rPr>
  </w:style>
  <w:style w:type="character" w:customStyle="1" w:styleId="TOCPageNumber">
    <w:name w:val="TOC Page Number"/>
    <w:uiPriority w:val="39"/>
    <w:qFormat/>
    <w:rPr>
      <w:b w:val="0"/>
      <w:color w:val="181717"/>
    </w:rPr>
  </w:style>
  <w:style w:type="character" w:customStyle="1" w:styleId="BodyPlaceholderText">
    <w:name w:val="BodyPlaceholderText"/>
    <w:uiPriority w:val="1"/>
    <w:semiHidden/>
    <w:qFormat/>
    <w:rPr>
      <w:color w:val="3366CC"/>
    </w:rPr>
  </w:style>
  <w:style w:type="character" w:styleId="PlaceholderText">
    <w:name w:val="Placeholder Text"/>
    <w:uiPriority w:val="99"/>
    <w:semiHidden/>
    <w:qFormat/>
    <w:rPr>
      <w:color w:val="3366CC"/>
    </w:rPr>
  </w:style>
  <w:style w:type="character" w:customStyle="1" w:styleId="FootnoteTextChar">
    <w:name w:val="Footnote Text Char"/>
    <w:link w:val="FootnoteText"/>
    <w:unhideWhenUsed/>
    <w:qFormat/>
    <w:rPr>
      <w:color w:val="525E65"/>
      <w:sz w:val="22"/>
    </w:rPr>
  </w:style>
  <w:style w:type="character" w:customStyle="1" w:styleId="EndnoteTextChar">
    <w:name w:val="Endnote Text Char"/>
    <w:link w:val="EndnoteText"/>
    <w:uiPriority w:val="99"/>
    <w:semiHidden/>
    <w:unhideWhenUsed/>
    <w:qFormat/>
    <w:rPr>
      <w:color w:val="525E65"/>
      <w:sz w:val="22"/>
    </w:rPr>
  </w:style>
  <w:style w:type="character" w:customStyle="1" w:styleId="DateChar">
    <w:name w:val="Date Char"/>
    <w:link w:val="Date"/>
    <w:uiPriority w:val="19"/>
    <w:semiHidden/>
    <w:unhideWhenUsed/>
    <w:qFormat/>
  </w:style>
  <w:style w:type="character" w:customStyle="1" w:styleId="SubtitleChar">
    <w:name w:val="Subtitle Char"/>
    <w:link w:val="Subtitle"/>
    <w:uiPriority w:val="15"/>
    <w:qFormat/>
    <w:rPr>
      <w:b/>
      <w:color w:val="056467"/>
      <w:sz w:val="52"/>
    </w:rPr>
  </w:style>
  <w:style w:type="character" w:customStyle="1" w:styleId="TitleChar">
    <w:name w:val="Title Char"/>
    <w:link w:val="Title"/>
    <w:uiPriority w:val="14"/>
    <w:qFormat/>
    <w:rPr>
      <w:b/>
      <w:sz w:val="40"/>
    </w:rPr>
  </w:style>
  <w:style w:type="character" w:customStyle="1" w:styleId="TOCParagraphChar">
    <w:name w:val="TOC Paragraph Char"/>
    <w:link w:val="TOCParagraph"/>
    <w:uiPriority w:val="38"/>
    <w:qFormat/>
    <w:rPr>
      <w:b/>
    </w:rPr>
  </w:style>
  <w:style w:type="character" w:customStyle="1" w:styleId="FooterChar">
    <w:name w:val="Footer Char"/>
    <w:link w:val="Footer"/>
    <w:uiPriority w:val="99"/>
    <w:unhideWhenUsed/>
    <w:qFormat/>
    <w:rPr>
      <w:color w:val="525E65"/>
    </w:rPr>
  </w:style>
  <w:style w:type="character" w:customStyle="1" w:styleId="HeaderChar">
    <w:name w:val="Header Char"/>
    <w:link w:val="Header"/>
    <w:uiPriority w:val="99"/>
    <w:unhideWhenUsed/>
    <w:qFormat/>
    <w:rPr>
      <w:color w:val="525E65"/>
    </w:rPr>
  </w:style>
  <w:style w:type="character" w:customStyle="1" w:styleId="Heading9Char">
    <w:name w:val="Heading 9 Char"/>
    <w:link w:val="Heading9"/>
    <w:uiPriority w:val="2"/>
    <w:semiHidden/>
    <w:qFormat/>
  </w:style>
  <w:style w:type="character" w:customStyle="1" w:styleId="Heading8Char">
    <w:name w:val="Heading 8 Char"/>
    <w:link w:val="Heading8"/>
    <w:uiPriority w:val="2"/>
    <w:semiHidden/>
    <w:qFormat/>
  </w:style>
  <w:style w:type="character" w:customStyle="1" w:styleId="Heading7Char">
    <w:name w:val="Heading 7 Char"/>
    <w:link w:val="Heading7"/>
    <w:uiPriority w:val="2"/>
    <w:semiHidden/>
    <w:qFormat/>
  </w:style>
  <w:style w:type="character" w:customStyle="1" w:styleId="Heading6Char">
    <w:name w:val="Heading 6 Char"/>
    <w:link w:val="Heading6"/>
    <w:uiPriority w:val="2"/>
    <w:semiHidden/>
    <w:qFormat/>
  </w:style>
  <w:style w:type="character" w:customStyle="1" w:styleId="Heading5Char">
    <w:name w:val="Heading 5 Char"/>
    <w:link w:val="Heading5"/>
    <w:uiPriority w:val="2"/>
    <w:semiHidden/>
    <w:qFormat/>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
      <w:sz w:val="52"/>
    </w:rPr>
  </w:style>
  <w:style w:type="character" w:styleId="CommentReference">
    <w:name w:val="annotation reference"/>
    <w:basedOn w:val="DefaultParagraphFont"/>
    <w:semiHidden/>
    <w:qFormat/>
    <w:rsid w:val="00206AB5"/>
    <w:rPr>
      <w:sz w:val="16"/>
      <w:szCs w:val="16"/>
    </w:rPr>
  </w:style>
  <w:style w:type="character" w:customStyle="1" w:styleId="CommentTextChar">
    <w:name w:val="Comment Text Char"/>
    <w:basedOn w:val="DefaultParagraphFont"/>
    <w:link w:val="CommentText"/>
    <w:semiHidden/>
    <w:qFormat/>
    <w:rsid w:val="00206AB5"/>
    <w:rPr>
      <w:sz w:val="20"/>
    </w:rPr>
  </w:style>
  <w:style w:type="character" w:customStyle="1" w:styleId="CommentSubjectChar">
    <w:name w:val="Comment Subject Char"/>
    <w:basedOn w:val="CommentTextChar"/>
    <w:link w:val="CommentSubject"/>
    <w:semiHidden/>
    <w:qFormat/>
    <w:rsid w:val="00206AB5"/>
    <w:rPr>
      <w:b/>
      <w:bCs/>
      <w:sz w:val="20"/>
    </w:rPr>
  </w:style>
  <w:style w:type="character" w:customStyle="1" w:styleId="FRABodyTextChar">
    <w:name w:val="(FRA) Body Text Char"/>
    <w:basedOn w:val="DefaultParagraphFont"/>
    <w:link w:val="FRABodyText"/>
    <w:qFormat/>
    <w:rsid w:val="00B9241D"/>
    <w:rPr>
      <w:rFonts w:ascii="Verdana" w:eastAsia="Calibri" w:hAnsi="Verdana" w:cstheme="minorBidi"/>
      <w:sz w:val="20"/>
      <w:szCs w:val="22"/>
      <w:lang w:val="pt-PT" w:eastAsia="en-IE" w:bidi="en-US"/>
    </w:rPr>
  </w:style>
  <w:style w:type="character" w:customStyle="1" w:styleId="MenoNoResolvida1">
    <w:name w:val="Menção Não Resolvida1"/>
    <w:basedOn w:val="DefaultParagraphFont"/>
    <w:semiHidden/>
    <w:qFormat/>
    <w:rsid w:val="00C2468F"/>
    <w:rPr>
      <w:color w:val="605E5C"/>
      <w:shd w:val="clear" w:color="auto" w:fill="E1DFDD"/>
    </w:rPr>
  </w:style>
  <w:style w:type="character" w:customStyle="1" w:styleId="LigaodeInternetvisitada">
    <w:name w:val="Ligação de Internet visitada"/>
    <w:basedOn w:val="DefaultParagraphFont"/>
    <w:semiHidden/>
    <w:rsid w:val="00F420C0"/>
    <w:rPr>
      <w:color w:val="954F72" w:themeColor="followedHyperlink"/>
      <w:u w:val="single"/>
    </w:rPr>
  </w:style>
  <w:style w:type="character" w:styleId="Strong">
    <w:name w:val="Strong"/>
    <w:basedOn w:val="DefaultParagraphFont"/>
    <w:uiPriority w:val="22"/>
    <w:qFormat/>
    <w:rsid w:val="008063D4"/>
    <w:rPr>
      <w:b/>
      <w:bCs/>
    </w:rPr>
  </w:style>
  <w:style w:type="character" w:customStyle="1" w:styleId="MenoNoResolvida2">
    <w:name w:val="Menção Não Resolvida2"/>
    <w:basedOn w:val="DefaultParagraphFont"/>
    <w:uiPriority w:val="99"/>
    <w:semiHidden/>
    <w:unhideWhenUsed/>
    <w:qFormat/>
    <w:rsid w:val="00F16D28"/>
    <w:rPr>
      <w:color w:val="605E5C"/>
      <w:shd w:val="clear" w:color="auto" w:fill="E1DFDD"/>
    </w:rPr>
  </w:style>
  <w:style w:type="character" w:customStyle="1" w:styleId="BalloonTextChar">
    <w:name w:val="Balloon Text Char"/>
    <w:basedOn w:val="DefaultParagraphFont"/>
    <w:link w:val="BalloonText"/>
    <w:semiHidden/>
    <w:qFormat/>
    <w:rsid w:val="00950568"/>
    <w:rPr>
      <w:rFonts w:ascii="Segoe UI" w:hAnsi="Segoe UI" w:cs="Segoe UI"/>
      <w:sz w:val="18"/>
      <w:szCs w:val="18"/>
    </w:rPr>
  </w:style>
  <w:style w:type="character" w:customStyle="1" w:styleId="MenoNoResolvida3">
    <w:name w:val="Menção Não Resolvida3"/>
    <w:basedOn w:val="DefaultParagraphFont"/>
    <w:uiPriority w:val="99"/>
    <w:semiHidden/>
    <w:unhideWhenUsed/>
    <w:qFormat/>
    <w:rsid w:val="009576C1"/>
    <w:rPr>
      <w:color w:val="605E5C"/>
      <w:shd w:val="clear" w:color="auto" w:fill="E1DFDD"/>
    </w:rPr>
  </w:style>
  <w:style w:type="character" w:customStyle="1" w:styleId="MenoNoResolvida4">
    <w:name w:val="Menção Não Resolvida4"/>
    <w:basedOn w:val="DefaultParagraphFont"/>
    <w:uiPriority w:val="99"/>
    <w:semiHidden/>
    <w:unhideWhenUsed/>
    <w:qFormat/>
    <w:rsid w:val="00437C3D"/>
    <w:rPr>
      <w:color w:val="605E5C"/>
      <w:shd w:val="clear" w:color="auto" w:fill="E1DFDD"/>
    </w:rPr>
  </w:style>
  <w:style w:type="character" w:customStyle="1" w:styleId="Ligaodendice">
    <w:name w:val="Ligação de índice"/>
    <w:qFormat/>
  </w:style>
  <w:style w:type="character" w:customStyle="1" w:styleId="Caracteresdanotaderodap">
    <w:name w:val="Caracteres da nota de rodapé"/>
    <w:qFormat/>
  </w:style>
  <w:style w:type="character" w:customStyle="1" w:styleId="Numeraodelinhas">
    <w:name w:val="Numeração de linhas"/>
  </w:style>
  <w:style w:type="character" w:customStyle="1" w:styleId="Caracteresdanotafinal">
    <w:name w:val="Caracteres da nota final"/>
    <w:qFormat/>
  </w:style>
  <w:style w:type="paragraph" w:styleId="Title">
    <w:name w:val="Title"/>
    <w:next w:val="BodyText"/>
    <w:link w:val="TitleChar"/>
    <w:uiPriority w:val="14"/>
    <w:qFormat/>
    <w:pPr>
      <w:spacing w:beforeAutospacing="1" w:after="240" w:line="280" w:lineRule="auto"/>
      <w:jc w:val="center"/>
    </w:pPr>
    <w:rPr>
      <w:b/>
      <w:sz w:val="40"/>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next w:val="Normal"/>
    <w:uiPriority w:val="35"/>
    <w:semiHidden/>
    <w:unhideWhenUsed/>
    <w:qFormat/>
    <w:pPr>
      <w:spacing w:after="200"/>
    </w:pPr>
    <w:rPr>
      <w:b/>
      <w:sz w:val="20"/>
    </w:rPr>
  </w:style>
  <w:style w:type="paragraph" w:customStyle="1" w:styleId="ndice">
    <w:name w:val="Índice"/>
    <w:basedOn w:val="Normal"/>
    <w:qFormat/>
    <w:pPr>
      <w:suppressLineNumbers/>
    </w:pPr>
    <w:rPr>
      <w:rFonts w:cs="Lucida Sans"/>
    </w:rPr>
  </w:style>
  <w:style w:type="paragraph" w:customStyle="1" w:styleId="QuotationPull">
    <w:name w:val="Quotation Pull"/>
    <w:uiPriority w:val="1"/>
    <w:qFormat/>
    <w:pPr>
      <w:spacing w:before="360" w:after="480" w:line="280" w:lineRule="auto"/>
      <w:ind w:left="567" w:right="567"/>
      <w:jc w:val="center"/>
    </w:pPr>
    <w:rPr>
      <w:i/>
      <w:color w:val="006FB4"/>
      <w:sz w:val="28"/>
    </w:rPr>
  </w:style>
  <w:style w:type="paragraph" w:customStyle="1" w:styleId="QuotationSource">
    <w:name w:val="Quotation Source"/>
    <w:uiPriority w:val="1"/>
    <w:qFormat/>
    <w:pPr>
      <w:spacing w:before="120" w:after="360" w:line="280" w:lineRule="auto"/>
      <w:ind w:left="567" w:right="567"/>
      <w:jc w:val="right"/>
    </w:pPr>
    <w:rPr>
      <w:color w:val="8B82A1"/>
    </w:rPr>
  </w:style>
  <w:style w:type="paragraph" w:customStyle="1" w:styleId="Quotation">
    <w:name w:val="Quotation"/>
    <w:uiPriority w:val="1"/>
    <w:qFormat/>
    <w:pPr>
      <w:spacing w:before="360" w:after="120" w:line="280" w:lineRule="auto"/>
      <w:ind w:left="567" w:right="567"/>
      <w:jc w:val="center"/>
    </w:pPr>
    <w:rPr>
      <w:i/>
      <w:color w:val="771D7B"/>
      <w:sz w:val="28"/>
    </w:rPr>
  </w:style>
  <w:style w:type="paragraph" w:customStyle="1" w:styleId="ListBulletLevel4">
    <w:name w:val="List Bullet (Level 4)"/>
    <w:uiPriority w:val="5"/>
    <w:qFormat/>
    <w:pPr>
      <w:numPr>
        <w:ilvl w:val="3"/>
        <w:numId w:val="4"/>
      </w:numPr>
      <w:spacing w:after="240" w:line="280" w:lineRule="auto"/>
      <w:ind w:left="1417" w:hanging="1417"/>
    </w:pPr>
  </w:style>
  <w:style w:type="paragraph" w:customStyle="1" w:styleId="ListBulletLevel3">
    <w:name w:val="List Bullet (Level 3)"/>
    <w:uiPriority w:val="5"/>
    <w:qFormat/>
    <w:pPr>
      <w:numPr>
        <w:ilvl w:val="2"/>
        <w:numId w:val="4"/>
      </w:numPr>
      <w:spacing w:after="240" w:line="280" w:lineRule="auto"/>
      <w:ind w:left="1134" w:hanging="1134"/>
    </w:pPr>
  </w:style>
  <w:style w:type="paragraph" w:customStyle="1" w:styleId="ListBulletLevel2">
    <w:name w:val="List Bullet (Level 2)"/>
    <w:uiPriority w:val="5"/>
    <w:qFormat/>
    <w:pPr>
      <w:numPr>
        <w:ilvl w:val="1"/>
        <w:numId w:val="4"/>
      </w:numPr>
      <w:spacing w:after="240" w:line="280" w:lineRule="auto"/>
      <w:ind w:left="850" w:hanging="850"/>
    </w:pPr>
  </w:style>
  <w:style w:type="paragraph" w:styleId="ListBullet">
    <w:name w:val="List Bullet"/>
    <w:uiPriority w:val="5"/>
    <w:qFormat/>
    <w:pPr>
      <w:numPr>
        <w:numId w:val="4"/>
      </w:numPr>
      <w:spacing w:after="240" w:line="280" w:lineRule="auto"/>
      <w:ind w:left="567" w:hanging="567"/>
    </w:pPr>
  </w:style>
  <w:style w:type="paragraph" w:customStyle="1" w:styleId="ListNumberNonindentedLevel5">
    <w:name w:val="List Number Nonindented (Level 5)"/>
    <w:uiPriority w:val="1"/>
    <w:qFormat/>
    <w:pPr>
      <w:numPr>
        <w:ilvl w:val="4"/>
        <w:numId w:val="2"/>
      </w:numPr>
      <w:spacing w:after="240" w:line="280" w:lineRule="auto"/>
    </w:pPr>
  </w:style>
  <w:style w:type="paragraph" w:customStyle="1" w:styleId="ListNumberNonindentedLevel4">
    <w:name w:val="List Number Nonindented (Level 4)"/>
    <w:uiPriority w:val="1"/>
    <w:qFormat/>
    <w:pPr>
      <w:numPr>
        <w:ilvl w:val="3"/>
        <w:numId w:val="2"/>
      </w:numPr>
      <w:spacing w:after="240" w:line="280" w:lineRule="auto"/>
    </w:pPr>
  </w:style>
  <w:style w:type="paragraph" w:customStyle="1" w:styleId="ListNumberNonindentedLevel3">
    <w:name w:val="List Number Nonindented (Level 3)"/>
    <w:uiPriority w:val="1"/>
    <w:qFormat/>
    <w:pPr>
      <w:numPr>
        <w:ilvl w:val="2"/>
        <w:numId w:val="2"/>
      </w:numPr>
      <w:spacing w:after="240" w:line="280" w:lineRule="auto"/>
    </w:pPr>
  </w:style>
  <w:style w:type="paragraph" w:customStyle="1" w:styleId="ListNumberNonindentedLevel2">
    <w:name w:val="List Number Nonindented (Level 2)"/>
    <w:uiPriority w:val="1"/>
    <w:qFormat/>
    <w:pPr>
      <w:numPr>
        <w:ilvl w:val="1"/>
        <w:numId w:val="2"/>
      </w:numPr>
      <w:spacing w:after="240" w:line="280" w:lineRule="auto"/>
    </w:pPr>
  </w:style>
  <w:style w:type="paragraph" w:customStyle="1" w:styleId="ListNumberNonindented">
    <w:name w:val="List Number Nonindented"/>
    <w:uiPriority w:val="1"/>
    <w:qFormat/>
    <w:pPr>
      <w:numPr>
        <w:numId w:val="2"/>
      </w:numPr>
      <w:spacing w:after="240" w:line="280" w:lineRule="auto"/>
      <w:ind w:firstLine="0"/>
    </w:pPr>
  </w:style>
  <w:style w:type="paragraph" w:customStyle="1" w:styleId="ImageSource">
    <w:name w:val="Image Source"/>
    <w:qFormat/>
    <w:pPr>
      <w:spacing w:before="80" w:after="360"/>
    </w:pPr>
    <w:rPr>
      <w:sz w:val="20"/>
    </w:rPr>
  </w:style>
  <w:style w:type="paragraph" w:customStyle="1" w:styleId="ImageCopyrights">
    <w:name w:val="Image Copyrights"/>
    <w:qFormat/>
    <w:pPr>
      <w:keepNext/>
      <w:spacing w:before="120" w:after="120" w:line="280" w:lineRule="auto"/>
    </w:pPr>
    <w:rPr>
      <w:color w:val="525E65"/>
    </w:rPr>
  </w:style>
  <w:style w:type="paragraph" w:customStyle="1" w:styleId="ImageCaption">
    <w:name w:val="Image Caption"/>
    <w:qFormat/>
    <w:pPr>
      <w:keepNext/>
      <w:spacing w:before="120" w:after="120" w:line="280" w:lineRule="auto"/>
    </w:pPr>
    <w:rPr>
      <w:color w:val="525E65"/>
    </w:rPr>
  </w:style>
  <w:style w:type="paragraph" w:customStyle="1" w:styleId="ImageAlternative">
    <w:name w:val="Image Alternative"/>
    <w:qFormat/>
    <w:pPr>
      <w:keepNext/>
      <w:spacing w:before="120" w:after="120" w:line="280" w:lineRule="auto"/>
    </w:pPr>
    <w:rPr>
      <w:color w:val="771D7B"/>
      <w:sz w:val="20"/>
    </w:rPr>
  </w:style>
  <w:style w:type="paragraph" w:customStyle="1" w:styleId="ImagePlaceholder">
    <w:name w:val="Image Placeholder"/>
    <w:next w:val="ImageAlternative"/>
    <w:qFormat/>
    <w:pPr>
      <w:keepNext/>
      <w:spacing w:before="120" w:after="120" w:line="280" w:lineRule="auto"/>
      <w:jc w:val="center"/>
    </w:pPr>
    <w:rPr>
      <w:color w:val="525E65"/>
    </w:rPr>
  </w:style>
  <w:style w:type="paragraph" w:customStyle="1" w:styleId="ImageSubtitle">
    <w:name w:val="Image Subtitle"/>
    <w:next w:val="ImagePlaceholder"/>
    <w:qFormat/>
    <w:pPr>
      <w:keepNext/>
      <w:spacing w:after="120" w:line="280" w:lineRule="auto"/>
    </w:pPr>
    <w:rPr>
      <w:color w:val="525E65"/>
      <w:sz w:val="28"/>
    </w:rPr>
  </w:style>
  <w:style w:type="paragraph" w:customStyle="1" w:styleId="ImageTitle">
    <w:name w:val="Image Title"/>
    <w:next w:val="ImageSubtitle"/>
    <w:qFormat/>
    <w:pPr>
      <w:keepNext/>
      <w:spacing w:before="120" w:line="280" w:lineRule="auto"/>
    </w:pPr>
    <w:rPr>
      <w:b/>
      <w:color w:val="771D7B"/>
      <w:sz w:val="28"/>
    </w:rPr>
  </w:style>
  <w:style w:type="paragraph" w:customStyle="1" w:styleId="CaptionSourceorCopyright">
    <w:name w:val="Caption Source or Copyright"/>
    <w:uiPriority w:val="99"/>
    <w:qFormat/>
    <w:pPr>
      <w:spacing w:after="240" w:line="280" w:lineRule="auto"/>
    </w:pPr>
    <w:rPr>
      <w:sz w:val="20"/>
    </w:rPr>
  </w:style>
  <w:style w:type="paragraph" w:customStyle="1" w:styleId="BoxText">
    <w:name w:val="Box Text"/>
    <w:uiPriority w:val="21"/>
    <w:qFormat/>
    <w:pPr>
      <w:spacing w:after="240" w:line="280" w:lineRule="auto"/>
    </w:pPr>
  </w:style>
  <w:style w:type="paragraph" w:customStyle="1" w:styleId="BoxTitleC">
    <w:name w:val="Box Title C"/>
    <w:next w:val="BoxText"/>
    <w:uiPriority w:val="21"/>
    <w:qFormat/>
    <w:pPr>
      <w:spacing w:before="120" w:after="240" w:line="280" w:lineRule="auto"/>
    </w:pPr>
    <w:rPr>
      <w:b/>
      <w:color w:val="525E65"/>
      <w:sz w:val="28"/>
    </w:rPr>
  </w:style>
  <w:style w:type="paragraph" w:customStyle="1" w:styleId="BoxTitleB">
    <w:name w:val="Box Title B"/>
    <w:next w:val="BoxText"/>
    <w:uiPriority w:val="21"/>
    <w:qFormat/>
    <w:pPr>
      <w:spacing w:before="120" w:after="240" w:line="280" w:lineRule="auto"/>
    </w:pPr>
    <w:rPr>
      <w:b/>
      <w:color w:val="006FB4"/>
      <w:sz w:val="28"/>
    </w:rPr>
  </w:style>
  <w:style w:type="paragraph" w:customStyle="1" w:styleId="BoxTitleA">
    <w:name w:val="Box Title A"/>
    <w:next w:val="BoxText"/>
    <w:uiPriority w:val="21"/>
    <w:qFormat/>
    <w:pPr>
      <w:spacing w:before="120" w:after="240" w:line="280" w:lineRule="auto"/>
    </w:pPr>
    <w:rPr>
      <w:b/>
      <w:color w:val="771D7B"/>
      <w:sz w:val="28"/>
    </w:rPr>
  </w:style>
  <w:style w:type="paragraph" w:customStyle="1" w:styleId="AdoptionFormula">
    <w:name w:val="Adoption Formula"/>
    <w:uiPriority w:val="20"/>
    <w:qFormat/>
    <w:pPr>
      <w:tabs>
        <w:tab w:val="center" w:pos="6520"/>
      </w:tabs>
      <w:spacing w:after="240" w:line="280" w:lineRule="auto"/>
    </w:pPr>
  </w:style>
  <w:style w:type="paragraph" w:customStyle="1" w:styleId="Filename">
    <w:name w:val="Filename"/>
    <w:uiPriority w:val="11"/>
    <w:qFormat/>
    <w:pPr>
      <w:spacing w:after="240"/>
      <w:jc w:val="center"/>
    </w:pPr>
  </w:style>
  <w:style w:type="paragraph" w:customStyle="1" w:styleId="SignatureDate">
    <w:name w:val="Signature Date"/>
    <w:uiPriority w:val="10"/>
    <w:qFormat/>
    <w:pPr>
      <w:spacing w:before="600" w:after="60"/>
      <w:jc w:val="center"/>
    </w:pPr>
    <w:rPr>
      <w:b/>
      <w:sz w:val="22"/>
    </w:rPr>
  </w:style>
  <w:style w:type="paragraph" w:customStyle="1" w:styleId="SignatureText">
    <w:name w:val="Signature Text"/>
    <w:uiPriority w:val="10"/>
    <w:qFormat/>
    <w:pPr>
      <w:spacing w:before="60" w:after="60"/>
      <w:jc w:val="center"/>
    </w:pPr>
    <w:rPr>
      <w:b/>
      <w:sz w:val="22"/>
    </w:rPr>
  </w:style>
  <w:style w:type="paragraph" w:customStyle="1" w:styleId="SignaturePlaceholder">
    <w:name w:val="Signature Placeholder"/>
    <w:uiPriority w:val="10"/>
    <w:qFormat/>
    <w:pPr>
      <w:spacing w:after="240" w:line="280" w:lineRule="auto"/>
      <w:jc w:val="center"/>
    </w:pPr>
    <w:rPr>
      <w:i/>
      <w:sz w:val="22"/>
    </w:rPr>
  </w:style>
  <w:style w:type="paragraph" w:customStyle="1" w:styleId="Comment">
    <w:name w:val="Comment"/>
    <w:basedOn w:val="Normal"/>
    <w:uiPriority w:val="36"/>
    <w:qFormat/>
    <w:pPr>
      <w:shd w:val="thinDiagStripe" w:color="D9D9D9" w:fill="auto"/>
    </w:pPr>
    <w:rPr>
      <w:vanish/>
    </w:rPr>
  </w:style>
  <w:style w:type="paragraph" w:styleId="TOC9">
    <w:name w:val="toc 9"/>
    <w:semiHidden/>
    <w:pPr>
      <w:tabs>
        <w:tab w:val="right" w:leader="dot" w:pos="8504"/>
      </w:tabs>
      <w:spacing w:before="120"/>
    </w:pPr>
    <w:rPr>
      <w:color w:val="525E65"/>
      <w:sz w:val="22"/>
    </w:rPr>
  </w:style>
  <w:style w:type="paragraph" w:styleId="TOC8">
    <w:name w:val="toc 8"/>
    <w:semiHidden/>
    <w:pPr>
      <w:tabs>
        <w:tab w:val="right" w:leader="dot" w:pos="8504"/>
      </w:tabs>
      <w:spacing w:before="120"/>
    </w:pPr>
    <w:rPr>
      <w:color w:val="525E65"/>
      <w:sz w:val="22"/>
    </w:rPr>
  </w:style>
  <w:style w:type="paragraph" w:styleId="TOC7">
    <w:name w:val="toc 7"/>
    <w:semiHidden/>
    <w:pPr>
      <w:tabs>
        <w:tab w:val="right" w:leader="dot" w:pos="8504"/>
      </w:tabs>
      <w:spacing w:before="120"/>
    </w:pPr>
    <w:rPr>
      <w:color w:val="525E65"/>
      <w:sz w:val="22"/>
    </w:rPr>
  </w:style>
  <w:style w:type="paragraph" w:styleId="TOC6">
    <w:name w:val="toc 6"/>
    <w:next w:val="Normal"/>
    <w:uiPriority w:val="39"/>
    <w:semiHidden/>
    <w:unhideWhenUsed/>
    <w:pPr>
      <w:tabs>
        <w:tab w:val="right" w:leader="dot" w:pos="8504"/>
      </w:tabs>
      <w:spacing w:before="120"/>
      <w:ind w:left="612"/>
    </w:pPr>
    <w:rPr>
      <w:color w:val="525E65"/>
      <w:sz w:val="22"/>
    </w:rPr>
  </w:style>
  <w:style w:type="paragraph" w:styleId="TOC5">
    <w:name w:val="toc 5"/>
    <w:next w:val="Normal"/>
    <w:uiPriority w:val="39"/>
    <w:unhideWhenUsed/>
    <w:pPr>
      <w:tabs>
        <w:tab w:val="right" w:leader="dot" w:pos="8504"/>
      </w:tabs>
      <w:spacing w:before="120"/>
      <w:ind w:left="408"/>
    </w:pPr>
    <w:rPr>
      <w:color w:val="525E65"/>
      <w:sz w:val="22"/>
    </w:rPr>
  </w:style>
  <w:style w:type="paragraph" w:styleId="TOC4">
    <w:name w:val="toc 4"/>
    <w:next w:val="Normal"/>
    <w:uiPriority w:val="39"/>
    <w:unhideWhenUsed/>
    <w:pPr>
      <w:tabs>
        <w:tab w:val="right" w:leader="dot" w:pos="8504"/>
      </w:tabs>
      <w:spacing w:before="120"/>
      <w:ind w:left="204"/>
    </w:pPr>
    <w:rPr>
      <w:color w:val="525E65"/>
      <w:sz w:val="22"/>
    </w:rPr>
  </w:style>
  <w:style w:type="paragraph" w:styleId="TOC3">
    <w:name w:val="toc 3"/>
    <w:next w:val="Normal"/>
    <w:uiPriority w:val="39"/>
    <w:unhideWhenUsed/>
    <w:pPr>
      <w:tabs>
        <w:tab w:val="right" w:leader="dot" w:pos="8504"/>
      </w:tabs>
      <w:spacing w:before="120"/>
    </w:pPr>
    <w:rPr>
      <w:color w:val="525E65"/>
      <w:sz w:val="22"/>
    </w:rPr>
  </w:style>
  <w:style w:type="paragraph" w:styleId="TOC2">
    <w:name w:val="toc 2"/>
    <w:next w:val="Normal"/>
    <w:uiPriority w:val="39"/>
    <w:unhideWhenUsed/>
    <w:pPr>
      <w:tabs>
        <w:tab w:val="right" w:leader="dot" w:pos="8504"/>
      </w:tabs>
      <w:ind w:right="850"/>
    </w:pPr>
    <w:rPr>
      <w:b/>
      <w:color w:val="006FB4"/>
    </w:rPr>
  </w:style>
  <w:style w:type="paragraph" w:styleId="TOC1">
    <w:name w:val="toc 1"/>
    <w:next w:val="Normal"/>
    <w:uiPriority w:val="39"/>
    <w:unhideWhenUsed/>
    <w:pPr>
      <w:tabs>
        <w:tab w:val="right" w:pos="8504"/>
      </w:tabs>
      <w:spacing w:before="240"/>
      <w:ind w:right="850"/>
    </w:pPr>
    <w:rPr>
      <w:b/>
      <w:color w:val="006FB4"/>
    </w:rPr>
  </w:style>
  <w:style w:type="paragraph" w:styleId="Index9">
    <w:name w:val="index 9"/>
    <w:semiHidden/>
    <w:qFormat/>
    <w:pPr>
      <w:spacing w:after="240" w:line="280" w:lineRule="auto"/>
    </w:pPr>
    <w:rPr>
      <w:color w:val="525E65"/>
    </w:rPr>
  </w:style>
  <w:style w:type="paragraph" w:styleId="Index8">
    <w:name w:val="index 8"/>
    <w:semiHidden/>
    <w:qFormat/>
    <w:pPr>
      <w:spacing w:after="240" w:line="280" w:lineRule="auto"/>
    </w:pPr>
    <w:rPr>
      <w:color w:val="525E65"/>
    </w:rPr>
  </w:style>
  <w:style w:type="paragraph" w:styleId="Index7">
    <w:name w:val="index 7"/>
    <w:semiHidden/>
    <w:qFormat/>
    <w:pPr>
      <w:spacing w:after="240" w:line="280" w:lineRule="auto"/>
    </w:pPr>
    <w:rPr>
      <w:color w:val="525E65"/>
    </w:rPr>
  </w:style>
  <w:style w:type="paragraph" w:styleId="Index6">
    <w:name w:val="index 6"/>
    <w:semiHidden/>
    <w:qFormat/>
    <w:pPr>
      <w:spacing w:after="240" w:line="280" w:lineRule="auto"/>
    </w:pPr>
    <w:rPr>
      <w:color w:val="525E65"/>
    </w:rPr>
  </w:style>
  <w:style w:type="paragraph" w:styleId="Index5">
    <w:name w:val="index 5"/>
    <w:semiHidden/>
    <w:qFormat/>
    <w:pPr>
      <w:spacing w:after="240" w:line="280" w:lineRule="auto"/>
    </w:pPr>
    <w:rPr>
      <w:color w:val="525E65"/>
    </w:rPr>
  </w:style>
  <w:style w:type="paragraph" w:styleId="Index4">
    <w:name w:val="index 4"/>
    <w:semiHidden/>
    <w:qFormat/>
    <w:pPr>
      <w:spacing w:after="240" w:line="280" w:lineRule="auto"/>
    </w:pPr>
    <w:rPr>
      <w:color w:val="525E65"/>
    </w:rPr>
  </w:style>
  <w:style w:type="paragraph" w:styleId="Index3">
    <w:name w:val="index 3"/>
    <w:semiHidden/>
    <w:qFormat/>
    <w:pPr>
      <w:spacing w:after="240" w:line="280" w:lineRule="auto"/>
      <w:ind w:left="408"/>
    </w:pPr>
    <w:rPr>
      <w:color w:val="525E65"/>
    </w:rPr>
  </w:style>
  <w:style w:type="paragraph" w:styleId="Index2">
    <w:name w:val="index 2"/>
    <w:semiHidden/>
    <w:unhideWhenUsed/>
    <w:qFormat/>
    <w:pPr>
      <w:spacing w:after="240" w:line="280" w:lineRule="auto"/>
      <w:ind w:left="204"/>
    </w:pPr>
    <w:rPr>
      <w:color w:val="525E65"/>
    </w:rPr>
  </w:style>
  <w:style w:type="paragraph" w:styleId="Index1">
    <w:name w:val="index 1"/>
    <w:semiHidden/>
    <w:unhideWhenUsed/>
    <w:qFormat/>
    <w:pPr>
      <w:spacing w:after="240" w:line="280" w:lineRule="auto"/>
    </w:pPr>
    <w:rPr>
      <w:color w:val="525E65"/>
    </w:rPr>
  </w:style>
  <w:style w:type="paragraph" w:styleId="TableofFigures">
    <w:name w:val="table of figures"/>
    <w:next w:val="Normal"/>
    <w:uiPriority w:val="39"/>
    <w:semiHidden/>
    <w:unhideWhenUsed/>
    <w:qFormat/>
    <w:pPr>
      <w:tabs>
        <w:tab w:val="right" w:leader="dot" w:pos="8504"/>
      </w:tabs>
      <w:spacing w:before="120"/>
    </w:pPr>
    <w:rPr>
      <w:color w:val="525E65"/>
    </w:rPr>
  </w:style>
  <w:style w:type="paragraph" w:styleId="IndexHeading">
    <w:name w:val="index heading"/>
    <w:basedOn w:val="Title"/>
  </w:style>
  <w:style w:type="paragraph" w:styleId="TOCHeading">
    <w:name w:val="TOC Heading"/>
    <w:next w:val="Normal"/>
    <w:uiPriority w:val="39"/>
    <w:unhideWhenUsed/>
    <w:qFormat/>
    <w:pPr>
      <w:keepNext/>
      <w:spacing w:before="240" w:after="240" w:line="280" w:lineRule="auto"/>
      <w:jc w:val="center"/>
    </w:pPr>
    <w:rPr>
      <w:b/>
      <w:color w:val="525E65"/>
    </w:rPr>
  </w:style>
  <w:style w:type="paragraph" w:customStyle="1" w:styleId="FigureSource">
    <w:name w:val="Figure Source"/>
    <w:next w:val="Normal"/>
    <w:uiPriority w:val="7"/>
    <w:qFormat/>
    <w:pPr>
      <w:spacing w:after="240"/>
    </w:pPr>
    <w:rPr>
      <w:sz w:val="20"/>
    </w:rPr>
  </w:style>
  <w:style w:type="paragraph" w:customStyle="1" w:styleId="FigureNote">
    <w:name w:val="Figure Note"/>
    <w:next w:val="FigureSource"/>
    <w:uiPriority w:val="7"/>
    <w:qFormat/>
    <w:pPr>
      <w:spacing w:after="240"/>
    </w:pPr>
    <w:rPr>
      <w:b/>
      <w:sz w:val="20"/>
    </w:rPr>
  </w:style>
  <w:style w:type="paragraph" w:customStyle="1" w:styleId="FigureBody">
    <w:name w:val="Figure Body"/>
    <w:next w:val="FigureNote"/>
    <w:uiPriority w:val="7"/>
    <w:qFormat/>
    <w:pPr>
      <w:keepNext/>
      <w:spacing w:after="40"/>
    </w:pPr>
  </w:style>
  <w:style w:type="paragraph" w:customStyle="1" w:styleId="FigureSubtitle">
    <w:name w:val="Figure Subtitle"/>
    <w:next w:val="FigureBody"/>
    <w:uiPriority w:val="6"/>
    <w:qFormat/>
    <w:pPr>
      <w:keepNext/>
      <w:spacing w:after="180" w:line="280" w:lineRule="auto"/>
    </w:pPr>
    <w:rPr>
      <w:color w:val="525E65"/>
      <w:sz w:val="28"/>
    </w:rPr>
  </w:style>
  <w:style w:type="paragraph" w:customStyle="1" w:styleId="FigureTitle">
    <w:name w:val="Figure Title"/>
    <w:next w:val="FigureBody"/>
    <w:uiPriority w:val="6"/>
    <w:qFormat/>
    <w:pPr>
      <w:keepNext/>
      <w:spacing w:after="180" w:line="280" w:lineRule="auto"/>
    </w:pPr>
    <w:rPr>
      <w:b/>
      <w:color w:val="771D7B"/>
      <w:sz w:val="28"/>
    </w:rPr>
  </w:style>
  <w:style w:type="paragraph" w:customStyle="1" w:styleId="TableSource">
    <w:name w:val="Table Source"/>
    <w:next w:val="Normal"/>
    <w:uiPriority w:val="7"/>
    <w:qFormat/>
    <w:pPr>
      <w:spacing w:before="80" w:after="360"/>
    </w:pPr>
    <w:rPr>
      <w:sz w:val="20"/>
    </w:rPr>
  </w:style>
  <w:style w:type="paragraph" w:customStyle="1" w:styleId="TableNote">
    <w:name w:val="Table Note"/>
    <w:next w:val="TableSource"/>
    <w:uiPriority w:val="7"/>
    <w:qFormat/>
    <w:pPr>
      <w:spacing w:before="80" w:after="360"/>
    </w:pPr>
    <w:rPr>
      <w:b/>
      <w:sz w:val="20"/>
    </w:rPr>
  </w:style>
  <w:style w:type="paragraph" w:customStyle="1" w:styleId="TableBody">
    <w:name w:val="Table Body"/>
    <w:next w:val="TableNote"/>
    <w:uiPriority w:val="7"/>
    <w:qFormat/>
    <w:pPr>
      <w:keepNext/>
      <w:spacing w:after="40"/>
    </w:pPr>
  </w:style>
  <w:style w:type="paragraph" w:customStyle="1" w:styleId="TableAlternative">
    <w:name w:val="Table Alternative"/>
    <w:qFormat/>
    <w:pPr>
      <w:keepNext/>
      <w:spacing w:before="120" w:after="120" w:line="280" w:lineRule="auto"/>
    </w:pPr>
    <w:rPr>
      <w:color w:val="771D7B"/>
      <w:sz w:val="20"/>
    </w:rPr>
  </w:style>
  <w:style w:type="paragraph" w:customStyle="1" w:styleId="TableSubtitle">
    <w:name w:val="Table Subtitle"/>
    <w:next w:val="TableBody"/>
    <w:uiPriority w:val="6"/>
    <w:qFormat/>
    <w:pPr>
      <w:keepNext/>
      <w:spacing w:after="120" w:line="280" w:lineRule="auto"/>
    </w:pPr>
    <w:rPr>
      <w:color w:val="525E65"/>
      <w:sz w:val="28"/>
    </w:rPr>
  </w:style>
  <w:style w:type="paragraph" w:customStyle="1" w:styleId="TableTitle">
    <w:name w:val="Table Title"/>
    <w:next w:val="TableBody"/>
    <w:uiPriority w:val="6"/>
    <w:qFormat/>
    <w:pPr>
      <w:keepNext/>
      <w:spacing w:before="120" w:line="280" w:lineRule="auto"/>
    </w:pPr>
    <w:rPr>
      <w:b/>
      <w:color w:val="771D7B"/>
      <w:sz w:val="28"/>
    </w:rPr>
  </w:style>
  <w:style w:type="paragraph" w:styleId="ListParagraph">
    <w:name w:val="List Paragraph"/>
    <w:uiPriority w:val="5"/>
    <w:qFormat/>
    <w:pPr>
      <w:spacing w:after="240" w:line="280" w:lineRule="auto"/>
      <w:ind w:left="720"/>
      <w:contextualSpacing/>
    </w:pPr>
  </w:style>
  <w:style w:type="paragraph" w:customStyle="1" w:styleId="RomanParagraph">
    <w:name w:val="Roman Paragraph"/>
    <w:uiPriority w:val="3"/>
    <w:qFormat/>
    <w:pPr>
      <w:numPr>
        <w:numId w:val="5"/>
      </w:numPr>
      <w:spacing w:after="240" w:line="280" w:lineRule="auto"/>
    </w:pPr>
  </w:style>
  <w:style w:type="paragraph" w:customStyle="1" w:styleId="References2">
    <w:name w:val="References 2"/>
    <w:next w:val="Normal"/>
    <w:uiPriority w:val="2"/>
    <w:qFormat/>
    <w:pPr>
      <w:keepNext/>
      <w:spacing w:before="520" w:after="320"/>
      <w:outlineLvl w:val="1"/>
    </w:pPr>
    <w:rPr>
      <w:color w:val="006FB4"/>
      <w:sz w:val="44"/>
    </w:rPr>
  </w:style>
  <w:style w:type="paragraph" w:customStyle="1" w:styleId="References1">
    <w:name w:val="References 1"/>
    <w:next w:val="Normal"/>
    <w:uiPriority w:val="2"/>
    <w:qFormat/>
    <w:pPr>
      <w:keepNext/>
      <w:pageBreakBefore/>
      <w:spacing w:before="600" w:after="400"/>
      <w:outlineLvl w:val="0"/>
    </w:pPr>
    <w:rPr>
      <w:b/>
      <w:color w:val="006FB4"/>
      <w:kern w:val="2"/>
      <w:sz w:val="52"/>
    </w:rPr>
  </w:style>
  <w:style w:type="paragraph" w:customStyle="1" w:styleId="HeadingNumbered4">
    <w:name w:val="Heading Numbered 4"/>
    <w:next w:val="Normal"/>
    <w:uiPriority w:val="2"/>
    <w:semiHidden/>
    <w:unhideWhenUsed/>
    <w:qFormat/>
    <w:pPr>
      <w:keepNext/>
      <w:numPr>
        <w:ilvl w:val="3"/>
        <w:numId w:val="1"/>
      </w:numPr>
      <w:spacing w:after="240"/>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1"/>
      </w:numPr>
      <w:spacing w:before="320" w:after="240"/>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1"/>
      </w:numPr>
      <w:spacing w:before="520" w:after="320"/>
      <w:outlineLvl w:val="1"/>
    </w:pPr>
    <w:rPr>
      <w:color w:val="006FB4"/>
      <w:sz w:val="44"/>
    </w:rPr>
  </w:style>
  <w:style w:type="paragraph" w:customStyle="1" w:styleId="HeadingNumbered1">
    <w:name w:val="Heading Numbered 1"/>
    <w:next w:val="Normal"/>
    <w:uiPriority w:val="2"/>
    <w:unhideWhenUsed/>
    <w:qFormat/>
    <w:pPr>
      <w:keepNext/>
      <w:pageBreakBefore/>
      <w:numPr>
        <w:numId w:val="1"/>
      </w:numPr>
      <w:spacing w:before="600" w:after="400"/>
      <w:outlineLvl w:val="0"/>
    </w:pPr>
    <w:rPr>
      <w:b/>
      <w:color w:val="006FB4"/>
      <w:kern w:val="2"/>
      <w:sz w:val="52"/>
    </w:rPr>
  </w:style>
  <w:style w:type="paragraph" w:customStyle="1" w:styleId="HeadingNoTOC4">
    <w:name w:val="Heading NoTOC 4"/>
    <w:next w:val="Normal"/>
    <w:uiPriority w:val="2"/>
    <w:semiHidden/>
    <w:unhideWhenUsed/>
    <w:qFormat/>
    <w:pPr>
      <w:keepNext/>
      <w:spacing w:after="240"/>
      <w:outlineLvl w:val="3"/>
    </w:pPr>
    <w:rPr>
      <w:color w:val="525E65"/>
      <w:sz w:val="32"/>
    </w:rPr>
  </w:style>
  <w:style w:type="paragraph" w:customStyle="1" w:styleId="HeadingNoTOC3">
    <w:name w:val="Heading NoTOC 3"/>
    <w:next w:val="Normal"/>
    <w:uiPriority w:val="2"/>
    <w:semiHidden/>
    <w:unhideWhenUsed/>
    <w:qFormat/>
    <w:pPr>
      <w:keepNext/>
      <w:spacing w:before="320" w:after="240"/>
      <w:outlineLvl w:val="2"/>
    </w:pPr>
    <w:rPr>
      <w:b/>
      <w:color w:val="525E65"/>
      <w:sz w:val="36"/>
    </w:rPr>
  </w:style>
  <w:style w:type="paragraph" w:customStyle="1" w:styleId="HeadingNoTOC2">
    <w:name w:val="Heading NoTOC 2"/>
    <w:next w:val="Normal"/>
    <w:uiPriority w:val="2"/>
    <w:unhideWhenUsed/>
    <w:qFormat/>
    <w:pPr>
      <w:keepNext/>
      <w:spacing w:before="520" w:after="320"/>
      <w:outlineLvl w:val="1"/>
    </w:pPr>
    <w:rPr>
      <w:color w:val="006FB4"/>
      <w:sz w:val="44"/>
    </w:rPr>
  </w:style>
  <w:style w:type="paragraph" w:customStyle="1" w:styleId="HeadingNoTOC1">
    <w:name w:val="Heading NoTOC 1"/>
    <w:next w:val="Normal"/>
    <w:uiPriority w:val="2"/>
    <w:qFormat/>
    <w:pPr>
      <w:keepNext/>
      <w:pageBreakBefore/>
      <w:spacing w:before="600" w:after="400"/>
      <w:outlineLvl w:val="0"/>
    </w:pPr>
    <w:rPr>
      <w:b/>
      <w:color w:val="006FB4"/>
      <w:kern w:val="2"/>
      <w:sz w:val="52"/>
    </w:rPr>
  </w:style>
  <w:style w:type="paragraph" w:customStyle="1" w:styleId="SectionSubsubtitle">
    <w:name w:val="Section Subsubtitle"/>
    <w:next w:val="Heading1"/>
    <w:qFormat/>
    <w:pPr>
      <w:pBdr>
        <w:left w:val="single" w:sz="48" w:space="8" w:color="771D7B"/>
      </w:pBdr>
    </w:pPr>
    <w:rPr>
      <w:color w:val="8B82A1"/>
      <w:sz w:val="20"/>
    </w:rPr>
  </w:style>
  <w:style w:type="paragraph" w:customStyle="1" w:styleId="SectionSubtitle">
    <w:name w:val="Section Subtitle"/>
    <w:next w:val="SectionSubsubtitle"/>
    <w:qFormat/>
    <w:pPr>
      <w:pBdr>
        <w:left w:val="single" w:sz="48" w:space="8" w:color="771D7B"/>
      </w:pBdr>
    </w:pPr>
    <w:rPr>
      <w:color w:val="8B82A1"/>
    </w:rPr>
  </w:style>
  <w:style w:type="paragraph" w:customStyle="1" w:styleId="SectionTitle">
    <w:name w:val="Section Title"/>
    <w:next w:val="SectionSubtitle"/>
    <w:qFormat/>
    <w:pPr>
      <w:pBdr>
        <w:left w:val="single" w:sz="48" w:space="8" w:color="771D7B"/>
      </w:pBdr>
      <w:outlineLvl w:val="0"/>
    </w:pPr>
    <w:rPr>
      <w:b/>
      <w:color w:val="771D7B"/>
      <w:sz w:val="32"/>
    </w:rPr>
  </w:style>
  <w:style w:type="paragraph" w:customStyle="1" w:styleId="SectionNumber">
    <w:name w:val="Section Number"/>
    <w:next w:val="SectionTitle"/>
    <w:qFormat/>
    <w:pPr>
      <w:pageBreakBefore/>
      <w:pBdr>
        <w:left w:val="single" w:sz="48" w:space="8" w:color="771D7B"/>
      </w:pBdr>
    </w:pPr>
    <w:rPr>
      <w:b/>
      <w:color w:val="8B82A1"/>
      <w:sz w:val="44"/>
    </w:rPr>
  </w:style>
  <w:style w:type="paragraph" w:customStyle="1" w:styleId="ChapterSubsubtitle">
    <w:name w:val="Chapter Subsubtitle"/>
    <w:next w:val="Heading1"/>
    <w:qFormat/>
    <w:pPr>
      <w:pBdr>
        <w:left w:val="single" w:sz="48" w:space="8" w:color="771D7B"/>
      </w:pBdr>
    </w:pPr>
    <w:rPr>
      <w:color w:val="8B82A1"/>
    </w:rPr>
  </w:style>
  <w:style w:type="paragraph" w:customStyle="1" w:styleId="ChapterSubtitle">
    <w:name w:val="Chapter Subtitle"/>
    <w:next w:val="ChapterSubsubtitle"/>
    <w:qFormat/>
    <w:pPr>
      <w:pBdr>
        <w:left w:val="single" w:sz="48" w:space="8" w:color="771D7B"/>
      </w:pBdr>
    </w:pPr>
    <w:rPr>
      <w:color w:val="8B82A1"/>
      <w:sz w:val="44"/>
    </w:rPr>
  </w:style>
  <w:style w:type="paragraph" w:customStyle="1" w:styleId="ChapterTitle">
    <w:name w:val="Chapter Title"/>
    <w:next w:val="ChapterSubtitle"/>
    <w:qFormat/>
    <w:pPr>
      <w:pBdr>
        <w:left w:val="single" w:sz="48" w:space="8" w:color="771D7B"/>
      </w:pBdr>
      <w:outlineLvl w:val="0"/>
    </w:pPr>
    <w:rPr>
      <w:b/>
      <w:color w:val="771D7B"/>
      <w:sz w:val="56"/>
    </w:rPr>
  </w:style>
  <w:style w:type="paragraph" w:customStyle="1" w:styleId="ChapterNumber">
    <w:name w:val="Chapter Number"/>
    <w:next w:val="ChapterTitle"/>
    <w:qFormat/>
    <w:pPr>
      <w:pageBreakBefore/>
      <w:pBdr>
        <w:left w:val="single" w:sz="48" w:space="8" w:color="771D7B"/>
      </w:pBdr>
    </w:pPr>
    <w:rPr>
      <w:b/>
      <w:color w:val="8B82A1"/>
      <w:sz w:val="72"/>
    </w:rPr>
  </w:style>
  <w:style w:type="paragraph" w:customStyle="1" w:styleId="PartSubsubtitle">
    <w:name w:val="Part Subsubtitle"/>
    <w:next w:val="Heading1"/>
    <w:qFormat/>
    <w:pPr>
      <w:pBdr>
        <w:left w:val="single" w:sz="48" w:space="8" w:color="771D7B"/>
      </w:pBdr>
    </w:pPr>
    <w:rPr>
      <w:color w:val="8B82A1"/>
      <w:sz w:val="28"/>
    </w:rPr>
  </w:style>
  <w:style w:type="paragraph" w:customStyle="1" w:styleId="PartSubtitle">
    <w:name w:val="Part Subtitle"/>
    <w:next w:val="PartSubsubtitle"/>
    <w:qFormat/>
    <w:pPr>
      <w:pBdr>
        <w:left w:val="single" w:sz="48" w:space="8" w:color="771D7B"/>
      </w:pBdr>
    </w:pPr>
    <w:rPr>
      <w:color w:val="8B82A1"/>
      <w:sz w:val="48"/>
    </w:rPr>
  </w:style>
  <w:style w:type="paragraph" w:customStyle="1" w:styleId="PartTitle">
    <w:name w:val="Part Title"/>
    <w:next w:val="PartSubtitle"/>
    <w:qFormat/>
    <w:pPr>
      <w:pBdr>
        <w:left w:val="single" w:sz="48" w:space="8" w:color="771D7B"/>
      </w:pBdr>
      <w:outlineLvl w:val="0"/>
    </w:pPr>
    <w:rPr>
      <w:b/>
      <w:color w:val="771D7B"/>
      <w:sz w:val="84"/>
    </w:rPr>
  </w:style>
  <w:style w:type="paragraph" w:customStyle="1" w:styleId="PartNumber">
    <w:name w:val="Part Number"/>
    <w:next w:val="PartTitle"/>
    <w:qFormat/>
    <w:pPr>
      <w:pageBreakBefore/>
      <w:pBdr>
        <w:left w:val="single" w:sz="48" w:space="8" w:color="771D7B"/>
      </w:pBdr>
    </w:pPr>
    <w:rPr>
      <w:b/>
      <w:color w:val="8B82A1"/>
      <w:sz w:val="156"/>
    </w:rPr>
  </w:style>
  <w:style w:type="paragraph" w:customStyle="1" w:styleId="PublicationDate">
    <w:name w:val="Publication Date"/>
    <w:uiPriority w:val="99"/>
    <w:qFormat/>
    <w:pPr>
      <w:spacing w:before="320" w:after="320" w:line="280" w:lineRule="auto"/>
      <w:jc w:val="right"/>
    </w:pPr>
    <w:rPr>
      <w:b/>
      <w:color w:val="525E65"/>
      <w:sz w:val="32"/>
    </w:rPr>
  </w:style>
  <w:style w:type="paragraph" w:customStyle="1" w:styleId="PublicationSubsubtitle">
    <w:name w:val="Publication Subsubtitle"/>
    <w:uiPriority w:val="99"/>
    <w:qFormat/>
    <w:pPr>
      <w:spacing w:after="400" w:line="280" w:lineRule="auto"/>
    </w:pPr>
    <w:rPr>
      <w:color w:val="8B82A1"/>
      <w:sz w:val="32"/>
    </w:rPr>
  </w:style>
  <w:style w:type="paragraph" w:customStyle="1" w:styleId="PublicationSubtitle">
    <w:name w:val="Publication Subtitle"/>
    <w:uiPriority w:val="99"/>
    <w:qFormat/>
    <w:pPr>
      <w:spacing w:before="600" w:line="280" w:lineRule="auto"/>
    </w:pPr>
    <w:rPr>
      <w:b/>
      <w:color w:val="8B82A1"/>
      <w:sz w:val="36"/>
    </w:rPr>
  </w:style>
  <w:style w:type="paragraph" w:customStyle="1" w:styleId="PublicationTitle">
    <w:name w:val="Publication Title"/>
    <w:uiPriority w:val="99"/>
    <w:qFormat/>
    <w:pPr>
      <w:spacing w:before="2000" w:after="400" w:line="280" w:lineRule="auto"/>
    </w:pPr>
    <w:rPr>
      <w:b/>
      <w:color w:val="771D7B"/>
      <w:sz w:val="72"/>
    </w:rPr>
  </w:style>
  <w:style w:type="paragraph" w:styleId="NoSpacing">
    <w:name w:val="No Spacing"/>
    <w:uiPriority w:val="2"/>
    <w:qFormat/>
    <w:pPr>
      <w:spacing w:after="240"/>
    </w:pPr>
  </w:style>
  <w:style w:type="paragraph" w:customStyle="1" w:styleId="NumberedParagraph">
    <w:name w:val="Numbered Paragraph"/>
    <w:uiPriority w:val="4"/>
    <w:qFormat/>
    <w:pPr>
      <w:numPr>
        <w:numId w:val="6"/>
      </w:numPr>
      <w:spacing w:after="240" w:line="280" w:lineRule="auto"/>
    </w:pPr>
  </w:style>
  <w:style w:type="paragraph" w:customStyle="1" w:styleId="ListRoman">
    <w:name w:val="List Roman"/>
    <w:uiPriority w:val="1"/>
    <w:qFormat/>
    <w:pPr>
      <w:numPr>
        <w:numId w:val="10"/>
      </w:numPr>
      <w:spacing w:after="240" w:line="280" w:lineRule="auto"/>
    </w:pPr>
  </w:style>
  <w:style w:type="paragraph" w:customStyle="1" w:styleId="ListRomanLevel2">
    <w:name w:val="List Roman (Level 2)"/>
    <w:uiPriority w:val="1"/>
    <w:qFormat/>
    <w:pPr>
      <w:numPr>
        <w:ilvl w:val="1"/>
        <w:numId w:val="10"/>
      </w:numPr>
      <w:spacing w:after="240" w:line="280" w:lineRule="auto"/>
    </w:pPr>
  </w:style>
  <w:style w:type="paragraph" w:customStyle="1" w:styleId="ListRomanLevel3">
    <w:name w:val="List Roman (Level 3)"/>
    <w:uiPriority w:val="1"/>
    <w:qFormat/>
    <w:pPr>
      <w:numPr>
        <w:ilvl w:val="2"/>
        <w:numId w:val="10"/>
      </w:numPr>
      <w:spacing w:after="240" w:line="280" w:lineRule="auto"/>
    </w:pPr>
  </w:style>
  <w:style w:type="paragraph" w:customStyle="1" w:styleId="ListRomanLevel4">
    <w:name w:val="List Roman (Level 4)"/>
    <w:uiPriority w:val="1"/>
    <w:qFormat/>
    <w:pPr>
      <w:numPr>
        <w:ilvl w:val="3"/>
        <w:numId w:val="10"/>
      </w:numPr>
      <w:spacing w:after="240" w:line="280" w:lineRule="auto"/>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style>
  <w:style w:type="paragraph" w:customStyle="1" w:styleId="ListNumberLevel3">
    <w:name w:val="List Number (Level 3)"/>
    <w:basedOn w:val="ListNumber"/>
    <w:uiPriority w:val="1"/>
    <w:qFormat/>
  </w:style>
  <w:style w:type="paragraph" w:customStyle="1" w:styleId="ListNumberLevel4">
    <w:name w:val="List Number (Level 4)"/>
    <w:basedOn w:val="ListNumber"/>
    <w:uiPriority w:val="1"/>
    <w:qFormat/>
  </w:style>
  <w:style w:type="paragraph" w:customStyle="1" w:styleId="ListNumberLevel5">
    <w:name w:val="List Number (Level 5)"/>
    <w:uiPriority w:val="1"/>
    <w:qFormat/>
    <w:pPr>
      <w:numPr>
        <w:ilvl w:val="4"/>
        <w:numId w:val="7"/>
      </w:numPr>
      <w:spacing w:after="240" w:line="280" w:lineRule="auto"/>
    </w:pPr>
  </w:style>
  <w:style w:type="paragraph" w:customStyle="1" w:styleId="ListMixed">
    <w:name w:val="List Mixed"/>
    <w:uiPriority w:val="1"/>
    <w:qFormat/>
    <w:pPr>
      <w:numPr>
        <w:numId w:val="8"/>
      </w:numPr>
      <w:spacing w:after="240" w:line="280" w:lineRule="auto"/>
    </w:pPr>
  </w:style>
  <w:style w:type="paragraph" w:customStyle="1" w:styleId="ListMixedLevel2">
    <w:name w:val="List Mixed (Level 2)"/>
    <w:uiPriority w:val="1"/>
    <w:qFormat/>
    <w:pPr>
      <w:numPr>
        <w:ilvl w:val="1"/>
        <w:numId w:val="8"/>
      </w:numPr>
      <w:spacing w:after="240" w:line="280" w:lineRule="auto"/>
    </w:pPr>
  </w:style>
  <w:style w:type="paragraph" w:customStyle="1" w:styleId="ListMixedLevel3">
    <w:name w:val="List Mixed (Level 3)"/>
    <w:uiPriority w:val="1"/>
    <w:qFormat/>
    <w:pPr>
      <w:numPr>
        <w:ilvl w:val="2"/>
        <w:numId w:val="8"/>
      </w:numPr>
      <w:spacing w:after="240" w:line="280" w:lineRule="auto"/>
    </w:pPr>
  </w:style>
  <w:style w:type="paragraph" w:customStyle="1" w:styleId="ListMixedLevel4">
    <w:name w:val="List Mixed (Level 4)"/>
    <w:uiPriority w:val="1"/>
    <w:qFormat/>
    <w:pPr>
      <w:numPr>
        <w:ilvl w:val="3"/>
        <w:numId w:val="8"/>
      </w:numPr>
      <w:spacing w:after="240" w:line="280" w:lineRule="auto"/>
    </w:pPr>
  </w:style>
  <w:style w:type="paragraph" w:customStyle="1" w:styleId="ListMixedLevel5">
    <w:name w:val="List Mixed (Level 5)"/>
    <w:uiPriority w:val="1"/>
    <w:qFormat/>
    <w:pPr>
      <w:spacing w:after="240" w:line="280" w:lineRule="auto"/>
      <w:ind w:left="2835" w:hanging="567"/>
    </w:pPr>
  </w:style>
  <w:style w:type="paragraph" w:customStyle="1" w:styleId="Listabc">
    <w:name w:val="List abc"/>
    <w:uiPriority w:val="1"/>
    <w:qFormat/>
    <w:pPr>
      <w:numPr>
        <w:numId w:val="9"/>
      </w:numPr>
      <w:spacing w:after="240" w:line="280" w:lineRule="auto"/>
    </w:pPr>
  </w:style>
  <w:style w:type="paragraph" w:customStyle="1" w:styleId="ListabcLevel2">
    <w:name w:val="List abc (Level 2)"/>
    <w:uiPriority w:val="1"/>
    <w:qFormat/>
    <w:pPr>
      <w:numPr>
        <w:ilvl w:val="1"/>
        <w:numId w:val="9"/>
      </w:numPr>
      <w:spacing w:after="240" w:line="280" w:lineRule="auto"/>
    </w:pPr>
  </w:style>
  <w:style w:type="paragraph" w:customStyle="1" w:styleId="ListabcLevel3">
    <w:name w:val="List abc (Level 3)"/>
    <w:uiPriority w:val="1"/>
    <w:qFormat/>
    <w:pPr>
      <w:numPr>
        <w:ilvl w:val="2"/>
        <w:numId w:val="9"/>
      </w:numPr>
      <w:spacing w:after="240" w:line="280" w:lineRule="auto"/>
    </w:pPr>
  </w:style>
  <w:style w:type="paragraph" w:customStyle="1" w:styleId="ListabcLevel4">
    <w:name w:val="List abc (Level 4)"/>
    <w:uiPriority w:val="1"/>
    <w:qFormat/>
    <w:pPr>
      <w:numPr>
        <w:ilvl w:val="3"/>
        <w:numId w:val="9"/>
      </w:numPr>
      <w:spacing w:after="240" w:line="280" w:lineRule="auto"/>
    </w:pPr>
  </w:style>
  <w:style w:type="paragraph" w:customStyle="1" w:styleId="ListDash">
    <w:name w:val="List Dash"/>
    <w:uiPriority w:val="4"/>
    <w:qFormat/>
    <w:pPr>
      <w:numPr>
        <w:numId w:val="3"/>
      </w:numPr>
      <w:spacing w:after="240" w:line="280" w:lineRule="auto"/>
    </w:pPr>
  </w:style>
  <w:style w:type="paragraph" w:customStyle="1" w:styleId="ListDashLevel2">
    <w:name w:val="List Dash (Level 2)"/>
    <w:uiPriority w:val="4"/>
    <w:qFormat/>
    <w:pPr>
      <w:numPr>
        <w:ilvl w:val="1"/>
        <w:numId w:val="3"/>
      </w:numPr>
      <w:spacing w:after="240" w:line="280" w:lineRule="auto"/>
    </w:pPr>
  </w:style>
  <w:style w:type="paragraph" w:customStyle="1" w:styleId="ListDashLevel3">
    <w:name w:val="List Dash (Level 3)"/>
    <w:uiPriority w:val="4"/>
    <w:qFormat/>
    <w:pPr>
      <w:numPr>
        <w:ilvl w:val="2"/>
        <w:numId w:val="3"/>
      </w:numPr>
      <w:spacing w:after="240" w:line="280" w:lineRule="auto"/>
    </w:pPr>
  </w:style>
  <w:style w:type="paragraph" w:customStyle="1" w:styleId="ListDashLevel4">
    <w:name w:val="List Dash (Level 4)"/>
    <w:uiPriority w:val="4"/>
    <w:qFormat/>
    <w:pPr>
      <w:numPr>
        <w:ilvl w:val="3"/>
        <w:numId w:val="3"/>
      </w:numPr>
      <w:spacing w:after="240" w:line="280" w:lineRule="auto"/>
    </w:pPr>
  </w:style>
  <w:style w:type="paragraph" w:styleId="FootnoteText">
    <w:name w:val="footnote text"/>
    <w:link w:val="FootnoteTextChar"/>
    <w:unhideWhenUsed/>
    <w:qFormat/>
    <w:pPr>
      <w:spacing w:after="120" w:line="280" w:lineRule="auto"/>
      <w:ind w:left="283" w:hanging="283"/>
    </w:pPr>
    <w:rPr>
      <w:color w:val="525E65"/>
      <w:sz w:val="22"/>
    </w:rPr>
  </w:style>
  <w:style w:type="paragraph" w:styleId="EndnoteText">
    <w:name w:val="endnote text"/>
    <w:link w:val="EndnoteTextChar"/>
    <w:uiPriority w:val="99"/>
    <w:semiHidden/>
    <w:unhideWhenUsed/>
    <w:pPr>
      <w:spacing w:after="120" w:line="280" w:lineRule="auto"/>
      <w:ind w:left="283" w:hanging="283"/>
    </w:pPr>
    <w:rPr>
      <w:color w:val="525E65"/>
      <w:sz w:val="22"/>
    </w:rPr>
  </w:style>
  <w:style w:type="paragraph" w:styleId="Date">
    <w:name w:val="Date"/>
    <w:next w:val="Normal"/>
    <w:link w:val="DateChar"/>
    <w:uiPriority w:val="19"/>
    <w:semiHidden/>
    <w:unhideWhenUsed/>
    <w:qFormat/>
    <w:pPr>
      <w:spacing w:line="280" w:lineRule="auto"/>
      <w:ind w:left="5669"/>
    </w:pPr>
  </w:style>
  <w:style w:type="paragraph" w:styleId="Subtitle">
    <w:name w:val="Subtitle"/>
    <w:next w:val="Normal"/>
    <w:link w:val="SubtitleChar"/>
    <w:uiPriority w:val="15"/>
    <w:qFormat/>
    <w:pPr>
      <w:spacing w:before="2760" w:after="240" w:line="280" w:lineRule="auto"/>
      <w:jc w:val="center"/>
    </w:pPr>
    <w:rPr>
      <w:b/>
      <w:color w:val="056467"/>
      <w:sz w:val="52"/>
    </w:rPr>
  </w:style>
  <w:style w:type="paragraph" w:customStyle="1" w:styleId="TOCParagraph">
    <w:name w:val="TOC Paragraph"/>
    <w:link w:val="TOCParagraphChar"/>
    <w:uiPriority w:val="38"/>
    <w:qFormat/>
    <w:pPr>
      <w:spacing w:line="280" w:lineRule="auto"/>
      <w:jc w:val="right"/>
    </w:pPr>
    <w:rPr>
      <w:b/>
    </w:rPr>
  </w:style>
  <w:style w:type="paragraph" w:customStyle="1" w:styleId="Cabealhoerodap">
    <w:name w:val="Cabeçalho e rodapé"/>
    <w:basedOn w:val="Normal"/>
    <w:qFormat/>
  </w:style>
  <w:style w:type="paragraph" w:styleId="Footer">
    <w:name w:val="footer"/>
    <w:link w:val="FooterChar"/>
    <w:uiPriority w:val="99"/>
    <w:unhideWhenUsed/>
    <w:pPr>
      <w:pBdr>
        <w:top w:val="single" w:sz="12" w:space="1" w:color="77777A"/>
      </w:pBdr>
      <w:tabs>
        <w:tab w:val="right" w:pos="8504"/>
      </w:tabs>
    </w:pPr>
    <w:rPr>
      <w:color w:val="525E65"/>
    </w:rPr>
  </w:style>
  <w:style w:type="paragraph" w:styleId="Header">
    <w:name w:val="header"/>
    <w:link w:val="HeaderChar"/>
    <w:uiPriority w:val="99"/>
    <w:unhideWhenUsed/>
    <w:pPr>
      <w:tabs>
        <w:tab w:val="right" w:pos="8504"/>
      </w:tabs>
      <w:spacing w:after="240" w:line="280" w:lineRule="auto"/>
    </w:pPr>
    <w:rPr>
      <w:color w:val="525E65"/>
    </w: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outlineLvl w:val="1"/>
    </w:pPr>
    <w:rPr>
      <w:sz w:val="28"/>
      <w:szCs w:val="28"/>
    </w:rPr>
  </w:style>
  <w:style w:type="paragraph" w:customStyle="1" w:styleId="FRAHeading3">
    <w:name w:val="(FRA) Heading 3"/>
    <w:basedOn w:val="FRAHeading2"/>
    <w:next w:val="Normal"/>
    <w:uiPriority w:val="1"/>
    <w:qFormat/>
    <w:rsid w:val="00FD4CB2"/>
    <w:p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385DF6"/>
    <w:pPr>
      <w:numPr>
        <w:ilvl w:val="3"/>
      </w:numPr>
      <w:outlineLvl w:val="3"/>
    </w:pPr>
    <w:rPr>
      <w:sz w:val="22"/>
    </w:r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paragraph" w:styleId="CommentText">
    <w:name w:val="annotation text"/>
    <w:basedOn w:val="Normal"/>
    <w:link w:val="CommentTextChar"/>
    <w:semiHidden/>
    <w:qFormat/>
    <w:rsid w:val="00206AB5"/>
    <w:pPr>
      <w:spacing w:line="240" w:lineRule="auto"/>
    </w:pPr>
    <w:rPr>
      <w:sz w:val="20"/>
    </w:rPr>
  </w:style>
  <w:style w:type="paragraph" w:styleId="CommentSubject">
    <w:name w:val="annotation subject"/>
    <w:basedOn w:val="CommentText"/>
    <w:next w:val="CommentText"/>
    <w:link w:val="CommentSubjectChar"/>
    <w:semiHidden/>
    <w:qFormat/>
    <w:rsid w:val="00206AB5"/>
    <w:rPr>
      <w:b/>
      <w:bCs/>
    </w:rPr>
  </w:style>
  <w:style w:type="paragraph" w:customStyle="1" w:styleId="FRABodyText">
    <w:name w:val="(FRA) Body Text"/>
    <w:link w:val="FRABodyTextChar"/>
    <w:autoRedefine/>
    <w:qFormat/>
    <w:rsid w:val="00B9241D"/>
    <w:rPr>
      <w:rFonts w:ascii="Verdana" w:eastAsia="Calibri" w:hAnsi="Verdana" w:cstheme="minorBidi"/>
      <w:sz w:val="20"/>
      <w:szCs w:val="22"/>
      <w:lang w:val="pt-PT" w:eastAsia="en-IE" w:bidi="en-US"/>
    </w:rPr>
  </w:style>
  <w:style w:type="paragraph" w:styleId="Revision">
    <w:name w:val="Revision"/>
    <w:semiHidden/>
    <w:qFormat/>
    <w:rsid w:val="00572FAA"/>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qFormat/>
    <w:rsid w:val="007616E1"/>
    <w:pPr>
      <w:spacing w:before="40" w:after="40"/>
      <w:ind w:left="57"/>
      <w:contextualSpacing/>
    </w:pPr>
    <w:rPr>
      <w:rFonts w:cs="Arial"/>
      <w:bCs/>
      <w:szCs w:val="18"/>
      <w:lang w:eastAsia="en-US"/>
    </w:rPr>
  </w:style>
  <w:style w:type="paragraph" w:customStyle="1" w:styleId="BVIfnrCharCharCharChar">
    <w:name w:val="BVI fnr Char Char Char Char"/>
    <w:basedOn w:val="Normal"/>
    <w:link w:val="FootnoteCharacters"/>
    <w:uiPriority w:val="99"/>
    <w:qFormat/>
    <w:rsid w:val="0051483E"/>
    <w:pPr>
      <w:spacing w:after="0" w:line="240" w:lineRule="exact"/>
    </w:pPr>
    <w:rPr>
      <w:color w:val="337AB7"/>
      <w:vertAlign w:val="superscript"/>
    </w:rPr>
  </w:style>
  <w:style w:type="paragraph" w:styleId="BalloonText">
    <w:name w:val="Balloon Text"/>
    <w:basedOn w:val="Normal"/>
    <w:link w:val="BalloonTextChar"/>
    <w:semiHidden/>
    <w:qFormat/>
    <w:rsid w:val="00950568"/>
    <w:pPr>
      <w:spacing w:after="0" w:line="240" w:lineRule="auto"/>
    </w:pPr>
    <w:rPr>
      <w:rFonts w:ascii="Segoe UI" w:hAnsi="Segoe UI" w:cs="Segoe UI"/>
      <w:sz w:val="18"/>
      <w:szCs w:val="18"/>
    </w:rPr>
  </w:style>
  <w:style w:type="numbering" w:customStyle="1" w:styleId="FRAHeadings">
    <w:name w:val="(FRA) Headings"/>
    <w:uiPriority w:val="99"/>
    <w:qFormat/>
    <w:rsid w:val="00FD4CB2"/>
  </w:style>
  <w:style w:type="table" w:styleId="TableGrid">
    <w:name w:val="Table Grid"/>
    <w:tblPr>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tblPr>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tblPr>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tblPr>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tblPr>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tblPr>
      <w:tblCellMar>
        <w:top w:w="108" w:type="dxa"/>
        <w:left w:w="108" w:type="dxa"/>
        <w:bottom w:w="108" w:type="dxa"/>
        <w:right w:w="108" w:type="dxa"/>
      </w:tblCellMar>
    </w:tblPr>
    <w:tcPr>
      <w:shd w:val="clear" w:color="auto" w:fill="EFF1F0"/>
    </w:tcPr>
  </w:style>
  <w:style w:type="table" w:customStyle="1" w:styleId="ApprovalTable">
    <w:name w:val="Approval Table"/>
    <w:uiPriority w:val="99"/>
    <w:rPr>
      <w:sz w:val="20"/>
      <w:lang w:val="fr-FR" w:eastAsia="fr-FR"/>
    </w:rPr>
    <w:tblPr>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b w:val="0"/>
        <w:sz w:val="24"/>
      </w:rPr>
    </w:tblStylePr>
  </w:style>
  <w:style w:type="table" w:customStyle="1" w:styleId="TableLetterhead">
    <w:name w:val="Table Letterhead"/>
    <w:uiPriority w:val="99"/>
    <w:tblPr>
      <w:tblCellMar>
        <w:top w:w="0" w:type="dxa"/>
        <w:left w:w="0" w:type="dxa"/>
        <w:bottom w:w="0" w:type="dxa"/>
        <w:right w:w="0" w:type="dxa"/>
      </w:tblCellMar>
    </w:tblPr>
  </w:style>
  <w:style w:type="character" w:styleId="Hyperlink">
    <w:name w:val="Hyperlink"/>
    <w:basedOn w:val="DefaultParagraphFont"/>
    <w:uiPriority w:val="99"/>
    <w:unhideWhenUsed/>
    <w:rsid w:val="00AF2C84"/>
    <w:rPr>
      <w:color w:val="0563C1" w:themeColor="hyperlink"/>
      <w:u w:val="single"/>
    </w:rPr>
  </w:style>
  <w:style w:type="character" w:styleId="FootnoteReference">
    <w:name w:val="footnote reference"/>
    <w:basedOn w:val="DefaultParagraphFont"/>
    <w:unhideWhenUsed/>
    <w:qFormat/>
    <w:rsid w:val="00131FBE"/>
    <w:rPr>
      <w:vertAlign w:val="superscript"/>
    </w:rPr>
  </w:style>
  <w:style w:type="character" w:customStyle="1" w:styleId="UnresolvedMention1">
    <w:name w:val="Unresolved Mention1"/>
    <w:basedOn w:val="DefaultParagraphFont"/>
    <w:uiPriority w:val="99"/>
    <w:semiHidden/>
    <w:unhideWhenUsed/>
    <w:rsid w:val="00131FBE"/>
    <w:rPr>
      <w:color w:val="605E5C"/>
      <w:shd w:val="clear" w:color="auto" w:fill="E1DFDD"/>
    </w:rPr>
  </w:style>
  <w:style w:type="character" w:styleId="FollowedHyperlink">
    <w:name w:val="FollowedHyperlink"/>
    <w:basedOn w:val="DefaultParagraphFont"/>
    <w:semiHidden/>
    <w:rsid w:val="00371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402832">
      <w:bodyDiv w:val="1"/>
      <w:marLeft w:val="0"/>
      <w:marRight w:val="0"/>
      <w:marTop w:val="0"/>
      <w:marBottom w:val="0"/>
      <w:divBdr>
        <w:top w:val="none" w:sz="0" w:space="0" w:color="auto"/>
        <w:left w:val="none" w:sz="0" w:space="0" w:color="auto"/>
        <w:bottom w:val="none" w:sz="0" w:space="0" w:color="auto"/>
        <w:right w:val="none" w:sz="0" w:space="0" w:color="auto"/>
      </w:divBdr>
    </w:div>
    <w:div w:id="186031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dre.pt/web/guest/pesquisa/-/search/116734769/details/normal?q=dl+83%2F2018"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s://diariodarepublica.pt/dr/legislacao-consolidada/decreto-lei/1976-34568075" TargetMode="External"/><Relationship Id="rId18" Type="http://schemas.openxmlformats.org/officeDocument/2006/relationships/hyperlink" Target="https://diariodarepublica.pt/dr/detalhe/deliberacao/540-2020-132936760" TargetMode="External"/><Relationship Id="rId26" Type="http://schemas.openxmlformats.org/officeDocument/2006/relationships/hyperlink" Target="https://www.cne.pt/sites/default/files/dl/plano%20de%20atividades/2023_plano_de_atividades_e_orcamento_cne.pdf" TargetMode="External"/><Relationship Id="rId39" Type="http://schemas.openxmlformats.org/officeDocument/2006/relationships/hyperlink" Target="https://www.inr.pt/documents/11309/285392/Relatorio+FINAL+-+ComissaoPromocaoAcessibilidades.pdf/0800afb7-8e09-44eb-9110-44e9082678e1" TargetMode="External"/><Relationship Id="rId21" Type="http://schemas.openxmlformats.org/officeDocument/2006/relationships/hyperlink" Target="https://www.cne.pt/sites/default/files/dl/plano%20de%20atividades/2023_plano_de_atividades_e_orcamento_cne.pdf" TargetMode="External"/><Relationship Id="rId34" Type="http://schemas.openxmlformats.org/officeDocument/2006/relationships/hyperlink" Target="https://eur-lex.europa.eu/eli/dir/2018/1808/oj" TargetMode="External"/><Relationship Id="rId7" Type="http://schemas.openxmlformats.org/officeDocument/2006/relationships/hyperlink" Target="https://diariodarepublica.pt/dr/detalhe/lei-organica/3-2018-116090196" TargetMode="External"/><Relationship Id="rId12" Type="http://schemas.openxmlformats.org/officeDocument/2006/relationships/hyperlink" Target="https://diariodarepublica.pt/dr/legislacao-consolidada/lei-organica/2001-34526875" TargetMode="External"/><Relationship Id="rId17" Type="http://schemas.openxmlformats.org/officeDocument/2006/relationships/hyperlink" Target="https://diariodarepublica.pt/dr/legislacao-consolidada/lei/1979-34485975" TargetMode="External"/><Relationship Id="rId25" Type="http://schemas.openxmlformats.org/officeDocument/2006/relationships/hyperlink" Target="https://diariodarepublica.pt/dr/detalhe/decreto-lei/48-2017-107047290" TargetMode="External"/><Relationship Id="rId33" Type="http://schemas.openxmlformats.org/officeDocument/2006/relationships/hyperlink" Target="https://diariodarepublica.pt/dr/legislacao-consolidada/lei/2020-148963307" TargetMode="External"/><Relationship Id="rId38" Type="http://schemas.openxmlformats.org/officeDocument/2006/relationships/hyperlink" Target="https://diariodarepublica.pt/dr/detalhe/decreto-lei/125-2017-108244274" TargetMode="External"/><Relationship Id="rId2" Type="http://schemas.openxmlformats.org/officeDocument/2006/relationships/hyperlink" Target="https://diariodarepublica.pt/dr/legislacao-consolidada/decreto-aprovacao-constituicao/1976-34520775" TargetMode="External"/><Relationship Id="rId16" Type="http://schemas.openxmlformats.org/officeDocument/2006/relationships/hyperlink" Target="https://diariodarepublica.pt/dr/legislacao-consolidada/decreto-lei/1976-34568075" TargetMode="External"/><Relationship Id="rId20" Type="http://schemas.openxmlformats.org/officeDocument/2006/relationships/hyperlink" Target="https://diariodarepublica.pt/dr/detalhe/lei/49-2018-116043536" TargetMode="External"/><Relationship Id="rId29" Type="http://schemas.openxmlformats.org/officeDocument/2006/relationships/hyperlink" Target="https://www.erc.pt/download/YToyOntzOjg6ImZpY2hlaXJvIjtzOjM5OiJtZWRpYS9kZWNpc29lcy9vYmplY3RvX29mZmxpbmUvODM1My5wZGYiO3M6NjoidGl0dWxvIjtzOjI5OiJkZWxpYmVyYWNhby1lcmMyMDIxMzE3LW91dC10diI7fQ==/deliberacao-erc2021317-out-tv" TargetMode="External"/><Relationship Id="rId1" Type="http://schemas.openxmlformats.org/officeDocument/2006/relationships/hyperlink" Target="https://diariodarepublica.pt/dr/detalhe/resolucao-conselho-ministros/119-2021-170514954" TargetMode="External"/><Relationship Id="rId6" Type="http://schemas.openxmlformats.org/officeDocument/2006/relationships/hyperlink" Target="https://diariodarepublica.pt/dr/legislacao-consolidada/lei-organica/2001-34526875" TargetMode="External"/><Relationship Id="rId11" Type="http://schemas.openxmlformats.org/officeDocument/2006/relationships/hyperlink" Target="https://www.cne.pt/sites/default/files/dl/eleicoes/2024_alraa/voto_antecipado/2024_alraa_voto_antecipado_doentesinternados_presos.pdf" TargetMode="External"/><Relationship Id="rId24" Type="http://schemas.openxmlformats.org/officeDocument/2006/relationships/hyperlink" Target="https://diariodarepublica.pt/dr/legislacao-consolidada/decreto-lei/2013-107685643" TargetMode="External"/><Relationship Id="rId32" Type="http://schemas.openxmlformats.org/officeDocument/2006/relationships/hyperlink" Target="https://eur-lex.europa.eu/eli/dir/2016/2102/oj?locale=en" TargetMode="External"/><Relationship Id="rId37" Type="http://schemas.openxmlformats.org/officeDocument/2006/relationships/hyperlink" Target="https://www.cne.pt/content/eleicoes-acessiveis" TargetMode="External"/><Relationship Id="rId40" Type="http://schemas.openxmlformats.org/officeDocument/2006/relationships/hyperlink" Target="https://diariodarepublica.pt/dr/detalhe/resolucao-conselho-ministros/119-2021-170514954" TargetMode="External"/><Relationship Id="rId5" Type="http://schemas.openxmlformats.org/officeDocument/2006/relationships/hyperlink" Target="https://diariodarepublica.pt/dr/legislacao-consolidada/lei/1979-34485975" TargetMode="External"/><Relationship Id="rId15" Type="http://schemas.openxmlformats.org/officeDocument/2006/relationships/hyperlink" Target="https://diariodarepublica.pt/dr/legislacao-consolidada/lei-organica/2001-34526875" TargetMode="External"/><Relationship Id="rId23" Type="http://schemas.openxmlformats.org/officeDocument/2006/relationships/hyperlink" Target="https://diariodarepublica.pt/dr/detalhe/decreto-lei/225-1997-194223" TargetMode="External"/><Relationship Id="rId28" Type="http://schemas.openxmlformats.org/officeDocument/2006/relationships/hyperlink" Target="https://www.erc.pt/download/YToyOntzOjg6ImZpY2hlaXJvIjtzOjM5OiJtZWRpYS9kZWNpc29lcy9vYmplY3RvX29mZmxpbmUvODM1My5wZGYiO3M6NjoidGl0dWxvIjtzOjI5OiJkZWxpYmVyYWNhby1lcmMyMDIxMzE3LW91dC10diI7fQ==/deliberacao-erc2021317-out-tv" TargetMode="External"/><Relationship Id="rId36" Type="http://schemas.openxmlformats.org/officeDocument/2006/relationships/hyperlink" Target="https://www.cne.pt/content/eleicoes-acessiveis" TargetMode="External"/><Relationship Id="rId10" Type="http://schemas.openxmlformats.org/officeDocument/2006/relationships/hyperlink" Target="https://www.cne.pt/sites/default/files/dl/eleicoes/2024_alraa/2024_alraa_comunicado_transporte-eleitores.pdf" TargetMode="External"/><Relationship Id="rId19" Type="http://schemas.openxmlformats.org/officeDocument/2006/relationships/hyperlink" Target="https://www.cne.pt/form/consulte-cne-queixas" TargetMode="External"/><Relationship Id="rId31" Type="http://schemas.openxmlformats.org/officeDocument/2006/relationships/hyperlink" Target="https://diariodarepublica.pt/dr/detalhe/decreto-lei/83-2018-116734769" TargetMode="External"/><Relationship Id="rId4" Type="http://schemas.openxmlformats.org/officeDocument/2006/relationships/hyperlink" Target="https://diariodarepublica.pt/dr/legislacao-consolidada/decreto-lei/1976-34568075" TargetMode="External"/><Relationship Id="rId9" Type="http://schemas.openxmlformats.org/officeDocument/2006/relationships/hyperlink" Target="https://www.cne.pt/content/eleicoes-acessiveis" TargetMode="External"/><Relationship Id="rId14" Type="http://schemas.openxmlformats.org/officeDocument/2006/relationships/hyperlink" Target="https://diariodarepublica.pt/dr/legislacao-consolidada/lei/1979-34485975" TargetMode="External"/><Relationship Id="rId22" Type="http://schemas.openxmlformats.org/officeDocument/2006/relationships/hyperlink" Target="http://www.dgsi.pt/jstj.nsf/954f0ce6ad9dd8b980256b5f003fa814/ecb67cd5c1b9666e80258a2a002c8f79?OpenDocument" TargetMode="External"/><Relationship Id="rId27" Type="http://schemas.openxmlformats.org/officeDocument/2006/relationships/hyperlink" Target="https://www.erc.pt/download/YToyOntzOjg6ImZpY2hlaXJvIjtzOjM5OiJtZWRpYS9kZWNpc29lcy9vYmplY3RvX29mZmxpbmUvODM1My5wZGYiO3M6NjoidGl0dWxvIjtzOjI5OiJkZWxpYmVyYWNhby1lcmMyMDIxMzE3LW91dC10diI7fQ==/deliberacao-erc2021317-out-tv" TargetMode="External"/><Relationship Id="rId30" Type="http://schemas.openxmlformats.org/officeDocument/2006/relationships/hyperlink" Target="https://www.publico.pt/2019/10/04/politica/noticia/braille-lingua-gestual-leitura-facil-sao-partidos-adaptaram-programas-1886569" TargetMode="External"/><Relationship Id="rId35" Type="http://schemas.openxmlformats.org/officeDocument/2006/relationships/hyperlink" Target="https://www.erc.pt/download/YToyOntzOjg6ImZpY2hlaXJvIjtzOjM5OiJtZWRpYS9kZWNpc29lcy9vYmplY3RvX29mZmxpbmUvODM1My5wZGYiO3M6NjoidGl0dWxvIjtzOjI5OiJkZWxpYmVyYWNhby1lcmMyMDIxMzE3LW91dC10diI7fQ==/deliberacao-erc2021317-out-tv" TargetMode="External"/><Relationship Id="rId8" Type="http://schemas.openxmlformats.org/officeDocument/2006/relationships/hyperlink" Target="https://www.cne.pt/content/eleicoes-acessiveis" TargetMode="External"/><Relationship Id="rId3" Type="http://schemas.openxmlformats.org/officeDocument/2006/relationships/hyperlink" Target="https://diariodarepublica.pt/dr/legislacao-consolidada/lei/1999-34432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2.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3.xml><?xml version="1.0" encoding="utf-8"?>
<EurolookProperties>
  <ProductCustomizationId>EC</ProductCustomizationId>
  <Created>
    <Version>10.0.42702.0</Version>
    <Date>2023-05-17T15:14:09</Date>
    <Language>EN</Language>
    <Note/>
  </Created>
  <Edited>
    <Version>10.0.42702.0</Version>
    <Date>2024-02-06T15:18:08</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4.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925BFF32-4C3B-423D-BE8C-A831B166F6B7}">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BB331D43-972B-4D67-9598-33C3F123B328}">
  <ds:schemaRefs/>
</ds:datastoreItem>
</file>

<file path=customXml/itemProps5.xml><?xml version="1.0" encoding="utf-8"?>
<ds:datastoreItem xmlns:ds="http://schemas.openxmlformats.org/officeDocument/2006/customXml" ds:itemID="{782D240E-CCC2-4F6F-8D90-11E880C5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2024-05-30T08:39:00Z</dcterms:created>
  <dcterms:modified xsi:type="dcterms:W3CDTF">2024-05-30T08:39:00Z</dcterms:modified>
  <dc:language/>
</cp:coreProperties>
</file>