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60DEB" w14:textId="77777777" w:rsidR="00C531D7" w:rsidRDefault="00C531D7" w:rsidP="00084A68">
      <w:pPr>
        <w:spacing w:after="0" w:line="240" w:lineRule="auto"/>
        <w:jc w:val="right"/>
        <w:rPr>
          <w:rFonts w:eastAsia="Calibri" w:cs="Times New Roman"/>
          <w:sz w:val="48"/>
          <w:szCs w:val="48"/>
          <w:lang w:val="en-GB" w:bidi="en-US"/>
        </w:rPr>
      </w:pPr>
      <w:bookmarkStart w:id="0" w:name="_GoBack"/>
      <w:bookmarkEnd w:id="0"/>
    </w:p>
    <w:p w14:paraId="65F09409" w14:textId="77777777" w:rsidR="00C531D7" w:rsidRDefault="00C531D7" w:rsidP="00084A68">
      <w:pPr>
        <w:spacing w:after="0" w:line="240" w:lineRule="auto"/>
        <w:jc w:val="right"/>
        <w:rPr>
          <w:rFonts w:eastAsia="Calibri" w:cs="Times New Roman"/>
          <w:sz w:val="48"/>
          <w:szCs w:val="48"/>
          <w:lang w:val="en-GB" w:bidi="en-US"/>
        </w:rPr>
      </w:pPr>
    </w:p>
    <w:p w14:paraId="3287A41C" w14:textId="03D1F806" w:rsidR="00084A68" w:rsidRPr="00734710" w:rsidRDefault="00084A68" w:rsidP="00084A68">
      <w:pPr>
        <w:spacing w:after="0" w:line="240" w:lineRule="auto"/>
        <w:jc w:val="right"/>
        <w:rPr>
          <w:rFonts w:eastAsia="Calibri" w:cs="Times New Roman"/>
          <w:sz w:val="48"/>
          <w:szCs w:val="48"/>
          <w:lang w:val="en-GB" w:bidi="en-US"/>
        </w:rPr>
      </w:pPr>
      <w:r>
        <w:rPr>
          <w:rFonts w:eastAsia="Calibri" w:cs="Times New Roman"/>
          <w:sz w:val="48"/>
          <w:szCs w:val="48"/>
          <w:lang w:val="en-GB" w:bidi="en-US"/>
        </w:rPr>
        <w:t>HR – Country information</w:t>
      </w:r>
    </w:p>
    <w:p w14:paraId="18AF8F01" w14:textId="77777777" w:rsidR="00084A68" w:rsidRDefault="00084A68" w:rsidP="00084A68">
      <w:pPr>
        <w:spacing w:after="0" w:line="240" w:lineRule="auto"/>
        <w:jc w:val="right"/>
        <w:rPr>
          <w:rFonts w:eastAsia="Calibri" w:cs="Times New Roman"/>
          <w:sz w:val="48"/>
          <w:szCs w:val="48"/>
          <w:lang w:val="en-GB" w:bidi="en-US"/>
        </w:rPr>
      </w:pPr>
    </w:p>
    <w:p w14:paraId="596C08CB" w14:textId="77777777" w:rsidR="00C531D7" w:rsidRPr="00734710" w:rsidRDefault="00C531D7" w:rsidP="00084A68">
      <w:pPr>
        <w:spacing w:after="0" w:line="240" w:lineRule="auto"/>
        <w:jc w:val="right"/>
        <w:rPr>
          <w:rFonts w:eastAsia="Calibri" w:cs="Times New Roman"/>
          <w:sz w:val="48"/>
          <w:szCs w:val="48"/>
          <w:lang w:val="en-GB" w:bidi="en-US"/>
        </w:rPr>
      </w:pPr>
    </w:p>
    <w:p w14:paraId="220DE21F" w14:textId="77777777" w:rsidR="00084A68" w:rsidRPr="00734710" w:rsidRDefault="00084A68" w:rsidP="00084A68">
      <w:pPr>
        <w:spacing w:after="0" w:line="240" w:lineRule="auto"/>
        <w:jc w:val="right"/>
        <w:rPr>
          <w:rFonts w:eastAsia="Calibri" w:cs="Times New Roman"/>
          <w:sz w:val="48"/>
          <w:szCs w:val="48"/>
          <w:lang w:val="en-GB" w:bidi="en-US"/>
        </w:rPr>
      </w:pPr>
      <w:r w:rsidRPr="00734710">
        <w:rPr>
          <w:rFonts w:eastAsia="Calibri" w:cs="Times New Roman"/>
          <w:sz w:val="48"/>
          <w:szCs w:val="48"/>
          <w:lang w:val="en-GB" w:bidi="en-US"/>
        </w:rPr>
        <w:t>Indicators on political participation</w:t>
      </w:r>
    </w:p>
    <w:p w14:paraId="09A8810D" w14:textId="77777777" w:rsidR="00084A68" w:rsidRDefault="00084A68" w:rsidP="00084A68">
      <w:pPr>
        <w:spacing w:after="0" w:line="240" w:lineRule="auto"/>
        <w:jc w:val="right"/>
        <w:rPr>
          <w:rFonts w:eastAsia="Calibri" w:cs="Times New Roman"/>
          <w:sz w:val="48"/>
          <w:szCs w:val="48"/>
          <w:lang w:val="en-GB" w:bidi="en-US"/>
        </w:rPr>
      </w:pPr>
      <w:proofErr w:type="gramStart"/>
      <w:r w:rsidRPr="00734710">
        <w:rPr>
          <w:rFonts w:eastAsia="Calibri" w:cs="Times New Roman"/>
          <w:sz w:val="48"/>
          <w:szCs w:val="48"/>
          <w:lang w:val="en-GB" w:bidi="en-US"/>
        </w:rPr>
        <w:t>of</w:t>
      </w:r>
      <w:proofErr w:type="gramEnd"/>
      <w:r w:rsidRPr="00734710">
        <w:rPr>
          <w:rFonts w:eastAsia="Calibri" w:cs="Times New Roman"/>
          <w:sz w:val="48"/>
          <w:szCs w:val="48"/>
          <w:lang w:val="en-GB" w:bidi="en-US"/>
        </w:rPr>
        <w:t xml:space="preserve"> persons with disabilities</w:t>
      </w:r>
    </w:p>
    <w:p w14:paraId="59890CE0" w14:textId="77777777" w:rsidR="00EA29A9" w:rsidRDefault="00EA29A9" w:rsidP="00084A68">
      <w:pPr>
        <w:spacing w:after="0" w:line="240" w:lineRule="auto"/>
        <w:jc w:val="right"/>
        <w:rPr>
          <w:rFonts w:eastAsia="Calibri" w:cs="Times New Roman"/>
          <w:sz w:val="48"/>
          <w:szCs w:val="48"/>
          <w:lang w:val="en-GB" w:bidi="en-US"/>
        </w:rPr>
      </w:pPr>
    </w:p>
    <w:p w14:paraId="79BFE3E9" w14:textId="33DCFE42" w:rsidR="00EA29A9" w:rsidRDefault="00EA29A9" w:rsidP="00084A68">
      <w:pPr>
        <w:spacing w:after="0" w:line="240" w:lineRule="auto"/>
        <w:jc w:val="right"/>
        <w:rPr>
          <w:rFonts w:eastAsia="Calibri" w:cs="Times New Roman"/>
          <w:sz w:val="48"/>
          <w:szCs w:val="48"/>
          <w:lang w:val="en-GB" w:bidi="en-US"/>
        </w:rPr>
      </w:pPr>
      <w:r>
        <w:rPr>
          <w:rFonts w:eastAsia="Calibri" w:cs="Times New Roman"/>
          <w:sz w:val="48"/>
          <w:szCs w:val="48"/>
          <w:lang w:val="en-GB" w:bidi="en-US"/>
        </w:rPr>
        <w:t>2014</w:t>
      </w:r>
    </w:p>
    <w:p w14:paraId="5197491F" w14:textId="77777777" w:rsidR="00EA29A9" w:rsidRDefault="00EA29A9" w:rsidP="00084A68">
      <w:pPr>
        <w:spacing w:after="0" w:line="240" w:lineRule="auto"/>
        <w:jc w:val="right"/>
        <w:rPr>
          <w:rFonts w:eastAsia="Calibri" w:cs="Times New Roman"/>
          <w:sz w:val="48"/>
          <w:szCs w:val="48"/>
          <w:lang w:val="en-GB" w:bidi="en-US"/>
        </w:rPr>
      </w:pPr>
    </w:p>
    <w:p w14:paraId="5FA97F24" w14:textId="77777777" w:rsidR="00EA29A9" w:rsidRDefault="00EA29A9" w:rsidP="00EA29A9">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proofErr w:type="gramStart"/>
      <w:r>
        <w:rPr>
          <w:rFonts w:ascii="Verdana" w:hAnsi="Verdana"/>
          <w:i/>
          <w:iCs/>
          <w:sz w:val="20"/>
          <w:szCs w:val="20"/>
          <w:lang w:val="en-IE"/>
        </w:rPr>
        <w:t>The</w:t>
      </w:r>
      <w:proofErr w:type="gramEnd"/>
      <w:r>
        <w:rPr>
          <w:rFonts w:ascii="Verdana" w:hAnsi="Verdana"/>
          <w:i/>
          <w:iCs/>
          <w:sz w:val="20"/>
          <w:szCs w:val="20"/>
          <w:lang w:val="en-IE"/>
        </w:rPr>
        <w:t xml:space="preserv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47F7660" w14:textId="77777777" w:rsidR="00EA29A9" w:rsidRDefault="00EA29A9" w:rsidP="00EA29A9">
      <w:pPr>
        <w:rPr>
          <w:lang w:bidi="en-US"/>
        </w:rPr>
      </w:pPr>
    </w:p>
    <w:p w14:paraId="6F84A935" w14:textId="39EBE187" w:rsidR="00084A68" w:rsidRDefault="00EA29A9">
      <w:pPr>
        <w:rPr>
          <w:rFonts w:ascii="Times New Roman" w:eastAsia="Calibri" w:hAnsi="Times New Roman" w:cs="Times New Roman"/>
          <w:b/>
          <w:sz w:val="24"/>
          <w:szCs w:val="24"/>
          <w:lang w:val="en-GB"/>
        </w:rPr>
      </w:pPr>
      <w:r>
        <w:rPr>
          <w:lang w:bidi="en-US"/>
        </w:rPr>
        <w:t>FRANET contractor: Croatian Law Centre</w:t>
      </w:r>
      <w:r w:rsidR="00084A68">
        <w:rPr>
          <w:rFonts w:ascii="Times New Roman" w:eastAsia="Calibri" w:hAnsi="Times New Roman" w:cs="Times New Roman"/>
          <w:b/>
          <w:sz w:val="24"/>
          <w:szCs w:val="24"/>
          <w:lang w:val="en-GB"/>
        </w:rPr>
        <w:br w:type="page"/>
      </w:r>
    </w:p>
    <w:p w14:paraId="4B2433A5" w14:textId="041688A4" w:rsidR="00342871" w:rsidRPr="00C531D7" w:rsidRDefault="00342871" w:rsidP="00C531D7">
      <w:pPr>
        <w:numPr>
          <w:ilvl w:val="0"/>
          <w:numId w:val="6"/>
        </w:numPr>
        <w:spacing w:after="0" w:line="240" w:lineRule="auto"/>
        <w:ind w:left="567" w:hanging="567"/>
        <w:contextualSpacing/>
        <w:jc w:val="both"/>
        <w:rPr>
          <w:rFonts w:ascii="Verdana" w:eastAsia="Calibri" w:hAnsi="Verdana" w:cs="Times New Roman"/>
          <w:b/>
          <w:sz w:val="24"/>
          <w:szCs w:val="24"/>
          <w:lang w:val="en-GB"/>
        </w:rPr>
      </w:pPr>
      <w:r w:rsidRPr="00C531D7">
        <w:rPr>
          <w:rFonts w:ascii="Verdana" w:eastAsia="Calibri" w:hAnsi="Verdana" w:cs="Times New Roman"/>
          <w:b/>
          <w:sz w:val="24"/>
          <w:szCs w:val="24"/>
          <w:lang w:val="en-GB"/>
        </w:rPr>
        <w:lastRenderedPageBreak/>
        <w:t>STRUCTURE INDICATORS</w:t>
      </w:r>
    </w:p>
    <w:p w14:paraId="4B2433A6" w14:textId="77777777" w:rsidR="00C95E57" w:rsidRPr="00C531D7" w:rsidRDefault="00C95E57" w:rsidP="00C531D7">
      <w:pPr>
        <w:spacing w:line="240" w:lineRule="auto"/>
        <w:contextualSpacing/>
        <w:jc w:val="both"/>
        <w:rPr>
          <w:rFonts w:ascii="Verdana" w:eastAsia="Calibri" w:hAnsi="Verdana" w:cs="Times New Roman"/>
          <w:sz w:val="20"/>
          <w:szCs w:val="20"/>
          <w:lang w:val="en-GB"/>
        </w:rPr>
      </w:pPr>
    </w:p>
    <w:tbl>
      <w:tblPr>
        <w:tblW w:w="13789" w:type="dxa"/>
        <w:tblInd w:w="-70" w:type="dxa"/>
        <w:tblLayout w:type="fixed"/>
        <w:tblLook w:val="0000" w:firstRow="0" w:lastRow="0" w:firstColumn="0" w:lastColumn="0" w:noHBand="0" w:noVBand="0"/>
      </w:tblPr>
      <w:tblGrid>
        <w:gridCol w:w="4009"/>
        <w:gridCol w:w="9780"/>
      </w:tblGrid>
      <w:tr w:rsidR="000309DC" w:rsidRPr="00C531D7" w14:paraId="5583AE70" w14:textId="77777777" w:rsidTr="000309DC">
        <w:trPr>
          <w:trHeight w:val="454"/>
        </w:trPr>
        <w:tc>
          <w:tcPr>
            <w:tcW w:w="4009" w:type="dxa"/>
            <w:tcBorders>
              <w:top w:val="single" w:sz="4" w:space="0" w:color="000000"/>
              <w:left w:val="single" w:sz="4" w:space="0" w:color="000000"/>
              <w:bottom w:val="single" w:sz="4" w:space="0" w:color="000000"/>
            </w:tcBorders>
            <w:shd w:val="clear" w:color="auto" w:fill="C6D9F1"/>
            <w:vAlign w:val="center"/>
          </w:tcPr>
          <w:p w14:paraId="66A49FCE" w14:textId="77777777" w:rsidR="000309DC" w:rsidRPr="00C531D7" w:rsidRDefault="000309DC" w:rsidP="00C531D7">
            <w:pPr>
              <w:spacing w:before="240" w:after="0" w:line="100" w:lineRule="atLeast"/>
              <w:jc w:val="both"/>
              <w:rPr>
                <w:rFonts w:ascii="Verdana" w:eastAsia="Calibri" w:hAnsi="Verdana" w:cs="Times New Roman"/>
                <w:b/>
                <w:sz w:val="20"/>
                <w:szCs w:val="20"/>
                <w:lang w:val="en-GB"/>
              </w:rPr>
            </w:pPr>
            <w:r w:rsidRPr="00C531D7">
              <w:rPr>
                <w:rFonts w:ascii="Verdana" w:eastAsia="Calibri" w:hAnsi="Verdana" w:cs="Times New Roman"/>
                <w:b/>
                <w:sz w:val="20"/>
                <w:szCs w:val="20"/>
                <w:lang w:val="en-GB"/>
              </w:rPr>
              <w:t>Structure indicators</w:t>
            </w:r>
          </w:p>
        </w:tc>
        <w:tc>
          <w:tcPr>
            <w:tcW w:w="97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BF3C93" w14:textId="77777777" w:rsidR="000309DC" w:rsidRPr="00C531D7" w:rsidRDefault="000309DC" w:rsidP="00C531D7">
            <w:pPr>
              <w:spacing w:before="240" w:after="0" w:line="100" w:lineRule="atLeast"/>
              <w:jc w:val="both"/>
              <w:rPr>
                <w:rFonts w:ascii="Verdana" w:eastAsia="Calibri" w:hAnsi="Verdana" w:cs="Times New Roman"/>
                <w:sz w:val="20"/>
                <w:szCs w:val="20"/>
                <w:lang w:val="en-GB"/>
              </w:rPr>
            </w:pPr>
            <w:r w:rsidRPr="00C531D7">
              <w:rPr>
                <w:rFonts w:ascii="Verdana" w:eastAsia="Calibri" w:hAnsi="Verdana" w:cs="Times New Roman"/>
                <w:b/>
                <w:sz w:val="20"/>
                <w:szCs w:val="20"/>
                <w:lang w:val="en-GB"/>
              </w:rPr>
              <w:t>Source and supporting information</w:t>
            </w:r>
          </w:p>
        </w:tc>
      </w:tr>
      <w:tr w:rsidR="000309DC" w:rsidRPr="00C531D7" w14:paraId="1CF355ED" w14:textId="77777777" w:rsidTr="000309DC">
        <w:trPr>
          <w:trHeight w:val="1578"/>
        </w:trPr>
        <w:tc>
          <w:tcPr>
            <w:tcW w:w="4009" w:type="dxa"/>
            <w:tcBorders>
              <w:top w:val="single" w:sz="4" w:space="0" w:color="000000"/>
              <w:left w:val="single" w:sz="4" w:space="0" w:color="000000"/>
              <w:bottom w:val="single" w:sz="4" w:space="0" w:color="000000"/>
            </w:tcBorders>
            <w:shd w:val="clear" w:color="auto" w:fill="auto"/>
            <w:vAlign w:val="center"/>
          </w:tcPr>
          <w:p w14:paraId="0CC6F6CF" w14:textId="77777777" w:rsidR="000309DC" w:rsidRPr="00C531D7" w:rsidRDefault="000309DC" w:rsidP="000309DC">
            <w:pPr>
              <w:spacing w:after="0"/>
              <w:jc w:val="both"/>
              <w:rPr>
                <w:rFonts w:ascii="Verdana" w:hAnsi="Verdana" w:cs="Times New Roman"/>
                <w:sz w:val="20"/>
                <w:szCs w:val="20"/>
              </w:rPr>
            </w:pPr>
            <w:r w:rsidRPr="00C531D7">
              <w:rPr>
                <w:rFonts w:ascii="Verdana" w:hAnsi="Verdana"/>
                <w:sz w:val="20"/>
                <w:szCs w:val="20"/>
              </w:rPr>
              <w:t>Has [country] ratified the CRPD without a reservation to Article 29? Please give details of any reservation.</w:t>
            </w: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053A" w14:textId="77777777" w:rsidR="000309DC" w:rsidRDefault="000309DC" w:rsidP="00C531D7">
            <w:pPr>
              <w:jc w:val="both"/>
              <w:rPr>
                <w:rFonts w:ascii="Verdana" w:hAnsi="Verdana"/>
                <w:sz w:val="20"/>
                <w:szCs w:val="20"/>
              </w:rPr>
            </w:pPr>
          </w:p>
          <w:p w14:paraId="7DDC67D2" w14:textId="77777777" w:rsidR="000309DC" w:rsidRDefault="000309DC" w:rsidP="00C531D7">
            <w:pPr>
              <w:jc w:val="both"/>
              <w:rPr>
                <w:rFonts w:ascii="Verdana" w:hAnsi="Verdana"/>
                <w:sz w:val="20"/>
                <w:szCs w:val="20"/>
              </w:rPr>
            </w:pPr>
          </w:p>
          <w:p w14:paraId="0B87D6C2" w14:textId="2CBCBF43" w:rsidR="000309DC" w:rsidRDefault="000309DC" w:rsidP="000309DC">
            <w:pPr>
              <w:spacing w:after="0"/>
              <w:jc w:val="both"/>
              <w:rPr>
                <w:rFonts w:ascii="Verdana" w:hAnsi="Verdana"/>
                <w:sz w:val="20"/>
                <w:szCs w:val="20"/>
              </w:rPr>
            </w:pPr>
            <w:r>
              <w:rPr>
                <w:rFonts w:ascii="Verdana" w:hAnsi="Verdana"/>
                <w:sz w:val="20"/>
                <w:szCs w:val="20"/>
              </w:rPr>
              <w:t>15 Aug 2007</w:t>
            </w:r>
            <w:r>
              <w:rPr>
                <w:rStyle w:val="FootnoteReference"/>
                <w:rFonts w:ascii="Verdana" w:hAnsi="Verdana"/>
                <w:sz w:val="20"/>
                <w:szCs w:val="20"/>
              </w:rPr>
              <w:footnoteReference w:id="1"/>
            </w:r>
          </w:p>
          <w:p w14:paraId="40050DE8" w14:textId="03F8FC04" w:rsidR="000309DC" w:rsidRPr="00C531D7" w:rsidRDefault="000309DC" w:rsidP="00C531D7">
            <w:pPr>
              <w:jc w:val="both"/>
              <w:rPr>
                <w:rFonts w:ascii="Verdana" w:eastAsia="Calibri" w:hAnsi="Verdana" w:cs="Times New Roman"/>
                <w:sz w:val="20"/>
                <w:szCs w:val="20"/>
                <w:lang w:val="en-GB"/>
              </w:rPr>
            </w:pPr>
          </w:p>
        </w:tc>
      </w:tr>
      <w:tr w:rsidR="000309DC" w:rsidRPr="00C531D7" w14:paraId="7C2EB7CC" w14:textId="77777777" w:rsidTr="000309DC">
        <w:trPr>
          <w:trHeight w:val="454"/>
        </w:trPr>
        <w:tc>
          <w:tcPr>
            <w:tcW w:w="4009" w:type="dxa"/>
            <w:tcBorders>
              <w:top w:val="single" w:sz="4" w:space="0" w:color="000000"/>
              <w:left w:val="single" w:sz="4" w:space="0" w:color="000000"/>
              <w:bottom w:val="single" w:sz="4" w:space="0" w:color="000000"/>
            </w:tcBorders>
            <w:shd w:val="clear" w:color="auto" w:fill="auto"/>
            <w:vAlign w:val="center"/>
          </w:tcPr>
          <w:p w14:paraId="6EF038F6" w14:textId="77777777" w:rsidR="000309DC" w:rsidRPr="00C531D7" w:rsidRDefault="000309DC" w:rsidP="00C531D7">
            <w:pPr>
              <w:jc w:val="both"/>
              <w:rPr>
                <w:rFonts w:ascii="Verdana" w:hAnsi="Verdana" w:cs="Times New Roman"/>
                <w:sz w:val="20"/>
                <w:szCs w:val="20"/>
              </w:rPr>
            </w:pPr>
            <w:r w:rsidRPr="00C531D7">
              <w:rPr>
                <w:rFonts w:ascii="Verdana" w:hAnsi="Verdana"/>
                <w:sz w:val="20"/>
                <w:szCs w:val="20"/>
              </w:rPr>
              <w:t>Has [country] ratified the CRPD without a reservation to Article 12? Please give details of any reservation.</w:t>
            </w: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33F0" w14:textId="77777777" w:rsidR="000309DC" w:rsidRDefault="000309DC" w:rsidP="00C531D7">
            <w:pPr>
              <w:jc w:val="both"/>
              <w:rPr>
                <w:rFonts w:ascii="Verdana" w:hAnsi="Verdana"/>
                <w:sz w:val="20"/>
                <w:szCs w:val="20"/>
              </w:rPr>
            </w:pPr>
          </w:p>
          <w:p w14:paraId="24067F24" w14:textId="77777777" w:rsidR="000309DC" w:rsidRDefault="000309DC" w:rsidP="00C531D7">
            <w:pPr>
              <w:jc w:val="both"/>
              <w:rPr>
                <w:rFonts w:ascii="Verdana" w:hAnsi="Verdana"/>
                <w:sz w:val="20"/>
                <w:szCs w:val="20"/>
              </w:rPr>
            </w:pPr>
            <w:r>
              <w:rPr>
                <w:rFonts w:ascii="Verdana" w:hAnsi="Verdana"/>
                <w:sz w:val="20"/>
                <w:szCs w:val="20"/>
              </w:rPr>
              <w:t>15 Aug 2007</w:t>
            </w:r>
            <w:r>
              <w:rPr>
                <w:rStyle w:val="FootnoteReference"/>
                <w:rFonts w:ascii="Verdana" w:hAnsi="Verdana"/>
                <w:sz w:val="20"/>
                <w:szCs w:val="20"/>
              </w:rPr>
              <w:footnoteReference w:id="2"/>
            </w:r>
          </w:p>
          <w:p w14:paraId="6E4C3233" w14:textId="27D4E829" w:rsidR="000309DC" w:rsidRPr="00C531D7" w:rsidRDefault="000309DC" w:rsidP="00C531D7">
            <w:pPr>
              <w:spacing w:before="240"/>
              <w:contextualSpacing/>
              <w:jc w:val="both"/>
              <w:rPr>
                <w:rFonts w:ascii="Verdana" w:eastAsia="Calibri" w:hAnsi="Verdana" w:cs="Times New Roman"/>
                <w:sz w:val="20"/>
                <w:szCs w:val="20"/>
                <w:lang w:val="en-GB"/>
              </w:rPr>
            </w:pPr>
          </w:p>
        </w:tc>
      </w:tr>
      <w:tr w:rsidR="000309DC" w:rsidRPr="00C531D7" w14:paraId="6FC07363"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79923A19" w14:textId="77777777" w:rsidR="000309DC" w:rsidRPr="00C531D7" w:rsidRDefault="000309DC" w:rsidP="00C531D7">
            <w:pPr>
              <w:jc w:val="both"/>
              <w:rPr>
                <w:rFonts w:ascii="Verdana" w:hAnsi="Verdana" w:cs="Times New Roman"/>
                <w:sz w:val="20"/>
                <w:szCs w:val="20"/>
              </w:rPr>
            </w:pPr>
            <w:r w:rsidRPr="00C531D7">
              <w:rPr>
                <w:rFonts w:ascii="Verdana" w:hAnsi="Verdana"/>
                <w:sz w:val="20"/>
                <w:szCs w:val="20"/>
              </w:rPr>
              <w:t>Has [country] ratified the CRPD without a reservation to Article 9? Please give details of any reservation.</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95F7A" w14:textId="77777777" w:rsidR="000309DC" w:rsidRDefault="000309DC" w:rsidP="00C531D7">
            <w:pPr>
              <w:jc w:val="both"/>
              <w:rPr>
                <w:rFonts w:ascii="Verdana" w:hAnsi="Verdana"/>
                <w:sz w:val="20"/>
                <w:szCs w:val="20"/>
              </w:rPr>
            </w:pPr>
          </w:p>
          <w:p w14:paraId="4A90744E" w14:textId="77777777" w:rsidR="000309DC" w:rsidRDefault="000309DC" w:rsidP="00C531D7">
            <w:pPr>
              <w:jc w:val="both"/>
              <w:rPr>
                <w:rFonts w:ascii="Verdana" w:hAnsi="Verdana"/>
                <w:sz w:val="20"/>
                <w:szCs w:val="20"/>
              </w:rPr>
            </w:pPr>
            <w:r>
              <w:rPr>
                <w:rFonts w:ascii="Verdana" w:hAnsi="Verdana"/>
                <w:sz w:val="20"/>
                <w:szCs w:val="20"/>
              </w:rPr>
              <w:t>15 Aug 2007</w:t>
            </w:r>
            <w:r>
              <w:rPr>
                <w:rStyle w:val="FootnoteReference"/>
                <w:rFonts w:ascii="Verdana" w:hAnsi="Verdana"/>
                <w:sz w:val="20"/>
                <w:szCs w:val="20"/>
              </w:rPr>
              <w:footnoteReference w:id="3"/>
            </w:r>
          </w:p>
          <w:p w14:paraId="324DDA67" w14:textId="799CA02A" w:rsidR="000309DC" w:rsidRPr="00C531D7" w:rsidRDefault="000309DC" w:rsidP="00C531D7">
            <w:pPr>
              <w:spacing w:before="240"/>
              <w:contextualSpacing/>
              <w:jc w:val="both"/>
              <w:rPr>
                <w:rFonts w:ascii="Verdana" w:eastAsia="Calibri" w:hAnsi="Verdana" w:cs="Times New Roman"/>
                <w:sz w:val="20"/>
                <w:szCs w:val="20"/>
                <w:lang w:val="en-GB"/>
              </w:rPr>
            </w:pPr>
          </w:p>
        </w:tc>
      </w:tr>
      <w:tr w:rsidR="000309DC" w:rsidRPr="00C531D7" w14:paraId="67FBE5BF"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34519F40" w14:textId="77777777" w:rsidR="000309DC" w:rsidRPr="00C531D7" w:rsidRDefault="000309DC" w:rsidP="00C531D7">
            <w:pPr>
              <w:jc w:val="both"/>
              <w:rPr>
                <w:rFonts w:ascii="Verdana" w:hAnsi="Verdana" w:cs="Times New Roman"/>
                <w:sz w:val="20"/>
                <w:szCs w:val="20"/>
              </w:rPr>
            </w:pPr>
            <w:r w:rsidRPr="00C531D7">
              <w:rPr>
                <w:rFonts w:ascii="Verdana" w:hAnsi="Verdana" w:cs="Times New Roman"/>
                <w:sz w:val="20"/>
                <w:szCs w:val="20"/>
              </w:rPr>
              <w:t xml:space="preserve">Please indicate the legislation which applies to European Parliament and municipal elections in your country. Please highlight possible amendments in view of the 2014 </w:t>
            </w:r>
            <w:r w:rsidRPr="00C531D7">
              <w:rPr>
                <w:rFonts w:ascii="Verdana" w:hAnsi="Verdana" w:cs="Times New Roman"/>
                <w:sz w:val="20"/>
                <w:szCs w:val="20"/>
              </w:rPr>
              <w:lastRenderedPageBreak/>
              <w:t>European Parliament elections.</w:t>
            </w:r>
          </w:p>
          <w:p w14:paraId="3A572E78" w14:textId="77777777" w:rsidR="000309DC" w:rsidRPr="00C531D7" w:rsidRDefault="000309DC" w:rsidP="00C531D7">
            <w:pPr>
              <w:jc w:val="both"/>
              <w:rPr>
                <w:rFonts w:ascii="Verdana" w:hAnsi="Verdana" w:cs="Times New Roman"/>
                <w:sz w:val="20"/>
                <w:szCs w:val="20"/>
              </w:rPr>
            </w:pPr>
          </w:p>
          <w:p w14:paraId="3D9E91BA" w14:textId="77777777" w:rsidR="000309DC" w:rsidRPr="00C531D7" w:rsidRDefault="000309DC" w:rsidP="00C531D7">
            <w:pPr>
              <w:jc w:val="both"/>
              <w:rPr>
                <w:rFonts w:ascii="Verdana" w:hAnsi="Verdana" w:cs="Times New Roman"/>
                <w:sz w:val="20"/>
                <w:szCs w:val="20"/>
                <w:highlight w:val="lightGray"/>
              </w:rPr>
            </w:pPr>
            <w:r w:rsidRPr="00C531D7">
              <w:rPr>
                <w:rFonts w:ascii="Verdana" w:hAnsi="Verdana" w:cs="Times New Roman"/>
                <w:sz w:val="20"/>
                <w:szCs w:val="20"/>
              </w:rPr>
              <w:t>Does the same law apply for national, federal, local and regional elections, and referendums?</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BBFDCE" w14:textId="2296258E" w:rsidR="000309DC" w:rsidRDefault="000309DC" w:rsidP="00C531D7">
            <w:pPr>
              <w:spacing w:before="240"/>
              <w:contextualSpacing/>
              <w:jc w:val="both"/>
              <w:rPr>
                <w:rFonts w:ascii="Verdana" w:hAnsi="Verdana" w:cs="Times New Roman"/>
                <w:sz w:val="20"/>
                <w:szCs w:val="20"/>
                <w:lang w:val="en-GB"/>
              </w:rPr>
            </w:pPr>
            <w:r w:rsidRPr="00B500B5">
              <w:rPr>
                <w:rFonts w:ascii="Verdana" w:eastAsia="Calibri" w:hAnsi="Verdana" w:cs="Times New Roman"/>
                <w:sz w:val="20"/>
                <w:szCs w:val="20"/>
                <w:u w:val="single"/>
                <w:lang w:val="en-GB"/>
              </w:rPr>
              <w:lastRenderedPageBreak/>
              <w:t>European Parliament elections</w:t>
            </w:r>
            <w:r>
              <w:rPr>
                <w:rFonts w:ascii="Verdana" w:hAnsi="Verdana" w:cs="Times New Roman"/>
                <w:sz w:val="20"/>
                <w:szCs w:val="20"/>
                <w:lang w:val="en-GB"/>
              </w:rPr>
              <w:t>:</w:t>
            </w:r>
            <w:r w:rsidRPr="00C531D7">
              <w:rPr>
                <w:rFonts w:ascii="Verdana" w:hAnsi="Verdana" w:cs="Times New Roman"/>
                <w:sz w:val="20"/>
                <w:szCs w:val="20"/>
                <w:lang w:val="en-GB"/>
              </w:rPr>
              <w:t xml:space="preserve"> Act on the Elections of Representatives from the Republic of Croatia to the European Parliament.</w:t>
            </w:r>
            <w:r w:rsidRPr="00C531D7">
              <w:rPr>
                <w:rStyle w:val="FootnoteReference"/>
                <w:rFonts w:ascii="Verdana" w:hAnsi="Verdana" w:cs="Times New Roman"/>
                <w:sz w:val="20"/>
                <w:szCs w:val="20"/>
                <w:lang w:val="en-GB"/>
              </w:rPr>
              <w:footnoteReference w:id="4"/>
            </w:r>
          </w:p>
          <w:p w14:paraId="73047850" w14:textId="0851B751" w:rsidR="000309DC" w:rsidRPr="00C531D7" w:rsidRDefault="000309DC" w:rsidP="00C531D7">
            <w:pPr>
              <w:jc w:val="both"/>
              <w:rPr>
                <w:rFonts w:ascii="Verdana" w:hAnsi="Verdana" w:cs="Times New Roman"/>
                <w:sz w:val="20"/>
                <w:szCs w:val="20"/>
                <w:lang w:val="en-GB"/>
              </w:rPr>
            </w:pPr>
            <w:r>
              <w:rPr>
                <w:rFonts w:ascii="Verdana" w:hAnsi="Verdana" w:cs="Times New Roman"/>
                <w:sz w:val="20"/>
                <w:szCs w:val="20"/>
                <w:lang w:val="en-GB"/>
              </w:rPr>
              <w:t>Article 4</w:t>
            </w:r>
            <w:r w:rsidRPr="00C531D7">
              <w:rPr>
                <w:rFonts w:ascii="Verdana" w:hAnsi="Verdana" w:cs="Times New Roman"/>
                <w:sz w:val="20"/>
                <w:szCs w:val="20"/>
                <w:lang w:val="en-GB"/>
              </w:rPr>
              <w:t xml:space="preserve"> of the 2013 amendments</w:t>
            </w:r>
            <w:r w:rsidRPr="00C531D7">
              <w:rPr>
                <w:rFonts w:ascii="Verdana" w:eastAsia="Calibri" w:hAnsi="Verdana" w:cs="Times New Roman"/>
                <w:sz w:val="20"/>
                <w:szCs w:val="20"/>
                <w:vertAlign w:val="superscript"/>
                <w:lang w:bidi="en-US"/>
              </w:rPr>
              <w:footnoteReference w:id="5"/>
            </w:r>
            <w:r>
              <w:rPr>
                <w:rFonts w:ascii="Verdana" w:hAnsi="Verdana" w:cs="Times New Roman"/>
                <w:sz w:val="20"/>
                <w:szCs w:val="20"/>
                <w:lang w:val="en-GB"/>
              </w:rPr>
              <w:t xml:space="preserve"> modified the original Art. 5(2) </w:t>
            </w:r>
            <w:r w:rsidRPr="00C531D7">
              <w:rPr>
                <w:rFonts w:ascii="Verdana" w:hAnsi="Verdana" w:cs="Times New Roman"/>
                <w:sz w:val="20"/>
                <w:szCs w:val="20"/>
                <w:lang w:val="en-GB"/>
              </w:rPr>
              <w:t>to remove the exclusion of candidates who are non-national EU citizens and those who have lost legal capacity by a final court decision.</w:t>
            </w:r>
          </w:p>
          <w:p w14:paraId="4912E336" w14:textId="25A2F6D7" w:rsidR="000309DC" w:rsidRPr="00C531D7" w:rsidRDefault="000309DC" w:rsidP="00C531D7">
            <w:pPr>
              <w:jc w:val="both"/>
              <w:rPr>
                <w:rFonts w:ascii="Verdana" w:hAnsi="Verdana" w:cs="Times New Roman"/>
                <w:sz w:val="20"/>
                <w:szCs w:val="20"/>
                <w:lang w:val="en-GB"/>
              </w:rPr>
            </w:pPr>
            <w:r w:rsidRPr="00B500B5">
              <w:rPr>
                <w:rFonts w:ascii="Verdana" w:hAnsi="Verdana" w:cs="Times New Roman"/>
                <w:sz w:val="20"/>
                <w:szCs w:val="20"/>
                <w:u w:val="single"/>
                <w:lang w:val="en-GB"/>
              </w:rPr>
              <w:lastRenderedPageBreak/>
              <w:t>Municipal elections</w:t>
            </w:r>
            <w:r>
              <w:rPr>
                <w:rFonts w:ascii="Verdana" w:hAnsi="Verdana" w:cs="Times New Roman"/>
                <w:sz w:val="20"/>
                <w:szCs w:val="20"/>
                <w:lang w:val="en-GB"/>
              </w:rPr>
              <w:t xml:space="preserve">: </w:t>
            </w:r>
            <w:r w:rsidRPr="00C531D7">
              <w:rPr>
                <w:rFonts w:ascii="Verdana" w:hAnsi="Verdana" w:cs="Times New Roman"/>
                <w:sz w:val="20"/>
                <w:szCs w:val="20"/>
                <w:lang w:val="en-GB"/>
              </w:rPr>
              <w:t>2012 Act on Local Elections</w:t>
            </w:r>
            <w:r w:rsidRPr="00C531D7">
              <w:rPr>
                <w:rStyle w:val="FootnoteReference"/>
                <w:rFonts w:ascii="Verdana" w:hAnsi="Verdana" w:cs="Times New Roman"/>
                <w:sz w:val="20"/>
                <w:szCs w:val="20"/>
                <w:lang w:val="en-GB"/>
              </w:rPr>
              <w:footnoteReference w:id="6"/>
            </w:r>
            <w:r w:rsidRPr="00C531D7">
              <w:rPr>
                <w:rFonts w:ascii="Verdana" w:hAnsi="Verdana" w:cs="Times New Roman"/>
                <w:sz w:val="20"/>
                <w:szCs w:val="20"/>
                <w:lang w:val="en-GB"/>
              </w:rPr>
              <w:t>.</w:t>
            </w:r>
          </w:p>
          <w:p w14:paraId="49F2F37F" w14:textId="140677DE" w:rsidR="000309DC" w:rsidRPr="00C531D7" w:rsidRDefault="000309DC" w:rsidP="00C531D7">
            <w:pPr>
              <w:jc w:val="both"/>
              <w:rPr>
                <w:rFonts w:ascii="Verdana" w:hAnsi="Verdana" w:cs="Times New Roman"/>
                <w:sz w:val="20"/>
                <w:szCs w:val="20"/>
                <w:lang w:val="en-GB"/>
              </w:rPr>
            </w:pPr>
            <w:r w:rsidRPr="00B500B5">
              <w:rPr>
                <w:rFonts w:ascii="Verdana" w:hAnsi="Verdana" w:cs="Times New Roman"/>
                <w:sz w:val="20"/>
                <w:szCs w:val="20"/>
                <w:u w:val="single"/>
                <w:lang w:val="en-GB"/>
              </w:rPr>
              <w:t>Parliamentary elections</w:t>
            </w:r>
            <w:r>
              <w:rPr>
                <w:rFonts w:ascii="Verdana" w:hAnsi="Verdana" w:cs="Times New Roman"/>
                <w:sz w:val="20"/>
                <w:szCs w:val="20"/>
                <w:lang w:val="en-GB"/>
              </w:rPr>
              <w:t>:</w:t>
            </w:r>
            <w:r w:rsidRPr="00C531D7">
              <w:rPr>
                <w:rFonts w:cs="Times New Roman"/>
              </w:rPr>
              <w:t xml:space="preserve"> Act on the Elections of Representatives to the Croatian Parliament</w:t>
            </w:r>
            <w:r w:rsidRPr="00C531D7">
              <w:rPr>
                <w:rStyle w:val="FootnoteReference"/>
                <w:rFonts w:ascii="Verdana" w:hAnsi="Verdana" w:cs="Times New Roman"/>
                <w:sz w:val="20"/>
                <w:szCs w:val="20"/>
                <w:lang w:val="en-GB"/>
              </w:rPr>
              <w:footnoteReference w:id="7"/>
            </w:r>
          </w:p>
          <w:p w14:paraId="007579B6" w14:textId="2355496C" w:rsidR="000309DC" w:rsidRPr="00CF0728" w:rsidRDefault="000309DC" w:rsidP="00C531D7">
            <w:pPr>
              <w:jc w:val="both"/>
              <w:rPr>
                <w:rFonts w:ascii="Verdana" w:hAnsi="Verdana" w:cs="Times New Roman"/>
                <w:sz w:val="20"/>
                <w:szCs w:val="20"/>
              </w:rPr>
            </w:pPr>
            <w:r w:rsidRPr="00CF0728">
              <w:rPr>
                <w:rFonts w:ascii="Verdana" w:hAnsi="Verdana" w:cs="Times New Roman"/>
                <w:sz w:val="20"/>
                <w:szCs w:val="20"/>
                <w:u w:val="single"/>
                <w:lang w:val="en-GB"/>
              </w:rPr>
              <w:t>Presidential elections</w:t>
            </w:r>
            <w:r w:rsidRPr="00CF0728">
              <w:rPr>
                <w:rFonts w:ascii="Verdana" w:hAnsi="Verdana" w:cs="Times New Roman"/>
                <w:sz w:val="20"/>
                <w:szCs w:val="20"/>
                <w:lang w:val="en-GB"/>
              </w:rPr>
              <w:t xml:space="preserve">: </w:t>
            </w:r>
            <w:r w:rsidRPr="00CF0728">
              <w:rPr>
                <w:rFonts w:ascii="Verdana" w:hAnsi="Verdana" w:cs="Times New Roman"/>
                <w:sz w:val="20"/>
                <w:szCs w:val="20"/>
              </w:rPr>
              <w:t>Act on Presidential Elections</w:t>
            </w:r>
            <w:r w:rsidRPr="00CF0728">
              <w:rPr>
                <w:rStyle w:val="FootnoteReference"/>
                <w:rFonts w:ascii="Verdana" w:hAnsi="Verdana" w:cs="Times New Roman"/>
                <w:sz w:val="20"/>
                <w:szCs w:val="20"/>
                <w:lang w:val="en-GB"/>
              </w:rPr>
              <w:footnoteReference w:id="8"/>
            </w:r>
          </w:p>
          <w:p w14:paraId="2E0A9B7D" w14:textId="3987D39A" w:rsidR="000309DC" w:rsidRPr="00C531D7" w:rsidRDefault="000309DC" w:rsidP="00CF0728">
            <w:pPr>
              <w:jc w:val="both"/>
              <w:rPr>
                <w:rFonts w:ascii="Verdana" w:eastAsia="Calibri" w:hAnsi="Verdana" w:cs="Times New Roman"/>
                <w:sz w:val="20"/>
                <w:szCs w:val="20"/>
                <w:lang w:val="en-GB"/>
              </w:rPr>
            </w:pPr>
            <w:r w:rsidRPr="00CF0728">
              <w:rPr>
                <w:rFonts w:ascii="Verdana" w:hAnsi="Verdana" w:cs="Times New Roman"/>
                <w:sz w:val="20"/>
                <w:szCs w:val="20"/>
                <w:u w:val="single"/>
              </w:rPr>
              <w:t>Referenda:</w:t>
            </w:r>
            <w:r w:rsidRPr="00CF0728">
              <w:rPr>
                <w:rFonts w:ascii="Verdana" w:hAnsi="Verdana" w:cs="Times New Roman"/>
                <w:sz w:val="20"/>
                <w:szCs w:val="20"/>
              </w:rPr>
              <w:t xml:space="preserve"> Act on the Referendum and Other Forms of Personal Participation in Government and Local and Regional Self-Government</w:t>
            </w:r>
            <w:r w:rsidRPr="00CF0728">
              <w:rPr>
                <w:rStyle w:val="FootnoteReference"/>
                <w:rFonts w:ascii="Verdana" w:hAnsi="Verdana" w:cs="Times New Roman"/>
                <w:sz w:val="20"/>
                <w:szCs w:val="20"/>
                <w:lang w:val="en-GB"/>
              </w:rPr>
              <w:footnoteReference w:id="9"/>
            </w:r>
            <w:r w:rsidRPr="00CF0728">
              <w:rPr>
                <w:rFonts w:ascii="Verdana" w:hAnsi="Verdana" w:cs="Times New Roman"/>
                <w:sz w:val="20"/>
                <w:szCs w:val="20"/>
                <w:lang w:val="en-GB"/>
              </w:rPr>
              <w:t>.</w:t>
            </w:r>
          </w:p>
        </w:tc>
      </w:tr>
      <w:tr w:rsidR="000309DC" w:rsidRPr="00C531D7" w14:paraId="5A43291E"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1B5E48F1"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Is there a requirement under law to register to vote? If so, please specify the relevant legislation.</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37A3D" w14:textId="26DAFCCC" w:rsidR="000309DC" w:rsidRDefault="000309DC" w:rsidP="00C531D7">
            <w:pPr>
              <w:jc w:val="both"/>
              <w:rPr>
                <w:rFonts w:ascii="Verdana" w:hAnsi="Verdana" w:cstheme="minorHAnsi"/>
                <w:sz w:val="20"/>
                <w:szCs w:val="20"/>
                <w:lang w:val="de-AT"/>
              </w:rPr>
            </w:pPr>
            <w:r>
              <w:rPr>
                <w:rFonts w:ascii="Verdana" w:hAnsi="Verdana" w:cs="Times New Roman"/>
                <w:sz w:val="20"/>
                <w:szCs w:val="20"/>
                <w:lang w:val="en-GB"/>
              </w:rPr>
              <w:t>The</w:t>
            </w:r>
            <w:r w:rsidRPr="00C531D7">
              <w:rPr>
                <w:rFonts w:ascii="Verdana" w:hAnsi="Verdana" w:cs="Times New Roman"/>
                <w:sz w:val="20"/>
                <w:szCs w:val="20"/>
                <w:lang w:val="en-GB"/>
              </w:rPr>
              <w:t xml:space="preserve"> Act on Voter Registry</w:t>
            </w:r>
            <w:r>
              <w:rPr>
                <w:rFonts w:ascii="Verdana" w:hAnsi="Verdana" w:cs="Times New Roman"/>
                <w:sz w:val="20"/>
                <w:szCs w:val="20"/>
                <w:lang w:val="en-GB"/>
              </w:rPr>
              <w:t>, which came into force in December 2012</w:t>
            </w:r>
            <w:r w:rsidRPr="00C531D7">
              <w:rPr>
                <w:rFonts w:ascii="Verdana" w:hAnsi="Verdana" w:cs="Times New Roman"/>
                <w:sz w:val="20"/>
                <w:szCs w:val="20"/>
                <w:lang w:val="en-GB"/>
              </w:rPr>
              <w:t xml:space="preserve"> (</w:t>
            </w:r>
            <w:proofErr w:type="spellStart"/>
            <w:r w:rsidRPr="00C531D7">
              <w:rPr>
                <w:rFonts w:ascii="Verdana" w:hAnsi="Verdana" w:cs="Times New Roman"/>
                <w:i/>
                <w:sz w:val="20"/>
                <w:szCs w:val="20"/>
                <w:lang w:val="en-GB"/>
              </w:rPr>
              <w:t>Zakon</w:t>
            </w:r>
            <w:proofErr w:type="spellEnd"/>
            <w:r w:rsidRPr="00C531D7">
              <w:rPr>
                <w:rFonts w:ascii="Verdana" w:hAnsi="Verdana" w:cs="Times New Roman"/>
                <w:i/>
                <w:sz w:val="20"/>
                <w:szCs w:val="20"/>
                <w:lang w:val="en-GB"/>
              </w:rPr>
              <w:t xml:space="preserve"> o </w:t>
            </w:r>
            <w:proofErr w:type="spellStart"/>
            <w:r w:rsidRPr="00C531D7">
              <w:rPr>
                <w:rFonts w:ascii="Verdana" w:hAnsi="Verdana" w:cs="Times New Roman"/>
                <w:i/>
                <w:sz w:val="20"/>
                <w:szCs w:val="20"/>
                <w:lang w:val="en-GB"/>
              </w:rPr>
              <w:t>registru</w:t>
            </w:r>
            <w:proofErr w:type="spellEnd"/>
            <w:r w:rsidRPr="00C531D7">
              <w:rPr>
                <w:rFonts w:ascii="Verdana" w:hAnsi="Verdana" w:cs="Times New Roman"/>
                <w:i/>
                <w:sz w:val="20"/>
                <w:szCs w:val="20"/>
                <w:lang w:val="en-GB"/>
              </w:rPr>
              <w:t xml:space="preserve"> </w:t>
            </w:r>
            <w:proofErr w:type="spellStart"/>
            <w:proofErr w:type="gramStart"/>
            <w:r w:rsidRPr="00C531D7">
              <w:rPr>
                <w:rFonts w:ascii="Verdana" w:hAnsi="Verdana" w:cs="Times New Roman"/>
                <w:i/>
                <w:sz w:val="20"/>
                <w:szCs w:val="20"/>
                <w:lang w:val="en-GB"/>
              </w:rPr>
              <w:t>birača</w:t>
            </w:r>
            <w:proofErr w:type="spellEnd"/>
            <w:r w:rsidRPr="00C531D7">
              <w:rPr>
                <w:rFonts w:ascii="Verdana" w:hAnsi="Verdana" w:cs="Times New Roman"/>
                <w:sz w:val="20"/>
                <w:szCs w:val="20"/>
                <w:lang w:val="en-GB"/>
              </w:rPr>
              <w:t>)</w:t>
            </w:r>
            <w:proofErr w:type="gramEnd"/>
            <w:r w:rsidRPr="00C531D7">
              <w:rPr>
                <w:rStyle w:val="FootnoteReference"/>
                <w:rFonts w:ascii="Verdana" w:hAnsi="Verdana" w:cs="Times New Roman"/>
                <w:sz w:val="20"/>
                <w:szCs w:val="20"/>
                <w:lang w:val="en-GB"/>
              </w:rPr>
              <w:footnoteReference w:id="10"/>
            </w:r>
            <w:r w:rsidRPr="00C531D7">
              <w:rPr>
                <w:rFonts w:ascii="Verdana" w:hAnsi="Verdana" w:cs="Times New Roman"/>
                <w:sz w:val="20"/>
                <w:szCs w:val="20"/>
                <w:lang w:val="en-GB"/>
              </w:rPr>
              <w:t xml:space="preserve"> defines all issues in relation to voter registration and lists of voters. Art. 11 stipulates that </w:t>
            </w:r>
            <w:r w:rsidRPr="00C531D7">
              <w:rPr>
                <w:rStyle w:val="hps"/>
                <w:rFonts w:ascii="Verdana" w:hAnsi="Verdana" w:cs="Times New Roman"/>
                <w:sz w:val="20"/>
                <w:szCs w:val="20"/>
                <w:lang w:val="en-GB"/>
              </w:rPr>
              <w:t>entries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 the register</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voters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shall be</w:t>
            </w:r>
            <w:r w:rsidRPr="00C531D7">
              <w:rPr>
                <w:rFonts w:ascii="Verdana" w:hAnsi="Verdana" w:cs="Times New Roman"/>
                <w:sz w:val="20"/>
                <w:szCs w:val="20"/>
                <w:lang w:val="en-GB"/>
              </w:rPr>
              <w:t xml:space="preserve"> made </w:t>
            </w:r>
            <w:r w:rsidRPr="00C531D7">
              <w:rPr>
                <w:rStyle w:val="hps"/>
                <w:rFonts w:ascii="Verdana" w:hAnsi="Verdana" w:cs="Times New Roman"/>
                <w:sz w:val="20"/>
                <w:szCs w:val="20"/>
                <w:lang w:val="en-GB"/>
              </w:rPr>
              <w:t>on the basis of</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data</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from the records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citizenship</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data collections/data basis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on permanent</w:t>
            </w:r>
            <w:r w:rsidRPr="00C531D7">
              <w:rPr>
                <w:rFonts w:ascii="Verdana" w:hAnsi="Verdana" w:cs="Times New Roman"/>
                <w:sz w:val="20"/>
                <w:szCs w:val="20"/>
                <w:lang w:val="en-GB"/>
              </w:rPr>
              <w:t xml:space="preserve"> residence and domicile, </w:t>
            </w:r>
            <w:r w:rsidRPr="00C531D7">
              <w:rPr>
                <w:rStyle w:val="hps"/>
                <w:rFonts w:ascii="Verdana" w:hAnsi="Verdana" w:cs="Times New Roman"/>
                <w:sz w:val="20"/>
                <w:szCs w:val="20"/>
                <w:lang w:val="en-GB"/>
              </w:rPr>
              <w:t>and records of</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travel documents</w:t>
            </w:r>
            <w:r w:rsidRPr="00C531D7">
              <w:rPr>
                <w:rFonts w:ascii="Verdana" w:hAnsi="Verdana" w:cs="Times New Roman"/>
                <w:sz w:val="20"/>
                <w:szCs w:val="20"/>
                <w:lang w:val="en-GB"/>
              </w:rPr>
              <w:t>.</w:t>
            </w:r>
            <w:r w:rsidRPr="00C531D7">
              <w:rPr>
                <w:rFonts w:ascii="Verdana" w:hAnsi="Verdana" w:cstheme="minorHAnsi"/>
                <w:sz w:val="20"/>
                <w:szCs w:val="20"/>
                <w:lang w:val="de-AT"/>
              </w:rPr>
              <w:t xml:space="preserve"> </w:t>
            </w:r>
          </w:p>
          <w:p w14:paraId="28AA7E63" w14:textId="2C1544E9" w:rsidR="000309DC" w:rsidRPr="00C531D7" w:rsidRDefault="000309DC" w:rsidP="00C531D7">
            <w:pPr>
              <w:jc w:val="both"/>
              <w:rPr>
                <w:rFonts w:ascii="Verdana" w:hAnsi="Verdana" w:cs="Times New Roman"/>
                <w:sz w:val="20"/>
                <w:szCs w:val="20"/>
                <w:lang w:val="en-GB"/>
              </w:rPr>
            </w:pPr>
            <w:r w:rsidRPr="00C531D7">
              <w:rPr>
                <w:rFonts w:ascii="Verdana" w:hAnsi="Verdana" w:cstheme="minorHAnsi"/>
                <w:sz w:val="20"/>
                <w:szCs w:val="20"/>
                <w:lang w:val="de-AT"/>
              </w:rPr>
              <w:t xml:space="preserve">The </w:t>
            </w:r>
            <w:proofErr w:type="spellStart"/>
            <w:r w:rsidRPr="00C531D7">
              <w:rPr>
                <w:rFonts w:ascii="Verdana" w:hAnsi="Verdana" w:cstheme="minorHAnsi"/>
                <w:sz w:val="20"/>
                <w:szCs w:val="20"/>
                <w:lang w:val="de-AT"/>
              </w:rPr>
              <w:t>voters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register</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is</w:t>
            </w:r>
            <w:proofErr w:type="spellEnd"/>
            <w:r w:rsidRPr="00C531D7">
              <w:rPr>
                <w:rFonts w:ascii="Verdana" w:hAnsi="Verdana" w:cstheme="minorHAnsi"/>
                <w:sz w:val="20"/>
                <w:szCs w:val="20"/>
                <w:lang w:val="de-AT"/>
              </w:rPr>
              <w:t xml:space="preserve"> a </w:t>
            </w:r>
            <w:proofErr w:type="spellStart"/>
            <w:r w:rsidRPr="00C531D7">
              <w:rPr>
                <w:rFonts w:ascii="Verdana" w:hAnsi="Verdana" w:cstheme="minorHAnsi"/>
                <w:sz w:val="20"/>
                <w:szCs w:val="20"/>
                <w:lang w:val="de-AT"/>
              </w:rPr>
              <w:t>collection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personal </w:t>
            </w:r>
            <w:proofErr w:type="spellStart"/>
            <w:r w:rsidRPr="00C531D7">
              <w:rPr>
                <w:rFonts w:ascii="Verdana" w:hAnsi="Verdana" w:cstheme="minorHAnsi"/>
                <w:sz w:val="20"/>
                <w:szCs w:val="20"/>
                <w:lang w:val="de-AT"/>
              </w:rPr>
              <w:t>data</w:t>
            </w:r>
            <w:proofErr w:type="spellEnd"/>
            <w:r w:rsidRPr="00C531D7">
              <w:rPr>
                <w:rFonts w:ascii="Verdana" w:hAnsi="Verdana" w:cstheme="minorHAnsi"/>
                <w:sz w:val="20"/>
                <w:szCs w:val="20"/>
                <w:lang w:val="de-AT"/>
              </w:rPr>
              <w:t xml:space="preserve"> on </w:t>
            </w:r>
            <w:proofErr w:type="spellStart"/>
            <w:r w:rsidRPr="00C531D7">
              <w:rPr>
                <w:rFonts w:ascii="Verdana" w:hAnsi="Verdana" w:cstheme="minorHAnsi"/>
                <w:sz w:val="20"/>
                <w:szCs w:val="20"/>
                <w:lang w:val="de-AT"/>
              </w:rPr>
              <w:t>voting</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rights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all </w:t>
            </w:r>
            <w:proofErr w:type="spellStart"/>
            <w:r w:rsidRPr="00C531D7">
              <w:rPr>
                <w:rFonts w:ascii="Verdana" w:hAnsi="Verdana" w:cstheme="minorHAnsi"/>
                <w:sz w:val="20"/>
                <w:szCs w:val="20"/>
                <w:lang w:val="de-AT"/>
              </w:rPr>
              <w:t>persons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with</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voting</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rights</w:t>
            </w:r>
            <w:proofErr w:type="spellEnd"/>
            <w:r w:rsidRPr="00C531D7">
              <w:rPr>
                <w:rFonts w:ascii="Verdana" w:hAnsi="Verdana" w:cstheme="minorHAnsi"/>
                <w:sz w:val="20"/>
                <w:szCs w:val="20"/>
                <w:lang w:val="de-AT"/>
              </w:rPr>
              <w:t xml:space="preserve"> in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Republic</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Croatia</w:t>
            </w:r>
            <w:proofErr w:type="spellEnd"/>
            <w:r w:rsidRPr="00C531D7">
              <w:rPr>
                <w:rFonts w:ascii="Verdana" w:hAnsi="Verdana" w:cstheme="minorHAnsi"/>
                <w:sz w:val="20"/>
                <w:szCs w:val="20"/>
                <w:lang w:val="de-AT"/>
              </w:rPr>
              <w:t xml:space="preserve">. After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registry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is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completed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and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closed</w:t>
            </w:r>
            <w:proofErr w:type="spellEnd"/>
            <w:r w:rsidRPr="00C531D7">
              <w:rPr>
                <w:rFonts w:ascii="Verdana" w:hAnsi="Verdana" w:cstheme="minorHAnsi"/>
                <w:sz w:val="20"/>
                <w:szCs w:val="20"/>
                <w:lang w:val="de-AT"/>
              </w:rPr>
              <w:t xml:space="preserve">, a </w:t>
            </w:r>
            <w:proofErr w:type="spellStart"/>
            <w:r w:rsidRPr="00C531D7">
              <w:rPr>
                <w:rFonts w:ascii="Verdana" w:hAnsi="Verdana" w:cstheme="minorHAnsi"/>
                <w:sz w:val="20"/>
                <w:szCs w:val="20"/>
                <w:lang w:val="de-AT"/>
              </w:rPr>
              <w:t>list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voters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is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drawn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up</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based</w:t>
            </w:r>
            <w:proofErr w:type="spellEnd"/>
            <w:r w:rsidRPr="00C531D7">
              <w:rPr>
                <w:rFonts w:ascii="Verdana" w:hAnsi="Verdana" w:cstheme="minorHAnsi"/>
                <w:sz w:val="20"/>
                <w:szCs w:val="20"/>
                <w:lang w:val="de-AT"/>
              </w:rPr>
              <w:t xml:space="preserve"> on it. The </w:t>
            </w:r>
            <w:proofErr w:type="spellStart"/>
            <w:r w:rsidRPr="00C531D7">
              <w:rPr>
                <w:rFonts w:ascii="Verdana" w:hAnsi="Verdana" w:cstheme="minorHAnsi"/>
                <w:sz w:val="20"/>
                <w:szCs w:val="20"/>
                <w:lang w:val="de-AT"/>
              </w:rPr>
              <w:t>list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voters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serves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as</w:t>
            </w:r>
            <w:proofErr w:type="spellEnd"/>
            <w:r w:rsidRPr="00C531D7">
              <w:rPr>
                <w:rFonts w:ascii="Verdana" w:hAnsi="Verdana" w:cstheme="minorHAnsi"/>
                <w:sz w:val="20"/>
                <w:szCs w:val="20"/>
                <w:lang w:val="de-AT"/>
              </w:rPr>
              <w:t xml:space="preserve"> a </w:t>
            </w:r>
            <w:proofErr w:type="spellStart"/>
            <w:r w:rsidRPr="00C531D7">
              <w:rPr>
                <w:rFonts w:ascii="Verdana" w:hAnsi="Verdana" w:cstheme="minorHAnsi"/>
                <w:sz w:val="20"/>
                <w:szCs w:val="20"/>
                <w:lang w:val="de-AT"/>
              </w:rPr>
              <w:t>basis</w:t>
            </w:r>
            <w:proofErr w:type="spellEnd"/>
            <w:r w:rsidRPr="00C531D7">
              <w:rPr>
                <w:rFonts w:ascii="Verdana" w:hAnsi="Verdana" w:cstheme="minorHAnsi"/>
                <w:sz w:val="20"/>
                <w:szCs w:val="20"/>
                <w:lang w:val="de-AT"/>
              </w:rPr>
              <w:t xml:space="preserve"> for </w:t>
            </w:r>
            <w:proofErr w:type="spellStart"/>
            <w:r w:rsidRPr="00C531D7">
              <w:rPr>
                <w:rFonts w:ascii="Verdana" w:hAnsi="Verdana" w:cstheme="minorHAnsi"/>
                <w:sz w:val="20"/>
                <w:szCs w:val="20"/>
                <w:lang w:val="de-AT"/>
              </w:rPr>
              <w:t>voting</w:t>
            </w:r>
            <w:proofErr w:type="spellEnd"/>
            <w:r w:rsidRPr="00C531D7">
              <w:rPr>
                <w:rFonts w:ascii="Verdana" w:hAnsi="Verdana" w:cstheme="minorHAnsi"/>
                <w:sz w:val="20"/>
                <w:szCs w:val="20"/>
                <w:lang w:val="de-AT"/>
              </w:rPr>
              <w:t xml:space="preserve"> at </w:t>
            </w:r>
            <w:proofErr w:type="spellStart"/>
            <w:r w:rsidRPr="00C531D7">
              <w:rPr>
                <w:rFonts w:ascii="Verdana" w:hAnsi="Verdana" w:cstheme="minorHAnsi"/>
                <w:sz w:val="20"/>
                <w:szCs w:val="20"/>
                <w:lang w:val="de-AT"/>
              </w:rPr>
              <w:t>elections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and</w:t>
            </w:r>
            <w:proofErr w:type="spellEnd"/>
            <w:r w:rsidRPr="00C531D7">
              <w:rPr>
                <w:rFonts w:ascii="Verdana" w:hAnsi="Verdana" w:cstheme="minorHAnsi"/>
                <w:sz w:val="20"/>
                <w:szCs w:val="20"/>
                <w:lang w:val="de-AT"/>
              </w:rPr>
              <w:t xml:space="preserve"> in </w:t>
            </w:r>
            <w:proofErr w:type="spellStart"/>
            <w:r w:rsidRPr="00C531D7">
              <w:rPr>
                <w:rFonts w:ascii="Verdana" w:hAnsi="Verdana" w:cstheme="minorHAnsi"/>
                <w:sz w:val="20"/>
                <w:szCs w:val="20"/>
                <w:lang w:val="de-AT"/>
              </w:rPr>
              <w:t>referenda</w:t>
            </w:r>
            <w:proofErr w:type="spellEnd"/>
            <w:r w:rsidRPr="00C531D7">
              <w:rPr>
                <w:rFonts w:ascii="Verdana" w:hAnsi="Verdana" w:cstheme="minorHAnsi"/>
                <w:sz w:val="20"/>
                <w:szCs w:val="20"/>
                <w:lang w:val="de-AT"/>
              </w:rPr>
              <w:t>.</w:t>
            </w:r>
          </w:p>
          <w:p w14:paraId="10A55F99" w14:textId="19264CE1" w:rsidR="000309DC" w:rsidRDefault="000309DC" w:rsidP="00C531D7">
            <w:pPr>
              <w:spacing w:before="240"/>
              <w:contextualSpacing/>
              <w:jc w:val="both"/>
              <w:rPr>
                <w:rFonts w:ascii="Verdana" w:hAnsi="Verdana" w:cs="Times New Roman"/>
                <w:color w:val="000000"/>
                <w:sz w:val="20"/>
                <w:szCs w:val="20"/>
                <w:lang w:val="en-GB"/>
              </w:rPr>
            </w:pPr>
            <w:r w:rsidRPr="00C531D7">
              <w:rPr>
                <w:rFonts w:ascii="Verdana" w:hAnsi="Verdana" w:cs="Times New Roman"/>
                <w:color w:val="000000"/>
                <w:sz w:val="20"/>
                <w:szCs w:val="20"/>
                <w:lang w:val="en-GB"/>
              </w:rPr>
              <w:t xml:space="preserve">For local elections and local referenda, EU citizens who are non-nationals are entered into the listing of voters based on their place of permanent or temporary residence </w:t>
            </w:r>
            <w:r>
              <w:rPr>
                <w:rFonts w:ascii="Verdana" w:hAnsi="Verdana" w:cs="Times New Roman"/>
                <w:color w:val="000000"/>
                <w:sz w:val="20"/>
                <w:szCs w:val="20"/>
                <w:lang w:val="en-GB"/>
              </w:rPr>
              <w:t>after</w:t>
            </w:r>
            <w:r w:rsidRPr="00C531D7">
              <w:rPr>
                <w:rFonts w:ascii="Verdana" w:hAnsi="Verdana" w:cs="Times New Roman"/>
                <w:color w:val="000000"/>
                <w:sz w:val="20"/>
                <w:szCs w:val="20"/>
                <w:lang w:val="en-GB"/>
              </w:rPr>
              <w:t xml:space="preserve"> request.</w:t>
            </w:r>
          </w:p>
          <w:p w14:paraId="2FBF5596" w14:textId="2C388DD1" w:rsidR="000309DC" w:rsidRPr="00C531D7" w:rsidRDefault="000309DC" w:rsidP="00C531D7">
            <w:pPr>
              <w:spacing w:before="240"/>
              <w:contextualSpacing/>
              <w:jc w:val="both"/>
              <w:rPr>
                <w:rFonts w:ascii="Verdana" w:eastAsia="Calibri" w:hAnsi="Verdana" w:cs="Times New Roman"/>
                <w:sz w:val="20"/>
                <w:szCs w:val="20"/>
                <w:lang w:val="en-GB"/>
              </w:rPr>
            </w:pPr>
          </w:p>
        </w:tc>
      </w:tr>
      <w:tr w:rsidR="000309DC" w:rsidRPr="00C531D7" w14:paraId="7B708DC8"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F8EC170" w14:textId="77777777" w:rsidR="000309DC" w:rsidRPr="00C531D7" w:rsidRDefault="000309DC" w:rsidP="00C531D7">
            <w:pPr>
              <w:jc w:val="both"/>
              <w:rPr>
                <w:rFonts w:ascii="Verdana" w:hAnsi="Verdana"/>
                <w:sz w:val="20"/>
                <w:szCs w:val="20"/>
              </w:rPr>
            </w:pPr>
            <w:r w:rsidRPr="00C531D7">
              <w:rPr>
                <w:rFonts w:ascii="Verdana" w:hAnsi="Verdana"/>
                <w:sz w:val="20"/>
                <w:szCs w:val="20"/>
              </w:rPr>
              <w:lastRenderedPageBreak/>
              <w:t>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elections.</w:t>
            </w:r>
          </w:p>
          <w:p w14:paraId="729F9D35"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sz w:val="20"/>
                <w:szCs w:val="20"/>
              </w:rPr>
              <w:t>Does the same law regarding voting rights apply for national, local/regional elections and referendums?</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0E785" w14:textId="7CB94C11" w:rsidR="000309DC" w:rsidRDefault="000309DC" w:rsidP="00C531D7">
            <w:pPr>
              <w:spacing w:after="0" w:line="240" w:lineRule="auto"/>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 xml:space="preserve">The new Act on Voter Registry removed the exclusion of persons </w:t>
            </w:r>
            <w:r>
              <w:rPr>
                <w:rFonts w:ascii="Verdana" w:eastAsia="Calibri" w:hAnsi="Verdana" w:cs="Times New Roman"/>
                <w:sz w:val="20"/>
                <w:szCs w:val="20"/>
                <w:lang w:bidi="en-US"/>
              </w:rPr>
              <w:t>divested of</w:t>
            </w:r>
            <w:r w:rsidRPr="00C531D7">
              <w:rPr>
                <w:rFonts w:ascii="Verdana" w:eastAsia="Calibri" w:hAnsi="Verdana" w:cs="Times New Roman"/>
                <w:sz w:val="20"/>
                <w:szCs w:val="20"/>
                <w:lang w:bidi="en-US"/>
              </w:rPr>
              <w:t xml:space="preserve"> legal capacity from the right to vote. </w:t>
            </w:r>
            <w:r>
              <w:rPr>
                <w:rFonts w:ascii="Verdana" w:eastAsia="Calibri" w:hAnsi="Verdana" w:cs="Times New Roman"/>
                <w:sz w:val="20"/>
                <w:szCs w:val="20"/>
                <w:lang w:bidi="en-US"/>
              </w:rPr>
              <w:t>Its ar</w:t>
            </w:r>
            <w:r w:rsidRPr="00C531D7">
              <w:rPr>
                <w:rFonts w:ascii="Verdana" w:eastAsia="Calibri" w:hAnsi="Verdana" w:cs="Times New Roman"/>
                <w:sz w:val="20"/>
                <w:szCs w:val="20"/>
                <w:lang w:bidi="en-US"/>
              </w:rPr>
              <w:t>t</w:t>
            </w:r>
            <w:r>
              <w:rPr>
                <w:rFonts w:ascii="Verdana" w:eastAsia="Calibri" w:hAnsi="Verdana" w:cs="Times New Roman"/>
                <w:sz w:val="20"/>
                <w:szCs w:val="20"/>
                <w:lang w:bidi="en-US"/>
              </w:rPr>
              <w:t>icle</w:t>
            </w:r>
            <w:r w:rsidRPr="00C531D7">
              <w:rPr>
                <w:rFonts w:ascii="Verdana" w:eastAsia="Calibri" w:hAnsi="Verdana" w:cs="Times New Roman"/>
                <w:sz w:val="20"/>
                <w:szCs w:val="20"/>
                <w:lang w:bidi="en-US"/>
              </w:rPr>
              <w:t xml:space="preserve"> 64 </w:t>
            </w:r>
            <w:r>
              <w:rPr>
                <w:rFonts w:ascii="Verdana" w:eastAsia="Calibri" w:hAnsi="Verdana" w:cs="Times New Roman"/>
                <w:sz w:val="20"/>
                <w:szCs w:val="20"/>
                <w:lang w:bidi="en-US"/>
              </w:rPr>
              <w:t>state</w:t>
            </w:r>
            <w:r w:rsidRPr="00C531D7">
              <w:rPr>
                <w:rFonts w:ascii="Verdana" w:eastAsia="Calibri" w:hAnsi="Verdana" w:cs="Times New Roman"/>
                <w:sz w:val="20"/>
                <w:szCs w:val="20"/>
                <w:lang w:bidi="en-US"/>
              </w:rPr>
              <w:t>s: “Persons fully divested of legal capacity by a final decision of a competent court in the period preceding the coming into force of this Act shall be considered voters and shall be entered into the voters’ register”.</w:t>
            </w:r>
          </w:p>
          <w:p w14:paraId="2ACD8BA5" w14:textId="77777777" w:rsidR="000309DC" w:rsidRDefault="000309DC" w:rsidP="00C531D7">
            <w:pPr>
              <w:spacing w:after="0" w:line="240" w:lineRule="auto"/>
              <w:jc w:val="both"/>
              <w:rPr>
                <w:rFonts w:ascii="Verdana" w:eastAsia="Calibri" w:hAnsi="Verdana" w:cs="Times New Roman"/>
                <w:sz w:val="20"/>
                <w:szCs w:val="20"/>
                <w:lang w:bidi="en-US"/>
              </w:rPr>
            </w:pPr>
          </w:p>
          <w:p w14:paraId="06BD0026" w14:textId="2E4CD589" w:rsidR="000309DC" w:rsidRPr="00C531D7" w:rsidRDefault="000309DC" w:rsidP="00C531D7">
            <w:pPr>
              <w:spacing w:after="0" w:line="240" w:lineRule="auto"/>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This provision annuls the exclusionary effect of the previous Act on Voter Lists (</w:t>
            </w:r>
            <w:proofErr w:type="spellStart"/>
            <w:r w:rsidRPr="00C531D7">
              <w:rPr>
                <w:rFonts w:ascii="Verdana" w:eastAsia="Calibri" w:hAnsi="Verdana" w:cs="Times New Roman"/>
                <w:i/>
                <w:sz w:val="20"/>
                <w:szCs w:val="20"/>
                <w:lang w:bidi="en-US"/>
              </w:rPr>
              <w:t>Zakon</w:t>
            </w:r>
            <w:proofErr w:type="spellEnd"/>
            <w:r w:rsidRPr="00C531D7">
              <w:rPr>
                <w:rFonts w:ascii="Verdana" w:eastAsia="Calibri" w:hAnsi="Verdana" w:cs="Times New Roman"/>
                <w:i/>
                <w:sz w:val="20"/>
                <w:szCs w:val="20"/>
                <w:lang w:bidi="en-US"/>
              </w:rPr>
              <w:t xml:space="preserve"> o </w:t>
            </w:r>
            <w:proofErr w:type="spellStart"/>
            <w:r w:rsidRPr="00C531D7">
              <w:rPr>
                <w:rFonts w:ascii="Verdana" w:eastAsia="Calibri" w:hAnsi="Verdana" w:cs="Times New Roman"/>
                <w:i/>
                <w:sz w:val="20"/>
                <w:szCs w:val="20"/>
                <w:lang w:bidi="en-US"/>
              </w:rPr>
              <w:t>popisima</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birača</w:t>
            </w:r>
            <w:proofErr w:type="spellEnd"/>
            <w:r w:rsidRPr="00C531D7">
              <w:rPr>
                <w:rFonts w:ascii="Verdana" w:eastAsia="Calibri" w:hAnsi="Verdana" w:cs="Times New Roman"/>
                <w:sz w:val="20"/>
                <w:szCs w:val="20"/>
                <w:lang w:bidi="en-US"/>
              </w:rPr>
              <w:t>)</w:t>
            </w:r>
            <w:r w:rsidRPr="00C531D7">
              <w:rPr>
                <w:rFonts w:ascii="Verdana" w:eastAsia="Calibri" w:hAnsi="Verdana" w:cs="Times New Roman"/>
                <w:sz w:val="20"/>
                <w:szCs w:val="20"/>
                <w:vertAlign w:val="superscript"/>
                <w:lang w:bidi="en-US"/>
              </w:rPr>
              <w:footnoteReference w:id="11"/>
            </w:r>
            <w:r w:rsidRPr="00C531D7">
              <w:rPr>
                <w:rFonts w:ascii="Verdana" w:eastAsia="Calibri" w:hAnsi="Verdana" w:cs="Times New Roman"/>
                <w:sz w:val="20"/>
                <w:szCs w:val="20"/>
                <w:lang w:bidi="en-US"/>
              </w:rPr>
              <w:t xml:space="preserve"> , that specified in its </w:t>
            </w:r>
            <w:r>
              <w:rPr>
                <w:rFonts w:ascii="Verdana" w:eastAsia="Calibri" w:hAnsi="Verdana" w:cs="Times New Roman"/>
                <w:sz w:val="20"/>
                <w:szCs w:val="20"/>
                <w:lang w:bidi="en-US"/>
              </w:rPr>
              <w:t>a</w:t>
            </w:r>
            <w:r w:rsidRPr="00C531D7">
              <w:rPr>
                <w:rFonts w:ascii="Verdana" w:eastAsia="Calibri" w:hAnsi="Verdana" w:cs="Times New Roman"/>
                <w:sz w:val="20"/>
                <w:szCs w:val="20"/>
                <w:lang w:bidi="en-US"/>
              </w:rPr>
              <w:t>rticle 2 that Croatian citizens aged 18 and older were entered in the voters’ list, except for those who had been divested of legal capacity by a final court decision.</w:t>
            </w:r>
          </w:p>
          <w:p w14:paraId="4D51CE65" w14:textId="65E7F40E" w:rsidR="000309DC" w:rsidRPr="00C531D7" w:rsidRDefault="000309DC" w:rsidP="00C531D7">
            <w:pPr>
              <w:jc w:val="both"/>
              <w:rPr>
                <w:rFonts w:ascii="Verdana" w:hAnsi="Verdana" w:cstheme="minorHAnsi"/>
                <w:sz w:val="20"/>
                <w:szCs w:val="20"/>
                <w:lang w:val="de-AT"/>
              </w:rPr>
            </w:pPr>
          </w:p>
          <w:p w14:paraId="6D93DC64" w14:textId="77777777" w:rsidR="000309DC" w:rsidRPr="00C531D7" w:rsidRDefault="000309DC" w:rsidP="00C531D7">
            <w:pPr>
              <w:jc w:val="both"/>
              <w:rPr>
                <w:rFonts w:ascii="Verdana" w:hAnsi="Verdana" w:cstheme="minorHAnsi"/>
                <w:sz w:val="20"/>
                <w:szCs w:val="20"/>
                <w:lang w:val="de-AT"/>
              </w:rPr>
            </w:pPr>
            <w:r w:rsidRPr="00C531D7">
              <w:rPr>
                <w:rFonts w:ascii="Verdana" w:hAnsi="Verdana" w:cstheme="minorHAnsi"/>
                <w:sz w:val="20"/>
                <w:szCs w:val="20"/>
                <w:lang w:val="de-AT"/>
              </w:rPr>
              <w:t xml:space="preserve">In </w:t>
            </w:r>
            <w:proofErr w:type="spellStart"/>
            <w:r w:rsidRPr="00C531D7">
              <w:rPr>
                <w:rFonts w:ascii="Verdana" w:hAnsi="Verdana" w:cstheme="minorHAnsi"/>
                <w:sz w:val="20"/>
                <w:szCs w:val="20"/>
                <w:lang w:val="de-AT"/>
              </w:rPr>
              <w:t>its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written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justification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final </w:t>
            </w:r>
            <w:proofErr w:type="spellStart"/>
            <w:r w:rsidRPr="00C531D7">
              <w:rPr>
                <w:rFonts w:ascii="Verdana" w:hAnsi="Verdana" w:cstheme="minorHAnsi"/>
                <w:sz w:val="20"/>
                <w:szCs w:val="20"/>
                <w:lang w:val="de-AT"/>
              </w:rPr>
              <w:t>draft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act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Ministry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Public Administration </w:t>
            </w:r>
            <w:proofErr w:type="spellStart"/>
            <w:r w:rsidRPr="00C531D7">
              <w:rPr>
                <w:rFonts w:ascii="Verdana" w:hAnsi="Verdana" w:cstheme="minorHAnsi"/>
                <w:sz w:val="20"/>
                <w:szCs w:val="20"/>
                <w:lang w:val="de-AT"/>
              </w:rPr>
              <w:t>states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that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it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has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reacted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to</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criticism</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by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Ombudsman</w:t>
            </w:r>
            <w:proofErr w:type="spellEnd"/>
            <w:r w:rsidRPr="00C531D7">
              <w:rPr>
                <w:rFonts w:ascii="Verdana" w:hAnsi="Verdana" w:cstheme="minorHAnsi"/>
                <w:sz w:val="20"/>
                <w:szCs w:val="20"/>
                <w:lang w:val="de-AT"/>
              </w:rPr>
              <w:t xml:space="preserve"> for </w:t>
            </w:r>
            <w:proofErr w:type="spellStart"/>
            <w:r w:rsidRPr="00C531D7">
              <w:rPr>
                <w:rFonts w:ascii="Verdana" w:hAnsi="Verdana" w:cstheme="minorHAnsi"/>
                <w:sz w:val="20"/>
                <w:szCs w:val="20"/>
                <w:lang w:val="de-AT"/>
              </w:rPr>
              <w:t>Persons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with</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Disabilities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i/>
                <w:sz w:val="20"/>
                <w:szCs w:val="20"/>
                <w:lang w:val="de-AT"/>
              </w:rPr>
              <w:t>Pravobraniteljica</w:t>
            </w:r>
            <w:proofErr w:type="spellEnd"/>
            <w:r w:rsidRPr="00C531D7">
              <w:rPr>
                <w:rFonts w:ascii="Verdana" w:hAnsi="Verdana" w:cstheme="minorHAnsi"/>
                <w:i/>
                <w:sz w:val="20"/>
                <w:szCs w:val="20"/>
                <w:lang w:val="de-AT"/>
              </w:rPr>
              <w:t xml:space="preserve"> </w:t>
            </w:r>
            <w:proofErr w:type="spellStart"/>
            <w:r w:rsidRPr="00C531D7">
              <w:rPr>
                <w:rFonts w:ascii="Verdana" w:hAnsi="Verdana" w:cstheme="minorHAnsi"/>
                <w:i/>
                <w:sz w:val="20"/>
                <w:szCs w:val="20"/>
                <w:lang w:val="de-AT"/>
              </w:rPr>
              <w:t>za</w:t>
            </w:r>
            <w:proofErr w:type="spellEnd"/>
            <w:r w:rsidRPr="00C531D7">
              <w:rPr>
                <w:rFonts w:ascii="Verdana" w:hAnsi="Verdana" w:cstheme="minorHAnsi"/>
                <w:i/>
                <w:sz w:val="20"/>
                <w:szCs w:val="20"/>
                <w:lang w:val="de-AT"/>
              </w:rPr>
              <w:t xml:space="preserve"> </w:t>
            </w:r>
            <w:proofErr w:type="spellStart"/>
            <w:r w:rsidRPr="00C531D7">
              <w:rPr>
                <w:rFonts w:ascii="Verdana" w:hAnsi="Verdana" w:cstheme="minorHAnsi"/>
                <w:i/>
                <w:sz w:val="20"/>
                <w:szCs w:val="20"/>
                <w:lang w:val="de-AT"/>
              </w:rPr>
              <w:t>osobe</w:t>
            </w:r>
            <w:proofErr w:type="spellEnd"/>
            <w:r w:rsidRPr="00C531D7">
              <w:rPr>
                <w:rFonts w:ascii="Verdana" w:hAnsi="Verdana" w:cstheme="minorHAnsi"/>
                <w:i/>
                <w:sz w:val="20"/>
                <w:szCs w:val="20"/>
                <w:lang w:val="de-AT"/>
              </w:rPr>
              <w:t xml:space="preserve"> s </w:t>
            </w:r>
            <w:proofErr w:type="spellStart"/>
            <w:r w:rsidRPr="00C531D7">
              <w:rPr>
                <w:rFonts w:ascii="Verdana" w:hAnsi="Verdana" w:cstheme="minorHAnsi"/>
                <w:i/>
                <w:sz w:val="20"/>
                <w:szCs w:val="20"/>
                <w:lang w:val="de-AT"/>
              </w:rPr>
              <w:t>invaliditetom</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and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secured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voting</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rights</w:t>
            </w:r>
            <w:proofErr w:type="spellEnd"/>
            <w:r w:rsidRPr="00C531D7">
              <w:rPr>
                <w:rFonts w:ascii="Verdana" w:hAnsi="Verdana" w:cstheme="minorHAnsi"/>
                <w:sz w:val="20"/>
                <w:szCs w:val="20"/>
                <w:lang w:val="de-AT"/>
              </w:rPr>
              <w:t xml:space="preserve"> for </w:t>
            </w:r>
            <w:proofErr w:type="spellStart"/>
            <w:r w:rsidRPr="00C531D7">
              <w:rPr>
                <w:rFonts w:ascii="Verdana" w:hAnsi="Verdana" w:cstheme="minorHAnsi"/>
                <w:sz w:val="20"/>
                <w:szCs w:val="20"/>
                <w:lang w:val="de-AT"/>
              </w:rPr>
              <w:t>persons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without</w:t>
            </w:r>
            <w:proofErr w:type="spellEnd"/>
            <w:r w:rsidRPr="00C531D7">
              <w:rPr>
                <w:rFonts w:ascii="Verdana" w:hAnsi="Verdana" w:cstheme="minorHAnsi"/>
                <w:sz w:val="20"/>
                <w:szCs w:val="20"/>
                <w:lang w:val="de-AT"/>
              </w:rPr>
              <w:t xml:space="preserve"> legal </w:t>
            </w:r>
            <w:proofErr w:type="spellStart"/>
            <w:r w:rsidRPr="00C531D7">
              <w:rPr>
                <w:rFonts w:ascii="Verdana" w:hAnsi="Verdana" w:cstheme="minorHAnsi"/>
                <w:sz w:val="20"/>
                <w:szCs w:val="20"/>
                <w:lang w:val="de-AT"/>
              </w:rPr>
              <w:t>capacity</w:t>
            </w:r>
            <w:proofErr w:type="spellEnd"/>
            <w:r w:rsidRPr="00C531D7">
              <w:rPr>
                <w:rFonts w:ascii="Verdana" w:hAnsi="Verdana" w:cstheme="minorHAnsi"/>
                <w:sz w:val="20"/>
                <w:szCs w:val="20"/>
                <w:lang w:val="de-AT"/>
              </w:rPr>
              <w:t>.</w:t>
            </w:r>
            <w:r w:rsidRPr="00C531D7">
              <w:rPr>
                <w:rFonts w:ascii="Verdana" w:hAnsi="Verdana" w:cstheme="minorHAnsi"/>
                <w:sz w:val="20"/>
                <w:szCs w:val="20"/>
                <w:vertAlign w:val="superscript"/>
                <w:lang w:val="de-AT"/>
              </w:rPr>
              <w:footnoteReference w:id="12"/>
            </w:r>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Namely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Ombudsman</w:t>
            </w:r>
            <w:proofErr w:type="spellEnd"/>
            <w:r w:rsidRPr="00C531D7">
              <w:rPr>
                <w:rFonts w:ascii="Verdana" w:hAnsi="Verdana" w:cstheme="minorHAnsi"/>
                <w:sz w:val="20"/>
                <w:szCs w:val="20"/>
                <w:lang w:val="de-AT"/>
              </w:rPr>
              <w:t xml:space="preserve"> for </w:t>
            </w:r>
            <w:proofErr w:type="spellStart"/>
            <w:r w:rsidRPr="00C531D7">
              <w:rPr>
                <w:rFonts w:ascii="Verdana" w:hAnsi="Verdana" w:cstheme="minorHAnsi"/>
                <w:sz w:val="20"/>
                <w:szCs w:val="20"/>
                <w:lang w:val="de-AT"/>
              </w:rPr>
              <w:t>Persons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with</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Disabilities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has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written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and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made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publically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available</w:t>
            </w:r>
            <w:proofErr w:type="spellEnd"/>
            <w:r w:rsidRPr="00C531D7">
              <w:rPr>
                <w:rFonts w:ascii="Verdana" w:hAnsi="Verdana" w:cstheme="minorHAnsi"/>
                <w:sz w:val="20"/>
                <w:szCs w:val="20"/>
                <w:lang w:val="de-AT"/>
              </w:rPr>
              <w:t xml:space="preserve"> a </w:t>
            </w:r>
            <w:proofErr w:type="spellStart"/>
            <w:r w:rsidRPr="00C531D7">
              <w:rPr>
                <w:rFonts w:ascii="Verdana" w:hAnsi="Verdana" w:cstheme="minorHAnsi"/>
                <w:sz w:val="20"/>
                <w:szCs w:val="20"/>
                <w:lang w:val="de-AT"/>
              </w:rPr>
              <w:t>letter</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to</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Ministry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Public Administration </w:t>
            </w:r>
            <w:proofErr w:type="spellStart"/>
            <w:r w:rsidRPr="00C531D7">
              <w:rPr>
                <w:rFonts w:ascii="Verdana" w:hAnsi="Verdana" w:cstheme="minorHAnsi"/>
                <w:sz w:val="20"/>
                <w:szCs w:val="20"/>
                <w:lang w:val="de-AT"/>
              </w:rPr>
              <w:t>regarding</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limitation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voting</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rights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and</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participation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persons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with</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disability</w:t>
            </w:r>
            <w:proofErr w:type="spellEnd"/>
            <w:r w:rsidRPr="00C531D7">
              <w:rPr>
                <w:rFonts w:ascii="Verdana" w:hAnsi="Verdana" w:cstheme="minorHAnsi"/>
                <w:sz w:val="20"/>
                <w:szCs w:val="20"/>
                <w:lang w:val="de-AT"/>
              </w:rPr>
              <w:t>.</w:t>
            </w:r>
            <w:r w:rsidRPr="00C531D7">
              <w:rPr>
                <w:rFonts w:ascii="Verdana" w:hAnsi="Verdana" w:cstheme="minorHAnsi"/>
                <w:sz w:val="20"/>
                <w:szCs w:val="20"/>
                <w:vertAlign w:val="superscript"/>
                <w:lang w:val="de-AT"/>
              </w:rPr>
              <w:footnoteReference w:id="13"/>
            </w:r>
            <w:r w:rsidRPr="00C531D7">
              <w:rPr>
                <w:rFonts w:ascii="Verdana" w:hAnsi="Verdana" w:cstheme="minorHAnsi"/>
                <w:sz w:val="20"/>
                <w:szCs w:val="20"/>
                <w:lang w:val="de-AT"/>
              </w:rPr>
              <w:t xml:space="preserve"> The </w:t>
            </w:r>
            <w:proofErr w:type="spellStart"/>
            <w:r w:rsidRPr="00C531D7">
              <w:rPr>
                <w:rFonts w:ascii="Verdana" w:hAnsi="Verdana" w:cstheme="minorHAnsi"/>
                <w:sz w:val="20"/>
                <w:szCs w:val="20"/>
                <w:lang w:val="de-AT"/>
              </w:rPr>
              <w:t>Ombudsman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has</w:t>
            </w:r>
            <w:proofErr w:type="spellEnd"/>
            <w:r w:rsidRPr="00C531D7">
              <w:rPr>
                <w:rFonts w:ascii="Verdana" w:hAnsi="Verdana" w:cstheme="minorHAnsi"/>
                <w:sz w:val="20"/>
                <w:szCs w:val="20"/>
                <w:lang w:val="de-AT"/>
              </w:rPr>
              <w:t xml:space="preserve"> also </w:t>
            </w:r>
            <w:proofErr w:type="spellStart"/>
            <w:r w:rsidRPr="00C531D7">
              <w:rPr>
                <w:rFonts w:ascii="Verdana" w:hAnsi="Verdana" w:cstheme="minorHAnsi"/>
                <w:sz w:val="20"/>
                <w:szCs w:val="20"/>
                <w:lang w:val="de-AT"/>
              </w:rPr>
              <w:t>written</w:t>
            </w:r>
            <w:proofErr w:type="spellEnd"/>
            <w:r w:rsidRPr="00C531D7">
              <w:rPr>
                <w:rFonts w:ascii="Verdana" w:hAnsi="Verdana" w:cstheme="minorHAnsi"/>
                <w:sz w:val="20"/>
                <w:szCs w:val="20"/>
                <w:lang w:val="de-AT"/>
              </w:rPr>
              <w:t xml:space="preserve"> a </w:t>
            </w:r>
            <w:proofErr w:type="spellStart"/>
            <w:r w:rsidRPr="00C531D7">
              <w:rPr>
                <w:rFonts w:ascii="Verdana" w:hAnsi="Verdana" w:cstheme="minorHAnsi"/>
                <w:sz w:val="20"/>
                <w:szCs w:val="20"/>
                <w:lang w:val="de-AT"/>
              </w:rPr>
              <w:t>warning</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to</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competent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parliamentary</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committees</w:t>
            </w:r>
            <w:proofErr w:type="spellEnd"/>
            <w:r w:rsidRPr="00C531D7">
              <w:rPr>
                <w:rFonts w:ascii="Verdana" w:hAnsi="Verdana" w:cstheme="minorHAnsi"/>
                <w:sz w:val="20"/>
                <w:szCs w:val="20"/>
                <w:lang w:val="de-AT"/>
              </w:rPr>
              <w:t xml:space="preserve"> on </w:t>
            </w:r>
            <w:proofErr w:type="spellStart"/>
            <w:r w:rsidRPr="00C531D7">
              <w:rPr>
                <w:rFonts w:ascii="Verdana" w:hAnsi="Verdana" w:cstheme="minorHAnsi"/>
                <w:sz w:val="20"/>
                <w:szCs w:val="20"/>
                <w:lang w:val="de-AT"/>
              </w:rPr>
              <w:t>exclusions</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contained</w:t>
            </w:r>
            <w:proofErr w:type="spellEnd"/>
            <w:r w:rsidRPr="00C531D7">
              <w:rPr>
                <w:rFonts w:ascii="Verdana" w:hAnsi="Verdana" w:cstheme="minorHAnsi"/>
                <w:sz w:val="20"/>
                <w:szCs w:val="20"/>
                <w:lang w:val="de-AT"/>
              </w:rPr>
              <w:t xml:space="preserve"> in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earlier</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draft</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version</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of</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the</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new</w:t>
            </w:r>
            <w:proofErr w:type="spellEnd"/>
            <w:r w:rsidRPr="00C531D7">
              <w:rPr>
                <w:rFonts w:ascii="Verdana" w:hAnsi="Verdana" w:cstheme="minorHAnsi"/>
                <w:sz w:val="20"/>
                <w:szCs w:val="20"/>
                <w:lang w:val="de-AT"/>
              </w:rPr>
              <w:t xml:space="preserve"> </w:t>
            </w:r>
            <w:proofErr w:type="spellStart"/>
            <w:r w:rsidRPr="00C531D7">
              <w:rPr>
                <w:rFonts w:ascii="Verdana" w:hAnsi="Verdana" w:cstheme="minorHAnsi"/>
                <w:sz w:val="20"/>
                <w:szCs w:val="20"/>
                <w:lang w:val="de-AT"/>
              </w:rPr>
              <w:t>act</w:t>
            </w:r>
            <w:proofErr w:type="spellEnd"/>
            <w:r w:rsidRPr="00C531D7">
              <w:rPr>
                <w:rFonts w:ascii="Verdana" w:hAnsi="Verdana" w:cstheme="minorHAnsi"/>
                <w:sz w:val="20"/>
                <w:szCs w:val="20"/>
                <w:lang w:val="de-AT"/>
              </w:rPr>
              <w:t>.</w:t>
            </w:r>
            <w:r w:rsidRPr="00C531D7">
              <w:rPr>
                <w:rFonts w:ascii="Verdana" w:hAnsi="Verdana" w:cstheme="minorHAnsi"/>
                <w:sz w:val="20"/>
                <w:szCs w:val="20"/>
                <w:vertAlign w:val="superscript"/>
                <w:lang w:val="de-AT"/>
              </w:rPr>
              <w:footnoteReference w:id="14"/>
            </w:r>
          </w:p>
          <w:p w14:paraId="2AAAF472" w14:textId="2A730479" w:rsidR="000309DC" w:rsidRPr="00C531D7" w:rsidRDefault="000309DC" w:rsidP="00CF0728">
            <w:pPr>
              <w:jc w:val="both"/>
              <w:rPr>
                <w:rFonts w:ascii="Verdana" w:eastAsia="Calibri" w:hAnsi="Verdana" w:cs="Times New Roman"/>
                <w:sz w:val="20"/>
                <w:szCs w:val="20"/>
                <w:lang w:val="en-GB"/>
              </w:rPr>
            </w:pPr>
            <w:r w:rsidRPr="00C531D7">
              <w:rPr>
                <w:rFonts w:ascii="Verdana" w:hAnsi="Verdana" w:cstheme="minorHAnsi"/>
                <w:sz w:val="20"/>
                <w:szCs w:val="20"/>
                <w:lang w:val="en-GB"/>
              </w:rPr>
              <w:t xml:space="preserve">The only law that still excludes persons who were denied legal capacity by a final court </w:t>
            </w:r>
            <w:r w:rsidRPr="00C531D7">
              <w:rPr>
                <w:rFonts w:ascii="Verdana" w:hAnsi="Verdana" w:cstheme="minorHAnsi"/>
                <w:sz w:val="20"/>
                <w:szCs w:val="20"/>
                <w:lang w:val="en-GB"/>
              </w:rPr>
              <w:lastRenderedPageBreak/>
              <w:t xml:space="preserve">decision from the group of eligible voters is the Act on the Elections of Representatives to the Croatian Parliament </w:t>
            </w:r>
            <w:r w:rsidRPr="00C531D7">
              <w:rPr>
                <w:rFonts w:ascii="Verdana" w:hAnsi="Verdana" w:cstheme="minorHAnsi"/>
                <w:i/>
                <w:sz w:val="20"/>
                <w:szCs w:val="20"/>
                <w:lang w:val="en-GB"/>
              </w:rPr>
              <w:t>(</w:t>
            </w:r>
            <w:proofErr w:type="spellStart"/>
            <w:r w:rsidRPr="00C531D7">
              <w:rPr>
                <w:rFonts w:ascii="Verdana" w:hAnsi="Verdana" w:cstheme="minorHAnsi"/>
                <w:i/>
                <w:sz w:val="20"/>
                <w:szCs w:val="20"/>
                <w:lang w:val="en-GB"/>
              </w:rPr>
              <w:t>Zakon</w:t>
            </w:r>
            <w:proofErr w:type="spellEnd"/>
            <w:r w:rsidRPr="00C531D7">
              <w:rPr>
                <w:rFonts w:ascii="Verdana" w:hAnsi="Verdana" w:cstheme="minorHAnsi"/>
                <w:i/>
                <w:sz w:val="20"/>
                <w:szCs w:val="20"/>
                <w:lang w:val="en-GB"/>
              </w:rPr>
              <w:t xml:space="preserve"> o </w:t>
            </w:r>
            <w:proofErr w:type="spellStart"/>
            <w:r w:rsidRPr="00C531D7">
              <w:rPr>
                <w:rFonts w:ascii="Verdana" w:hAnsi="Verdana" w:cstheme="minorHAnsi"/>
                <w:i/>
                <w:sz w:val="20"/>
                <w:szCs w:val="20"/>
                <w:lang w:val="en-GB"/>
              </w:rPr>
              <w:t>izborima</w:t>
            </w:r>
            <w:proofErr w:type="spellEnd"/>
            <w:r w:rsidRPr="00C531D7">
              <w:rPr>
                <w:rFonts w:ascii="Verdana" w:hAnsi="Verdana" w:cstheme="minorHAnsi"/>
                <w:i/>
                <w:sz w:val="20"/>
                <w:szCs w:val="20"/>
                <w:lang w:val="en-GB"/>
              </w:rPr>
              <w:t xml:space="preserve"> </w:t>
            </w:r>
            <w:proofErr w:type="spellStart"/>
            <w:r w:rsidRPr="00C531D7">
              <w:rPr>
                <w:rFonts w:ascii="Verdana" w:hAnsi="Verdana" w:cstheme="minorHAnsi"/>
                <w:i/>
                <w:sz w:val="20"/>
                <w:szCs w:val="20"/>
                <w:lang w:val="en-GB"/>
              </w:rPr>
              <w:t>zastupnika</w:t>
            </w:r>
            <w:proofErr w:type="spellEnd"/>
            <w:r w:rsidRPr="00C531D7">
              <w:rPr>
                <w:rFonts w:ascii="Verdana" w:hAnsi="Verdana" w:cstheme="minorHAnsi"/>
                <w:i/>
                <w:sz w:val="20"/>
                <w:szCs w:val="20"/>
                <w:lang w:val="en-GB"/>
              </w:rPr>
              <w:t xml:space="preserve"> u </w:t>
            </w:r>
            <w:proofErr w:type="spellStart"/>
            <w:r w:rsidRPr="00C531D7">
              <w:rPr>
                <w:rFonts w:ascii="Verdana" w:hAnsi="Verdana" w:cstheme="minorHAnsi"/>
                <w:i/>
                <w:sz w:val="20"/>
                <w:szCs w:val="20"/>
                <w:lang w:val="en-GB"/>
              </w:rPr>
              <w:t>Hrvatski</w:t>
            </w:r>
            <w:proofErr w:type="spellEnd"/>
            <w:r w:rsidRPr="00C531D7">
              <w:rPr>
                <w:rFonts w:ascii="Verdana" w:hAnsi="Verdana" w:cstheme="minorHAnsi"/>
                <w:i/>
                <w:sz w:val="20"/>
                <w:szCs w:val="20"/>
                <w:lang w:val="en-GB"/>
              </w:rPr>
              <w:t xml:space="preserve"> </w:t>
            </w:r>
            <w:proofErr w:type="spellStart"/>
            <w:r w:rsidRPr="00C531D7">
              <w:rPr>
                <w:rFonts w:ascii="Verdana" w:hAnsi="Verdana" w:cstheme="minorHAnsi"/>
                <w:i/>
                <w:sz w:val="20"/>
                <w:szCs w:val="20"/>
                <w:lang w:val="en-GB"/>
              </w:rPr>
              <w:t>sabor</w:t>
            </w:r>
            <w:proofErr w:type="spellEnd"/>
            <w:r w:rsidRPr="00C531D7">
              <w:rPr>
                <w:rFonts w:ascii="Verdana" w:hAnsi="Verdana" w:cstheme="minorHAnsi"/>
                <w:i/>
                <w:sz w:val="20"/>
                <w:szCs w:val="20"/>
                <w:lang w:val="en-GB"/>
              </w:rPr>
              <w:t>)</w:t>
            </w:r>
            <w:r w:rsidRPr="00C531D7">
              <w:rPr>
                <w:rFonts w:ascii="Verdana" w:hAnsi="Verdana" w:cstheme="minorHAnsi"/>
                <w:i/>
                <w:sz w:val="20"/>
                <w:szCs w:val="20"/>
                <w:vertAlign w:val="superscript"/>
                <w:lang w:val="en-GB"/>
              </w:rPr>
              <w:footnoteReference w:id="15"/>
            </w:r>
            <w:r w:rsidRPr="00C531D7">
              <w:rPr>
                <w:rFonts w:ascii="Verdana" w:hAnsi="Verdana" w:cstheme="minorHAnsi"/>
                <w:i/>
                <w:sz w:val="20"/>
                <w:szCs w:val="20"/>
                <w:lang w:val="en-GB"/>
              </w:rPr>
              <w:t>.</w:t>
            </w:r>
            <w:r w:rsidRPr="00C531D7">
              <w:rPr>
                <w:rFonts w:ascii="Verdana" w:hAnsi="Verdana" w:cstheme="minorHAnsi"/>
                <w:sz w:val="20"/>
                <w:szCs w:val="20"/>
                <w:lang w:val="en-GB"/>
              </w:rPr>
              <w:t xml:space="preserve"> Plans regarding amendments in that respect have been reported by some NGOs.</w:t>
            </w:r>
            <w:r w:rsidRPr="00C531D7">
              <w:rPr>
                <w:rFonts w:ascii="Verdana" w:hAnsi="Verdana" w:cstheme="minorHAnsi"/>
                <w:sz w:val="20"/>
                <w:szCs w:val="20"/>
                <w:vertAlign w:val="superscript"/>
                <w:lang w:val="en-GB"/>
              </w:rPr>
              <w:footnoteReference w:id="16"/>
            </w:r>
          </w:p>
        </w:tc>
      </w:tr>
      <w:tr w:rsidR="000309DC" w:rsidRPr="00C531D7" w14:paraId="49AF5644"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29E6E7D9"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Is there legislation in place regulating how people living in long-term institutions may vote?</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14E2A8" w14:textId="1EDF71F8" w:rsidR="000309DC" w:rsidRDefault="000309DC" w:rsidP="00C531D7">
            <w:pPr>
              <w:pStyle w:val="CommentText"/>
              <w:jc w:val="both"/>
              <w:rPr>
                <w:rFonts w:ascii="Verdana" w:eastAsia="Calibri" w:hAnsi="Verdana" w:cs="Times New Roman"/>
                <w:lang w:val="en-GB"/>
              </w:rPr>
            </w:pPr>
            <w:r w:rsidRPr="00C531D7">
              <w:rPr>
                <w:rFonts w:ascii="Verdana" w:eastAsia="Calibri" w:hAnsi="Verdana" w:cs="Times New Roman"/>
                <w:lang w:val="en-GB"/>
              </w:rPr>
              <w:t xml:space="preserve">In general, </w:t>
            </w:r>
            <w:r>
              <w:rPr>
                <w:rFonts w:ascii="Verdana" w:eastAsia="Calibri" w:hAnsi="Verdana" w:cs="Times New Roman"/>
                <w:lang w:val="en-GB"/>
              </w:rPr>
              <w:t>the legislation</w:t>
            </w:r>
            <w:r w:rsidRPr="00C531D7">
              <w:rPr>
                <w:rFonts w:ascii="Verdana" w:eastAsia="Calibri" w:hAnsi="Verdana" w:cs="Times New Roman"/>
                <w:lang w:val="en-GB"/>
              </w:rPr>
              <w:t xml:space="preserve"> provides that any eligible voter who cannot come to the polling station due to serious illness, </w:t>
            </w:r>
            <w:r w:rsidRPr="00C531D7">
              <w:rPr>
                <w:rFonts w:ascii="Verdana" w:hAnsi="Verdana" w:cs="Times New Roman"/>
                <w:color w:val="000000"/>
                <w:lang w:val="en-GB"/>
              </w:rPr>
              <w:t>physical impairment or infirmity can vote at home, if he/she requests it.</w:t>
            </w:r>
            <w:r w:rsidRPr="00C531D7">
              <w:rPr>
                <w:rStyle w:val="FootnoteReference"/>
                <w:rFonts w:ascii="Verdana" w:hAnsi="Verdana" w:cs="Times New Roman"/>
                <w:color w:val="000000"/>
                <w:lang w:val="en-GB"/>
              </w:rPr>
              <w:footnoteReference w:id="17"/>
            </w:r>
          </w:p>
          <w:p w14:paraId="7C2A3004" w14:textId="6A6BE4E0" w:rsidR="000309DC" w:rsidRPr="00C531D7" w:rsidRDefault="000309DC" w:rsidP="00C531D7">
            <w:pPr>
              <w:pStyle w:val="CommentText"/>
              <w:jc w:val="both"/>
              <w:rPr>
                <w:rFonts w:ascii="Verdana" w:hAnsi="Verdana"/>
              </w:rPr>
            </w:pPr>
            <w:r>
              <w:rPr>
                <w:rFonts w:ascii="Verdana" w:eastAsia="Calibri" w:hAnsi="Verdana" w:cs="Times New Roman"/>
                <w:lang w:val="en-GB"/>
              </w:rPr>
              <w:t>The a</w:t>
            </w:r>
            <w:r w:rsidRPr="00C531D7">
              <w:rPr>
                <w:rFonts w:ascii="Verdana" w:eastAsia="Calibri" w:hAnsi="Verdana" w:cs="Times New Roman"/>
                <w:lang w:val="en-GB"/>
              </w:rPr>
              <w:t xml:space="preserve">mended </w:t>
            </w:r>
            <w:r>
              <w:rPr>
                <w:rFonts w:ascii="Verdana" w:eastAsia="Calibri" w:hAnsi="Verdana" w:cs="Times New Roman"/>
                <w:lang w:val="en-GB"/>
              </w:rPr>
              <w:t>article</w:t>
            </w:r>
            <w:r w:rsidRPr="00C531D7">
              <w:rPr>
                <w:rFonts w:ascii="Verdana" w:eastAsia="Calibri" w:hAnsi="Verdana" w:cs="Times New Roman"/>
                <w:lang w:val="en-GB"/>
              </w:rPr>
              <w:t xml:space="preserve"> 38 of the </w:t>
            </w:r>
            <w:r w:rsidRPr="00C531D7">
              <w:rPr>
                <w:rFonts w:ascii="Verdana" w:hAnsi="Verdana" w:cs="Times New Roman"/>
                <w:lang w:val="en-GB"/>
              </w:rPr>
              <w:t xml:space="preserve">Act on the Elections of Representatives from the Republic of Croatia to the </w:t>
            </w:r>
            <w:r w:rsidRPr="00B500B5">
              <w:rPr>
                <w:rFonts w:ascii="Verdana" w:hAnsi="Verdana" w:cs="Times New Roman"/>
                <w:u w:val="single"/>
                <w:lang w:val="en-GB"/>
              </w:rPr>
              <w:t>European Parliament</w:t>
            </w:r>
            <w:r w:rsidRPr="00C531D7">
              <w:rPr>
                <w:rStyle w:val="FootnoteReference"/>
                <w:rFonts w:ascii="Verdana" w:eastAsia="Calibri" w:hAnsi="Verdana" w:cs="Times New Roman"/>
                <w:lang w:val="en-GB"/>
              </w:rPr>
              <w:footnoteReference w:id="18"/>
            </w:r>
            <w:r w:rsidRPr="00C531D7">
              <w:rPr>
                <w:rFonts w:ascii="Verdana" w:eastAsia="Calibri" w:hAnsi="Verdana" w:cs="Times New Roman"/>
                <w:lang w:val="en-GB"/>
              </w:rPr>
              <w:t xml:space="preserve"> states that the </w:t>
            </w:r>
            <w:r>
              <w:rPr>
                <w:rFonts w:ascii="Verdana" w:eastAsia="Calibri" w:hAnsi="Verdana" w:cs="Times New Roman"/>
                <w:lang w:val="en-GB"/>
              </w:rPr>
              <w:t>M</w:t>
            </w:r>
            <w:r w:rsidRPr="00C531D7">
              <w:rPr>
                <w:rFonts w:ascii="Verdana" w:eastAsia="Calibri" w:hAnsi="Verdana" w:cs="Times New Roman"/>
                <w:lang w:val="en-GB"/>
              </w:rPr>
              <w:t>inister competent for social welfare shall assign polling stations for persons in long term residential social welfare institutions. For European Parliament elections, the Minister issued a decision for polling stations to be organized in 13 such institutions</w:t>
            </w:r>
            <w:r>
              <w:rPr>
                <w:rFonts w:ascii="Verdana" w:eastAsia="Calibri" w:hAnsi="Verdana" w:cs="Times New Roman"/>
                <w:lang w:val="en-GB"/>
              </w:rPr>
              <w:t xml:space="preserve"> (which are caring for persons older than 18)</w:t>
            </w:r>
            <w:r w:rsidRPr="00C531D7">
              <w:rPr>
                <w:rFonts w:ascii="Verdana" w:eastAsia="Calibri" w:hAnsi="Verdana" w:cs="Times New Roman"/>
                <w:lang w:val="en-GB"/>
              </w:rPr>
              <w:t>, out of the total of 253</w:t>
            </w:r>
            <w:r w:rsidRPr="00C531D7">
              <w:rPr>
                <w:rFonts w:ascii="Verdana" w:hAnsi="Verdana"/>
              </w:rPr>
              <w:t xml:space="preserve"> Th</w:t>
            </w:r>
            <w:r>
              <w:rPr>
                <w:rFonts w:ascii="Verdana" w:hAnsi="Verdana"/>
              </w:rPr>
              <w:t xml:space="preserve">is </w:t>
            </w:r>
            <w:r w:rsidRPr="00C531D7">
              <w:rPr>
                <w:rFonts w:ascii="Verdana" w:hAnsi="Verdana"/>
              </w:rPr>
              <w:t xml:space="preserve">number includes institutions for persons with intellectual disability, institutions for adults with psychiatric disabilities, housing for the elderly and institutions for education of children and juvenile that were of full age at the moment of election announcement. The reasoning behind the decision to set up 13 polling stations was to maximally decrease the number of people voting at polling stations within institutions and to maximally encourage voting at regular polling stations, together with other citizens (principle of social inclusion). </w:t>
            </w:r>
            <w:r>
              <w:rPr>
                <w:rFonts w:ascii="Verdana" w:hAnsi="Verdana"/>
              </w:rPr>
              <w:t>The s</w:t>
            </w:r>
            <w:r w:rsidRPr="00C531D7">
              <w:rPr>
                <w:rFonts w:ascii="Verdana" w:hAnsi="Verdana"/>
              </w:rPr>
              <w:t>elected 13 institutions were singled out because it was assessed that due to remote location and some other circumstances, it would not be possible for residents to vote in regular polling stations in towns and municipalities in which the institutions are located.</w:t>
            </w:r>
          </w:p>
          <w:p w14:paraId="79810502" w14:textId="52D35252" w:rsidR="000309DC" w:rsidRPr="00C531D7" w:rsidRDefault="000309DC" w:rsidP="00C531D7">
            <w:pPr>
              <w:pStyle w:val="CommentText"/>
              <w:jc w:val="both"/>
              <w:rPr>
                <w:rFonts w:ascii="Verdana" w:hAnsi="Verdana"/>
              </w:rPr>
            </w:pPr>
            <w:r>
              <w:rPr>
                <w:rFonts w:ascii="Verdana" w:hAnsi="Verdana"/>
              </w:rPr>
              <w:t>Furthermore, i</w:t>
            </w:r>
            <w:r w:rsidRPr="00C531D7">
              <w:rPr>
                <w:rFonts w:ascii="Verdana" w:hAnsi="Verdana"/>
              </w:rPr>
              <w:t xml:space="preserve">n order to </w:t>
            </w:r>
            <w:r>
              <w:rPr>
                <w:rFonts w:ascii="Verdana" w:hAnsi="Verdana"/>
              </w:rPr>
              <w:t xml:space="preserve"> facilitate the</w:t>
            </w:r>
            <w:r w:rsidRPr="00C531D7">
              <w:rPr>
                <w:rFonts w:ascii="Verdana" w:hAnsi="Verdana"/>
              </w:rPr>
              <w:t xml:space="preserve"> participation in </w:t>
            </w:r>
            <w:r>
              <w:rPr>
                <w:rFonts w:ascii="Verdana" w:hAnsi="Verdana"/>
              </w:rPr>
              <w:t xml:space="preserve">the </w:t>
            </w:r>
            <w:r w:rsidRPr="00C531D7">
              <w:rPr>
                <w:rFonts w:ascii="Verdana" w:hAnsi="Verdana"/>
              </w:rPr>
              <w:t xml:space="preserve">election process for persons </w:t>
            </w:r>
            <w:r>
              <w:rPr>
                <w:rFonts w:ascii="Verdana" w:hAnsi="Verdana"/>
              </w:rPr>
              <w:t>to</w:t>
            </w:r>
            <w:r w:rsidRPr="00C531D7">
              <w:rPr>
                <w:rFonts w:ascii="Verdana" w:hAnsi="Verdana"/>
              </w:rPr>
              <w:t xml:space="preserve"> whom some sort of care is provided, all service providers, both institutional and non-institutional, were provided with detailed and concrete guidelines on actions they </w:t>
            </w:r>
            <w:r>
              <w:rPr>
                <w:rFonts w:ascii="Verdana" w:hAnsi="Verdana"/>
              </w:rPr>
              <w:t>have</w:t>
            </w:r>
            <w:r w:rsidRPr="00C531D7">
              <w:rPr>
                <w:rFonts w:ascii="Verdana" w:hAnsi="Verdana"/>
              </w:rPr>
              <w:t xml:space="preserve"> to </w:t>
            </w:r>
            <w:r w:rsidRPr="00C531D7">
              <w:rPr>
                <w:rFonts w:ascii="Verdana" w:hAnsi="Verdana"/>
              </w:rPr>
              <w:lastRenderedPageBreak/>
              <w:t xml:space="preserve">undertake and </w:t>
            </w:r>
            <w:r>
              <w:rPr>
                <w:rFonts w:ascii="Verdana" w:hAnsi="Verdana"/>
              </w:rPr>
              <w:t xml:space="preserve">on </w:t>
            </w:r>
            <w:r w:rsidRPr="00C531D7">
              <w:rPr>
                <w:rFonts w:ascii="Verdana" w:hAnsi="Verdana"/>
              </w:rPr>
              <w:t xml:space="preserve">support  they </w:t>
            </w:r>
            <w:r>
              <w:rPr>
                <w:rFonts w:ascii="Verdana" w:hAnsi="Verdana"/>
              </w:rPr>
              <w:t xml:space="preserve">have </w:t>
            </w:r>
            <w:r w:rsidRPr="00C531D7">
              <w:rPr>
                <w:rFonts w:ascii="Verdana" w:hAnsi="Verdana"/>
              </w:rPr>
              <w:t>to provide for users, so that they can enjoy their voting right.</w:t>
            </w:r>
          </w:p>
          <w:p w14:paraId="4504B83E" w14:textId="4A7AE0D2"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sz w:val="20"/>
                <w:szCs w:val="20"/>
              </w:rPr>
              <w:t xml:space="preserve">Also, if any of these persons was not able to come to the polling station, </w:t>
            </w:r>
            <w:r>
              <w:rPr>
                <w:rFonts w:ascii="Verdana" w:hAnsi="Verdana"/>
                <w:sz w:val="20"/>
                <w:szCs w:val="20"/>
              </w:rPr>
              <w:t xml:space="preserve">it was ensured that </w:t>
            </w:r>
            <w:r w:rsidRPr="00C531D7">
              <w:rPr>
                <w:rFonts w:ascii="Verdana" w:hAnsi="Verdana"/>
                <w:sz w:val="20"/>
                <w:szCs w:val="20"/>
              </w:rPr>
              <w:t xml:space="preserve">the election committee </w:t>
            </w:r>
            <w:r>
              <w:rPr>
                <w:rFonts w:ascii="Verdana" w:hAnsi="Verdana"/>
                <w:sz w:val="20"/>
                <w:szCs w:val="20"/>
              </w:rPr>
              <w:t xml:space="preserve">came </w:t>
            </w:r>
            <w:r w:rsidRPr="00C531D7">
              <w:rPr>
                <w:rFonts w:ascii="Verdana" w:hAnsi="Verdana"/>
                <w:sz w:val="20"/>
                <w:szCs w:val="20"/>
              </w:rPr>
              <w:t>to the room where the person resides</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19"/>
            </w:r>
          </w:p>
          <w:p w14:paraId="611CF491" w14:textId="34D0A177" w:rsidR="000309DC" w:rsidRPr="00C531D7" w:rsidRDefault="000309DC" w:rsidP="00C531D7">
            <w:pPr>
              <w:spacing w:before="240"/>
              <w:contextualSpacing/>
              <w:jc w:val="both"/>
              <w:rPr>
                <w:rFonts w:ascii="Verdana" w:hAnsi="Verdana" w:cs="Times New Roman"/>
                <w:color w:val="000000"/>
                <w:sz w:val="20"/>
                <w:szCs w:val="20"/>
                <w:lang w:val="en-GB"/>
              </w:rPr>
            </w:pPr>
          </w:p>
          <w:p w14:paraId="2EDF5AE9" w14:textId="187E7CF8" w:rsidR="000309DC" w:rsidRPr="000A2BD1" w:rsidRDefault="000309DC" w:rsidP="00480A1B">
            <w:pPr>
              <w:spacing w:before="240"/>
              <w:contextualSpacing/>
              <w:jc w:val="both"/>
              <w:rPr>
                <w:rFonts w:ascii="Verdana" w:hAnsi="Verdana" w:cs="Times New Roman"/>
                <w:color w:val="000000"/>
                <w:sz w:val="20"/>
                <w:szCs w:val="20"/>
                <w:lang w:val="en-GB"/>
              </w:rPr>
            </w:pPr>
            <w:r>
              <w:rPr>
                <w:rFonts w:ascii="Verdana" w:hAnsi="Verdana" w:cs="Times New Roman"/>
                <w:color w:val="000000"/>
                <w:sz w:val="20"/>
                <w:szCs w:val="20"/>
                <w:lang w:val="en-GB"/>
              </w:rPr>
              <w:t>For</w:t>
            </w:r>
            <w:r w:rsidRPr="00C531D7">
              <w:rPr>
                <w:rFonts w:ascii="Verdana" w:hAnsi="Verdana" w:cs="Times New Roman"/>
                <w:color w:val="000000"/>
                <w:sz w:val="20"/>
                <w:szCs w:val="20"/>
                <w:lang w:val="en-GB"/>
              </w:rPr>
              <w:t xml:space="preserve"> </w:t>
            </w:r>
            <w:r w:rsidRPr="00B500B5">
              <w:rPr>
                <w:rFonts w:ascii="Verdana" w:hAnsi="Verdana" w:cs="Times New Roman"/>
                <w:color w:val="000000"/>
                <w:sz w:val="20"/>
                <w:szCs w:val="20"/>
                <w:u w:val="single"/>
                <w:lang w:val="en-GB"/>
              </w:rPr>
              <w:t>local elections</w:t>
            </w:r>
            <w:r w:rsidRPr="00C531D7">
              <w:rPr>
                <w:rFonts w:ascii="Verdana" w:hAnsi="Verdana" w:cs="Times New Roman"/>
                <w:color w:val="000000"/>
                <w:sz w:val="20"/>
                <w:szCs w:val="20"/>
                <w:lang w:val="en-GB"/>
              </w:rPr>
              <w:t xml:space="preserve">, voting is </w:t>
            </w:r>
            <w:r>
              <w:rPr>
                <w:rFonts w:ascii="Verdana" w:hAnsi="Verdana" w:cs="Times New Roman"/>
                <w:color w:val="000000"/>
                <w:sz w:val="20"/>
                <w:szCs w:val="20"/>
                <w:lang w:val="en-GB"/>
              </w:rPr>
              <w:t xml:space="preserve">only </w:t>
            </w:r>
            <w:r w:rsidRPr="00C531D7">
              <w:rPr>
                <w:rFonts w:ascii="Verdana" w:hAnsi="Verdana" w:cs="Times New Roman"/>
                <w:color w:val="000000"/>
                <w:sz w:val="20"/>
                <w:szCs w:val="20"/>
                <w:lang w:val="en-GB"/>
              </w:rPr>
              <w:t xml:space="preserve">possible in specific polling stations based on </w:t>
            </w:r>
            <w:r>
              <w:rPr>
                <w:rFonts w:ascii="Verdana" w:hAnsi="Verdana" w:cs="Times New Roman"/>
                <w:color w:val="000000"/>
                <w:sz w:val="20"/>
                <w:szCs w:val="20"/>
                <w:lang w:val="en-GB"/>
              </w:rPr>
              <w:t>the p</w:t>
            </w:r>
            <w:r w:rsidRPr="00C531D7">
              <w:rPr>
                <w:rFonts w:ascii="Verdana" w:hAnsi="Verdana" w:cs="Times New Roman"/>
                <w:color w:val="000000"/>
                <w:sz w:val="20"/>
                <w:szCs w:val="20"/>
                <w:lang w:val="en-GB"/>
              </w:rPr>
              <w:t>ermanent residence. If the place of permanent residence differs from the location of the long term institutions, residents would have to travel and would not be able to vote at the location of temporary residence based on temporary voter registration.</w:t>
            </w:r>
            <w:r w:rsidRPr="00C531D7">
              <w:rPr>
                <w:rStyle w:val="FootnoteReference"/>
                <w:rFonts w:ascii="Verdana" w:hAnsi="Verdana" w:cs="Times New Roman"/>
                <w:color w:val="000000"/>
                <w:sz w:val="20"/>
                <w:szCs w:val="20"/>
                <w:lang w:val="en-GB"/>
              </w:rPr>
              <w:footnoteReference w:id="20"/>
            </w:r>
            <w:r w:rsidRPr="00C531D7">
              <w:rPr>
                <w:rFonts w:ascii="Verdana" w:hAnsi="Verdana" w:cs="Times New Roman"/>
                <w:color w:val="000000"/>
                <w:sz w:val="20"/>
                <w:szCs w:val="20"/>
                <w:lang w:val="en-GB"/>
              </w:rPr>
              <w:t xml:space="preserve"> </w:t>
            </w:r>
          </w:p>
        </w:tc>
      </w:tr>
      <w:tr w:rsidR="000309DC" w:rsidRPr="00C531D7" w14:paraId="0FCB97F1"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5350433F"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sz w:val="20"/>
                <w:szCs w:val="20"/>
              </w:rPr>
              <w:lastRenderedPageBreak/>
              <w:t xml:space="preserve">Is there a duty under law to provide reasonable accommodation for persons with disabilities in voting procedures? For example, is there a duty to provide assistance at the polling station (e.g. braille or large print ballot papers, independent support person to assist with voting chosen by the person with a disability) or to allow for alternative means of voting (e.g. postal ballots, voting in advance, home-based voting, voting at institutions, mobile </w:t>
            </w:r>
            <w:r w:rsidRPr="00C531D7">
              <w:rPr>
                <w:rFonts w:ascii="Verdana" w:hAnsi="Verdana"/>
                <w:sz w:val="20"/>
                <w:szCs w:val="20"/>
              </w:rPr>
              <w:lastRenderedPageBreak/>
              <w:t>voting)?</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BA4C2C" w14:textId="33534D08" w:rsidR="000309DC" w:rsidRDefault="000309DC" w:rsidP="00C531D7">
            <w:pPr>
              <w:spacing w:after="0" w:line="240" w:lineRule="auto"/>
              <w:jc w:val="both"/>
              <w:rPr>
                <w:rFonts w:ascii="Verdana" w:eastAsia="Calibri" w:hAnsi="Verdana" w:cs="Times New Roman"/>
                <w:sz w:val="20"/>
                <w:szCs w:val="20"/>
                <w:lang w:bidi="en-US"/>
              </w:rPr>
            </w:pPr>
            <w:r>
              <w:rPr>
                <w:rFonts w:ascii="Verdana" w:eastAsia="Calibri" w:hAnsi="Verdana" w:cs="Times New Roman"/>
                <w:sz w:val="20"/>
                <w:szCs w:val="20"/>
                <w:lang w:bidi="en-US"/>
              </w:rPr>
              <w:lastRenderedPageBreak/>
              <w:t xml:space="preserve">To </w:t>
            </w:r>
            <w:r w:rsidRPr="00C531D7">
              <w:rPr>
                <w:rFonts w:ascii="Verdana" w:eastAsia="Calibri" w:hAnsi="Verdana" w:cs="Times New Roman"/>
                <w:sz w:val="20"/>
                <w:szCs w:val="20"/>
                <w:lang w:bidi="en-US"/>
              </w:rPr>
              <w:t>specify the rules and procedure related to provisions regulating voting of persons with disability (and some other categories of voters, such as illiterate voters and voters who cannot access the polling place), the National Elections Committee (</w:t>
            </w:r>
            <w:proofErr w:type="spellStart"/>
            <w:r w:rsidRPr="00C531D7">
              <w:rPr>
                <w:rFonts w:ascii="Verdana" w:eastAsia="Calibri" w:hAnsi="Verdana" w:cs="Times New Roman"/>
                <w:i/>
                <w:sz w:val="20"/>
                <w:szCs w:val="20"/>
                <w:lang w:bidi="en-US"/>
              </w:rPr>
              <w:t>Državno</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izborno</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povjerenstvo</w:t>
            </w:r>
            <w:proofErr w:type="spellEnd"/>
            <w:r w:rsidRPr="00C531D7">
              <w:rPr>
                <w:rFonts w:ascii="Verdana" w:eastAsia="Calibri" w:hAnsi="Verdana" w:cs="Times New Roman"/>
                <w:sz w:val="20"/>
                <w:szCs w:val="20"/>
                <w:lang w:bidi="en-US"/>
              </w:rPr>
              <w:t>) issues mandatory instructions for local committees. The instructions, issued for all elections, specify that a voter who is not able to fill the ballot by him/herself due to physical impairment or illiteracy can be accompanied by a person of trust. The mandatory instructions also specify the procedure in cases when a voter cannot come to the polling place. Based on a voter’s request, and providing that it can do it without causing disturbance to voting at the polling station, the polling committee shall send at least two of its members to voter’s residence.</w:t>
            </w:r>
            <w:r w:rsidRPr="00C531D7">
              <w:rPr>
                <w:rFonts w:ascii="Verdana" w:eastAsia="Calibri" w:hAnsi="Verdana" w:cs="Times New Roman"/>
                <w:sz w:val="20"/>
                <w:szCs w:val="20"/>
                <w:vertAlign w:val="superscript"/>
                <w:lang w:bidi="en-US"/>
              </w:rPr>
              <w:footnoteReference w:id="21"/>
            </w:r>
            <w:r>
              <w:rPr>
                <w:rFonts w:ascii="Verdana" w:eastAsia="Calibri" w:hAnsi="Verdana" w:cs="Times New Roman"/>
                <w:sz w:val="20"/>
                <w:szCs w:val="20"/>
                <w:lang w:bidi="en-US"/>
              </w:rPr>
              <w:t xml:space="preserve"> </w:t>
            </w:r>
            <w:r w:rsidRPr="00C531D7">
              <w:rPr>
                <w:rFonts w:ascii="Verdana" w:eastAsia="Calibri" w:hAnsi="Verdana" w:cs="Times New Roman"/>
                <w:sz w:val="20"/>
                <w:szCs w:val="20"/>
                <w:lang w:bidi="en-US"/>
              </w:rPr>
              <w:t>If a voter comes to a polling place, but cannot access the polling station due to lack of accessibility, two members of the polling committee shall meet the voter in front of the polling place and ensure that he/she can vote, assuring secrecy of voting</w:t>
            </w:r>
            <w:r w:rsidRPr="00C531D7">
              <w:rPr>
                <w:rFonts w:ascii="Verdana" w:eastAsia="Calibri" w:hAnsi="Verdana" w:cs="Times New Roman"/>
                <w:sz w:val="20"/>
                <w:szCs w:val="20"/>
                <w:vertAlign w:val="superscript"/>
                <w:lang w:bidi="en-US"/>
              </w:rPr>
              <w:footnoteReference w:id="22"/>
            </w:r>
            <w:r>
              <w:rPr>
                <w:rFonts w:ascii="Verdana" w:eastAsia="Calibri" w:hAnsi="Verdana" w:cs="Times New Roman"/>
                <w:sz w:val="20"/>
                <w:szCs w:val="20"/>
                <w:lang w:bidi="en-US"/>
              </w:rPr>
              <w:t>.</w:t>
            </w:r>
          </w:p>
          <w:p w14:paraId="6DFF3618" w14:textId="77777777" w:rsidR="000309DC" w:rsidRPr="00C531D7" w:rsidRDefault="000309DC" w:rsidP="00C531D7">
            <w:pPr>
              <w:spacing w:after="0" w:line="240" w:lineRule="auto"/>
              <w:jc w:val="both"/>
              <w:rPr>
                <w:rFonts w:ascii="Verdana" w:eastAsia="Calibri" w:hAnsi="Verdana" w:cs="Times New Roman"/>
                <w:sz w:val="20"/>
                <w:szCs w:val="20"/>
                <w:lang w:bidi="en-US"/>
              </w:rPr>
            </w:pPr>
          </w:p>
          <w:p w14:paraId="4BCE85D2" w14:textId="7B66CFD9" w:rsidR="000309DC" w:rsidRDefault="000309DC" w:rsidP="00C531D7">
            <w:pPr>
              <w:spacing w:after="0" w:line="240" w:lineRule="auto"/>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In the 2010 act regulating European Parliament elections</w:t>
            </w:r>
            <w:r w:rsidRPr="00C531D7">
              <w:rPr>
                <w:rFonts w:ascii="Verdana" w:eastAsia="Calibri" w:hAnsi="Verdana" w:cs="Times New Roman"/>
                <w:sz w:val="20"/>
                <w:szCs w:val="20"/>
                <w:vertAlign w:val="superscript"/>
                <w:lang w:bidi="en-US"/>
              </w:rPr>
              <w:footnoteReference w:id="23"/>
            </w:r>
            <w:r>
              <w:rPr>
                <w:rFonts w:ascii="Verdana" w:eastAsia="Calibri" w:hAnsi="Verdana" w:cs="Times New Roman"/>
                <w:sz w:val="20"/>
                <w:szCs w:val="20"/>
                <w:lang w:bidi="en-US"/>
              </w:rPr>
              <w:t xml:space="preserve">, </w:t>
            </w:r>
            <w:r w:rsidRPr="00C531D7">
              <w:rPr>
                <w:rFonts w:ascii="Verdana" w:eastAsia="Calibri" w:hAnsi="Verdana" w:cs="Times New Roman"/>
                <w:sz w:val="20"/>
                <w:szCs w:val="20"/>
                <w:lang w:bidi="en-US"/>
              </w:rPr>
              <w:t>a possibility to vote using ballots in Braille had been introduced</w:t>
            </w:r>
            <w:r>
              <w:rPr>
                <w:rFonts w:ascii="Verdana" w:eastAsia="Calibri" w:hAnsi="Verdana" w:cs="Times New Roman"/>
                <w:sz w:val="20"/>
                <w:szCs w:val="20"/>
                <w:lang w:bidi="en-US"/>
              </w:rPr>
              <w:t>. This is</w:t>
            </w:r>
            <w:r w:rsidRPr="00C531D7">
              <w:rPr>
                <w:rFonts w:ascii="Verdana" w:eastAsia="Calibri" w:hAnsi="Verdana" w:cs="Times New Roman"/>
                <w:sz w:val="20"/>
                <w:szCs w:val="20"/>
                <w:lang w:bidi="en-US"/>
              </w:rPr>
              <w:t xml:space="preserve"> upon request to</w:t>
            </w:r>
            <w:r>
              <w:rPr>
                <w:rFonts w:ascii="Verdana" w:eastAsia="Calibri" w:hAnsi="Verdana" w:cs="Times New Roman"/>
                <w:sz w:val="20"/>
                <w:szCs w:val="20"/>
                <w:lang w:bidi="en-US"/>
              </w:rPr>
              <w:t xml:space="preserve"> the</w:t>
            </w:r>
            <w:r w:rsidRPr="00C531D7">
              <w:rPr>
                <w:rFonts w:ascii="Verdana" w:eastAsia="Calibri" w:hAnsi="Verdana" w:cs="Times New Roman"/>
                <w:sz w:val="20"/>
                <w:szCs w:val="20"/>
                <w:lang w:bidi="en-US"/>
              </w:rPr>
              <w:t xml:space="preserve"> local election committee up to 30 </w:t>
            </w:r>
            <w:r w:rsidRPr="00C531D7">
              <w:rPr>
                <w:rFonts w:ascii="Verdana" w:eastAsia="Calibri" w:hAnsi="Verdana" w:cs="Times New Roman"/>
                <w:sz w:val="20"/>
                <w:szCs w:val="20"/>
                <w:lang w:bidi="en-US"/>
              </w:rPr>
              <w:lastRenderedPageBreak/>
              <w:t>days prior to election day. However, the Amendments to the Act provided that voting material in Braille would not be available during 2013 elections.</w:t>
            </w:r>
            <w:r w:rsidRPr="00C531D7">
              <w:rPr>
                <w:rFonts w:ascii="Verdana" w:eastAsia="Calibri" w:hAnsi="Verdana" w:cs="Times New Roman"/>
                <w:sz w:val="20"/>
                <w:szCs w:val="20"/>
                <w:vertAlign w:val="superscript"/>
                <w:lang w:bidi="en-US"/>
              </w:rPr>
              <w:footnoteReference w:id="24"/>
            </w:r>
            <w:r w:rsidRPr="00C531D7">
              <w:rPr>
                <w:rFonts w:ascii="Verdana" w:eastAsia="Calibri" w:hAnsi="Verdana" w:cs="Times New Roman"/>
                <w:sz w:val="20"/>
                <w:szCs w:val="20"/>
                <w:lang w:bidi="en-US"/>
              </w:rPr>
              <w:t xml:space="preserve"> In preparation for the 2014 European Parliament elections, the law was amended again, and the Proposal of the Act on Amendments to the Act on the Elections of Representatives from the Republic of Croatia to the European Parliament (</w:t>
            </w:r>
            <w:proofErr w:type="spellStart"/>
            <w:r w:rsidRPr="00C531D7">
              <w:rPr>
                <w:rFonts w:ascii="Verdana" w:eastAsia="Calibri" w:hAnsi="Verdana" w:cs="Times New Roman"/>
                <w:i/>
                <w:sz w:val="20"/>
                <w:szCs w:val="20"/>
                <w:lang w:bidi="en-US"/>
              </w:rPr>
              <w:t>Prijedlog</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zakona</w:t>
            </w:r>
            <w:proofErr w:type="spellEnd"/>
            <w:r w:rsidRPr="00C531D7">
              <w:rPr>
                <w:rFonts w:ascii="Verdana" w:eastAsia="Calibri" w:hAnsi="Verdana" w:cs="Times New Roman"/>
                <w:i/>
                <w:sz w:val="20"/>
                <w:szCs w:val="20"/>
                <w:lang w:bidi="en-US"/>
              </w:rPr>
              <w:t xml:space="preserve"> o </w:t>
            </w:r>
            <w:proofErr w:type="spellStart"/>
            <w:r w:rsidRPr="00C531D7">
              <w:rPr>
                <w:rFonts w:ascii="Verdana" w:eastAsia="Calibri" w:hAnsi="Verdana" w:cs="Times New Roman"/>
                <w:i/>
                <w:sz w:val="20"/>
                <w:szCs w:val="20"/>
                <w:lang w:bidi="en-US"/>
              </w:rPr>
              <w:t>izmjenama</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i</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dopunama</w:t>
            </w:r>
            <w:proofErr w:type="spellEnd"/>
            <w:r w:rsidRPr="00C531D7">
              <w:rPr>
                <w:rFonts w:ascii="Verdana" w:eastAsia="Calibri" w:hAnsi="Verdana" w:cs="Times New Roman"/>
                <w:sz w:val="20"/>
                <w:szCs w:val="20"/>
                <w:lang w:bidi="en-US"/>
              </w:rPr>
              <w:t xml:space="preserve"> </w:t>
            </w:r>
            <w:proofErr w:type="spellStart"/>
            <w:r w:rsidRPr="00C531D7">
              <w:rPr>
                <w:rFonts w:ascii="Verdana" w:eastAsia="Calibri" w:hAnsi="Verdana" w:cs="Times New Roman"/>
                <w:i/>
                <w:sz w:val="20"/>
                <w:szCs w:val="20"/>
                <w:lang w:bidi="en-US"/>
              </w:rPr>
              <w:t>Zakona</w:t>
            </w:r>
            <w:proofErr w:type="spellEnd"/>
            <w:r w:rsidRPr="00C531D7">
              <w:rPr>
                <w:rFonts w:ascii="Verdana" w:eastAsia="Calibri" w:hAnsi="Verdana" w:cs="Times New Roman"/>
                <w:i/>
                <w:sz w:val="20"/>
                <w:szCs w:val="20"/>
                <w:lang w:bidi="en-US"/>
              </w:rPr>
              <w:t xml:space="preserve"> o </w:t>
            </w:r>
            <w:proofErr w:type="spellStart"/>
            <w:r w:rsidRPr="00C531D7">
              <w:rPr>
                <w:rFonts w:ascii="Verdana" w:eastAsia="Calibri" w:hAnsi="Verdana" w:cs="Times New Roman"/>
                <w:i/>
                <w:sz w:val="20"/>
                <w:szCs w:val="20"/>
                <w:lang w:bidi="en-US"/>
              </w:rPr>
              <w:t>izborima</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zastupnika</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iz</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Republike</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Hrvatske</w:t>
            </w:r>
            <w:proofErr w:type="spellEnd"/>
            <w:r w:rsidRPr="00C531D7">
              <w:rPr>
                <w:rFonts w:ascii="Verdana" w:eastAsia="Calibri" w:hAnsi="Verdana" w:cs="Times New Roman"/>
                <w:i/>
                <w:sz w:val="20"/>
                <w:szCs w:val="20"/>
                <w:lang w:bidi="en-US"/>
              </w:rPr>
              <w:t xml:space="preserve"> u </w:t>
            </w:r>
            <w:proofErr w:type="spellStart"/>
            <w:r w:rsidRPr="00C531D7">
              <w:rPr>
                <w:rFonts w:ascii="Verdana" w:eastAsia="Calibri" w:hAnsi="Verdana" w:cs="Times New Roman"/>
                <w:i/>
                <w:sz w:val="20"/>
                <w:szCs w:val="20"/>
                <w:lang w:bidi="en-US"/>
              </w:rPr>
              <w:t>Europski</w:t>
            </w:r>
            <w:proofErr w:type="spellEnd"/>
            <w:r w:rsidRPr="00C531D7">
              <w:rPr>
                <w:rFonts w:ascii="Verdana" w:eastAsia="Calibri" w:hAnsi="Verdana" w:cs="Times New Roman"/>
                <w:i/>
                <w:sz w:val="20"/>
                <w:szCs w:val="20"/>
                <w:lang w:bidi="en-US"/>
              </w:rPr>
              <w:t xml:space="preserve"> </w:t>
            </w:r>
            <w:proofErr w:type="spellStart"/>
            <w:r w:rsidRPr="00C531D7">
              <w:rPr>
                <w:rFonts w:ascii="Verdana" w:eastAsia="Calibri" w:hAnsi="Verdana" w:cs="Times New Roman"/>
                <w:i/>
                <w:sz w:val="20"/>
                <w:szCs w:val="20"/>
                <w:lang w:bidi="en-US"/>
              </w:rPr>
              <w:t>parlament</w:t>
            </w:r>
            <w:proofErr w:type="spellEnd"/>
            <w:r w:rsidRPr="00C531D7">
              <w:rPr>
                <w:rFonts w:ascii="Verdana" w:eastAsia="Calibri" w:hAnsi="Verdana" w:cs="Times New Roman"/>
                <w:sz w:val="20"/>
                <w:szCs w:val="20"/>
                <w:lang w:bidi="en-US"/>
              </w:rPr>
              <w:t xml:space="preserve">) has been adopted by the Parliament on </w:t>
            </w:r>
            <w:r>
              <w:rPr>
                <w:rFonts w:ascii="Verdana" w:eastAsia="Calibri" w:hAnsi="Verdana" w:cs="Times New Roman"/>
                <w:sz w:val="20"/>
                <w:szCs w:val="20"/>
                <w:lang w:bidi="en-US"/>
              </w:rPr>
              <w:t xml:space="preserve">the </w:t>
            </w:r>
            <w:r w:rsidRPr="00C531D7">
              <w:rPr>
                <w:rFonts w:ascii="Verdana" w:eastAsia="Calibri" w:hAnsi="Verdana" w:cs="Times New Roman"/>
                <w:sz w:val="20"/>
                <w:szCs w:val="20"/>
                <w:lang w:bidi="en-US"/>
              </w:rPr>
              <w:t>22</w:t>
            </w:r>
            <w:r w:rsidRPr="00B500B5">
              <w:rPr>
                <w:rFonts w:ascii="Verdana" w:eastAsia="Calibri" w:hAnsi="Verdana" w:cs="Times New Roman"/>
                <w:sz w:val="20"/>
                <w:szCs w:val="20"/>
                <w:vertAlign w:val="superscript"/>
                <w:lang w:bidi="en-US"/>
              </w:rPr>
              <w:t>nd</w:t>
            </w:r>
            <w:r>
              <w:rPr>
                <w:rFonts w:ascii="Verdana" w:eastAsia="Calibri" w:hAnsi="Verdana" w:cs="Times New Roman"/>
                <w:sz w:val="20"/>
                <w:szCs w:val="20"/>
                <w:lang w:bidi="en-US"/>
              </w:rPr>
              <w:t xml:space="preserve"> of</w:t>
            </w:r>
            <w:r w:rsidRPr="00C531D7">
              <w:rPr>
                <w:rFonts w:ascii="Verdana" w:eastAsia="Calibri" w:hAnsi="Verdana" w:cs="Times New Roman"/>
                <w:sz w:val="20"/>
                <w:szCs w:val="20"/>
                <w:lang w:bidi="en-US"/>
              </w:rPr>
              <w:t xml:space="preserve"> November 2013.</w:t>
            </w:r>
            <w:r w:rsidRPr="00C531D7">
              <w:rPr>
                <w:rFonts w:ascii="Verdana" w:eastAsia="Calibri" w:hAnsi="Verdana" w:cs="Times New Roman"/>
                <w:sz w:val="20"/>
                <w:szCs w:val="20"/>
                <w:vertAlign w:val="superscript"/>
                <w:lang w:bidi="en-US"/>
              </w:rPr>
              <w:footnoteReference w:id="25"/>
            </w:r>
            <w:r w:rsidRPr="00C531D7">
              <w:rPr>
                <w:rFonts w:ascii="Verdana" w:eastAsia="Calibri" w:hAnsi="Verdana" w:cs="Times New Roman"/>
                <w:sz w:val="20"/>
                <w:szCs w:val="20"/>
                <w:lang w:bidi="en-US"/>
              </w:rPr>
              <w:t xml:space="preserve"> </w:t>
            </w:r>
          </w:p>
          <w:p w14:paraId="4A1033BC" w14:textId="77777777" w:rsidR="000309DC" w:rsidRDefault="000309DC" w:rsidP="00C531D7">
            <w:pPr>
              <w:spacing w:after="0" w:line="240" w:lineRule="auto"/>
              <w:jc w:val="both"/>
              <w:rPr>
                <w:rFonts w:ascii="Verdana" w:eastAsia="Calibri" w:hAnsi="Verdana" w:cs="Times New Roman"/>
                <w:sz w:val="20"/>
                <w:szCs w:val="20"/>
                <w:lang w:bidi="en-US"/>
              </w:rPr>
            </w:pPr>
          </w:p>
          <w:p w14:paraId="58535408" w14:textId="670FB187" w:rsidR="000309DC" w:rsidRPr="00CF0728" w:rsidRDefault="000309DC" w:rsidP="00CF0728">
            <w:pPr>
              <w:spacing w:after="0" w:line="240" w:lineRule="auto"/>
              <w:jc w:val="both"/>
              <w:rPr>
                <w:rFonts w:ascii="Verdana" w:eastAsia="Calibri" w:hAnsi="Verdana" w:cs="Times New Roman"/>
                <w:sz w:val="20"/>
                <w:szCs w:val="20"/>
                <w:lang w:bidi="en-US"/>
              </w:rPr>
            </w:pPr>
            <w:r w:rsidRPr="00C531D7">
              <w:rPr>
                <w:rFonts w:ascii="Verdana" w:eastAsia="Calibri" w:hAnsi="Verdana" w:cs="Times New Roman"/>
                <w:sz w:val="20"/>
                <w:szCs w:val="20"/>
                <w:lang w:val="en-GB" w:bidi="en-US"/>
              </w:rPr>
              <w:t>According to</w:t>
            </w:r>
            <w:r>
              <w:rPr>
                <w:rFonts w:ascii="Verdana" w:eastAsia="Calibri" w:hAnsi="Verdana" w:cs="Times New Roman"/>
                <w:sz w:val="20"/>
                <w:szCs w:val="20"/>
                <w:lang w:val="en-GB" w:bidi="en-US"/>
              </w:rPr>
              <w:t xml:space="preserve"> article 10 of</w:t>
            </w:r>
            <w:r w:rsidRPr="00C531D7">
              <w:rPr>
                <w:rFonts w:ascii="Verdana" w:eastAsia="Calibri" w:hAnsi="Verdana" w:cs="Times New Roman"/>
                <w:sz w:val="20"/>
                <w:szCs w:val="20"/>
                <w:lang w:val="en-GB" w:bidi="en-US"/>
              </w:rPr>
              <w:t xml:space="preserve"> the proposal, blind persons have two options: to cast a vote via an accompanying person or to vote independently using a special matrix. Specifically, a ballot in Braille is posted in a polling station, and is used in conjunction with a stencil. This stencil is placed on top of a ‘regular’ ballot and allows voters to identify their voting choice by counting the number of holes.</w:t>
            </w:r>
          </w:p>
        </w:tc>
      </w:tr>
      <w:tr w:rsidR="000309DC" w:rsidRPr="00C531D7" w14:paraId="13AED6B2"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1A6EEB58"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EDB10" w14:textId="64D1934C" w:rsidR="000309DC" w:rsidRDefault="000309DC" w:rsidP="00C531D7">
            <w:pPr>
              <w:spacing w:before="240"/>
              <w:contextualSpacing/>
              <w:jc w:val="both"/>
              <w:rPr>
                <w:rFonts w:ascii="Verdana" w:hAnsi="Verdana" w:cs="Times New Roman"/>
                <w:sz w:val="20"/>
                <w:szCs w:val="20"/>
                <w:lang w:val="en-GB"/>
              </w:rPr>
            </w:pPr>
            <w:r>
              <w:rPr>
                <w:rFonts w:ascii="Verdana" w:eastAsia="Calibri" w:hAnsi="Verdana" w:cs="Times New Roman"/>
                <w:sz w:val="20"/>
                <w:szCs w:val="20"/>
                <w:lang w:val="en-GB"/>
              </w:rPr>
              <w:t xml:space="preserve">Article 24 (4) of the </w:t>
            </w:r>
            <w:r w:rsidRPr="00C531D7">
              <w:rPr>
                <w:rFonts w:ascii="Verdana" w:eastAsia="Calibri" w:hAnsi="Verdana" w:cs="Times New Roman"/>
                <w:sz w:val="20"/>
                <w:szCs w:val="20"/>
                <w:lang w:val="en-GB"/>
              </w:rPr>
              <w:t>Act on Electronic Communications</w:t>
            </w:r>
            <w:r w:rsidRPr="00C531D7">
              <w:rPr>
                <w:rStyle w:val="FootnoteReference"/>
                <w:rFonts w:ascii="Verdana" w:eastAsia="Calibri" w:hAnsi="Verdana" w:cs="Times New Roman"/>
                <w:sz w:val="20"/>
                <w:szCs w:val="20"/>
                <w:lang w:val="en-GB"/>
              </w:rPr>
              <w:footnoteReference w:id="26"/>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(which </w:t>
            </w:r>
            <w:r w:rsidRPr="00C531D7">
              <w:rPr>
                <w:rFonts w:ascii="Verdana" w:eastAsia="Calibri" w:hAnsi="Verdana" w:cs="Times New Roman"/>
                <w:sz w:val="20"/>
                <w:szCs w:val="20"/>
                <w:lang w:val="en-GB"/>
              </w:rPr>
              <w:t xml:space="preserve">includes networks, infrastructure and equipment, but not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end</w:t>
            </w:r>
            <w:r>
              <w:rPr>
                <w:rFonts w:ascii="Verdana" w:eastAsia="Calibri" w:hAnsi="Verdana" w:cs="Times New Roman"/>
                <w:sz w:val="20"/>
                <w:szCs w:val="20"/>
                <w:lang w:val="en-GB"/>
              </w:rPr>
              <w:t xml:space="preserve"> </w:t>
            </w:r>
            <w:r w:rsidRPr="00C531D7">
              <w:rPr>
                <w:rFonts w:ascii="Verdana" w:eastAsia="Calibri" w:hAnsi="Verdana" w:cs="Times New Roman"/>
                <w:sz w:val="20"/>
                <w:szCs w:val="20"/>
                <w:lang w:val="en-GB"/>
              </w:rPr>
              <w:t>product i.e. websites and webpages</w:t>
            </w:r>
            <w:r>
              <w:rPr>
                <w:rFonts w:ascii="Verdana" w:eastAsia="Calibri" w:hAnsi="Verdana" w:cs="Times New Roman"/>
                <w:sz w:val="20"/>
                <w:szCs w:val="20"/>
                <w:lang w:val="en-GB"/>
              </w:rPr>
              <w:t>)</w:t>
            </w:r>
            <w:r w:rsidRPr="00C531D7">
              <w:rPr>
                <w:rFonts w:ascii="Verdana" w:hAnsi="Verdana" w:cs="Times New Roman"/>
                <w:sz w:val="20"/>
                <w:szCs w:val="20"/>
                <w:lang w:val="en-GB"/>
              </w:rPr>
              <w:t xml:space="preserve">provides that electronic communication network, electronic communication infrastructure and other related equipment has to be planned, engineered, set and installed in a manner that assures accessibility of public electronic communication services to persons with disability. </w:t>
            </w:r>
          </w:p>
          <w:p w14:paraId="601A6EB1" w14:textId="77777777" w:rsidR="000309DC" w:rsidRDefault="000309DC" w:rsidP="00C531D7">
            <w:pPr>
              <w:spacing w:before="240"/>
              <w:contextualSpacing/>
              <w:jc w:val="both"/>
              <w:rPr>
                <w:rFonts w:ascii="Verdana" w:hAnsi="Verdana" w:cs="Times New Roman"/>
                <w:sz w:val="20"/>
                <w:szCs w:val="20"/>
                <w:lang w:val="en-GB"/>
              </w:rPr>
            </w:pPr>
          </w:p>
          <w:p w14:paraId="024850DA" w14:textId="570CC6B1" w:rsidR="000309DC" w:rsidRDefault="000309DC" w:rsidP="00C531D7">
            <w:pPr>
              <w:spacing w:before="240"/>
              <w:contextualSpacing/>
              <w:jc w:val="both"/>
              <w:rPr>
                <w:rFonts w:ascii="Verdana" w:hAnsi="Verdana" w:cs="Times New Roman"/>
                <w:sz w:val="20"/>
                <w:szCs w:val="20"/>
                <w:lang w:val="en-GB"/>
              </w:rPr>
            </w:pPr>
            <w:r>
              <w:rPr>
                <w:rFonts w:ascii="Verdana" w:hAnsi="Verdana" w:cs="Times New Roman"/>
                <w:sz w:val="20"/>
                <w:szCs w:val="20"/>
                <w:lang w:val="en-GB"/>
              </w:rPr>
              <w:t xml:space="preserve">The </w:t>
            </w:r>
            <w:r>
              <w:rPr>
                <w:rStyle w:val="hps"/>
                <w:rFonts w:ascii="Verdana" w:hAnsi="Verdana" w:cs="Times New Roman"/>
                <w:sz w:val="20"/>
                <w:szCs w:val="20"/>
                <w:lang w:val="en-GB"/>
              </w:rPr>
              <w:t>e</w:t>
            </w:r>
            <w:r w:rsidRPr="00C531D7">
              <w:rPr>
                <w:rStyle w:val="hps"/>
                <w:rFonts w:ascii="Verdana" w:hAnsi="Verdana" w:cs="Times New Roman"/>
                <w:sz w:val="20"/>
                <w:szCs w:val="20"/>
                <w:lang w:val="en-GB"/>
              </w:rPr>
              <w:t>lectronic communications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services, regulated by this Act,</w:t>
            </w:r>
            <w:r w:rsidRPr="00C531D7">
              <w:rPr>
                <w:rFonts w:ascii="Verdana" w:hAnsi="Verdana" w:cs="Times New Roman"/>
                <w:sz w:val="20"/>
                <w:szCs w:val="20"/>
                <w:lang w:val="en-GB"/>
              </w:rPr>
              <w:t xml:space="preserve"> are defined in Art. 2(1) as </w:t>
            </w:r>
            <w:r w:rsidRPr="00C531D7">
              <w:rPr>
                <w:rStyle w:val="hps"/>
                <w:rFonts w:ascii="Verdana" w:hAnsi="Verdana" w:cs="Times New Roman"/>
                <w:sz w:val="20"/>
                <w:szCs w:val="20"/>
                <w:lang w:val="en-GB"/>
              </w:rPr>
              <w:t>services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that consist</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wholly or</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mainly</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signal transmission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via</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electronic communications networks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including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telecommunications services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and</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transmission services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 the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broadcasting networks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 xml:space="preserve">and </w:t>
            </w:r>
            <w:r w:rsidRPr="00B500B5">
              <w:rPr>
                <w:rStyle w:val="hps"/>
                <w:rFonts w:ascii="Verdana" w:hAnsi="Verdana" w:cs="Times New Roman"/>
                <w:sz w:val="20"/>
                <w:szCs w:val="20"/>
                <w:lang w:val="en-GB"/>
              </w:rPr>
              <w:t>do not include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service</w:t>
            </w:r>
            <w:r w:rsidRPr="00C531D7">
              <w:rPr>
                <w:rFonts w:ascii="Verdana" w:hAnsi="Verdana" w:cs="Times New Roman"/>
                <w:sz w:val="20"/>
                <w:szCs w:val="20"/>
                <w:lang w:val="en-GB"/>
              </w:rPr>
              <w:t xml:space="preserve"> of content </w:t>
            </w:r>
            <w:r w:rsidRPr="00C531D7">
              <w:rPr>
                <w:rStyle w:val="hps"/>
                <w:rFonts w:ascii="Verdana" w:hAnsi="Verdana" w:cs="Times New Roman"/>
                <w:sz w:val="20"/>
                <w:szCs w:val="20"/>
                <w:lang w:val="en-GB"/>
              </w:rPr>
              <w:t>provision and</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editorial</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control</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over the content</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transmitted</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using electronic</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communications networks and services</w:t>
            </w:r>
            <w:r w:rsidRPr="00C531D7">
              <w:rPr>
                <w:rFonts w:ascii="Verdana" w:hAnsi="Verdana" w:cs="Times New Roman"/>
                <w:sz w:val="20"/>
                <w:szCs w:val="20"/>
                <w:lang w:val="en-GB"/>
              </w:rPr>
              <w:t xml:space="preserve">. </w:t>
            </w:r>
          </w:p>
          <w:p w14:paraId="2D306FDC"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2B5269BA" w14:textId="478CFB2D"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There is no duty under law for the National Election Committee (NEC) (</w:t>
            </w:r>
            <w:proofErr w:type="spellStart"/>
            <w:r w:rsidRPr="00C531D7">
              <w:rPr>
                <w:rFonts w:ascii="Verdana" w:eastAsia="Calibri" w:hAnsi="Verdana" w:cs="Times New Roman"/>
                <w:i/>
                <w:sz w:val="20"/>
                <w:szCs w:val="20"/>
                <w:lang w:val="en-GB"/>
              </w:rPr>
              <w:t>Državno</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izborno</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povjerenstvo</w:t>
            </w:r>
            <w:proofErr w:type="spellEnd"/>
            <w:r w:rsidRPr="00C531D7">
              <w:rPr>
                <w:rFonts w:ascii="Verdana" w:eastAsia="Calibri" w:hAnsi="Verdana" w:cs="Times New Roman"/>
                <w:sz w:val="20"/>
                <w:szCs w:val="20"/>
                <w:lang w:val="en-GB"/>
              </w:rPr>
              <w:t>) to ensure that the public information provided is subject to accessibility requirements.</w:t>
            </w:r>
            <w:r w:rsidRPr="00C531D7">
              <w:rPr>
                <w:rStyle w:val="FootnoteReference"/>
                <w:rFonts w:ascii="Verdana" w:eastAsia="Calibri" w:hAnsi="Verdana" w:cs="Times New Roman"/>
                <w:sz w:val="20"/>
                <w:szCs w:val="20"/>
                <w:lang w:val="en-GB"/>
              </w:rPr>
              <w:footnoteReference w:id="27"/>
            </w:r>
          </w:p>
        </w:tc>
      </w:tr>
      <w:tr w:rsidR="000309DC" w:rsidRPr="00C531D7" w14:paraId="7E504091"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06C98FE1"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B05335" w14:textId="65C8BD89" w:rsidR="000309DC" w:rsidRPr="00C531D7" w:rsidRDefault="000309DC" w:rsidP="00C531D7">
            <w:pPr>
              <w:jc w:val="both"/>
              <w:rPr>
                <w:rFonts w:ascii="Verdana" w:hAnsi="Verdana" w:cs="Times New Roman"/>
                <w:sz w:val="20"/>
                <w:szCs w:val="20"/>
                <w:lang w:val="en-GB"/>
              </w:rPr>
            </w:pPr>
            <w:r w:rsidRPr="00C531D7">
              <w:rPr>
                <w:rFonts w:ascii="Verdana" w:hAnsi="Verdana" w:cs="Times New Roman"/>
                <w:sz w:val="20"/>
                <w:szCs w:val="20"/>
                <w:lang w:val="en-GB"/>
              </w:rPr>
              <w:t>Article 14 of the Electronic Media Act</w:t>
            </w:r>
            <w:r w:rsidRPr="00C531D7">
              <w:rPr>
                <w:rStyle w:val="FootnoteReference"/>
                <w:rFonts w:ascii="Verdana" w:hAnsi="Verdana" w:cs="Times New Roman"/>
                <w:sz w:val="20"/>
                <w:szCs w:val="20"/>
                <w:lang w:val="en-GB"/>
              </w:rPr>
              <w:footnoteReference w:id="28"/>
            </w:r>
            <w:r w:rsidRPr="00C531D7">
              <w:rPr>
                <w:rFonts w:ascii="Verdana" w:hAnsi="Verdana" w:cs="Times New Roman"/>
                <w:sz w:val="20"/>
                <w:szCs w:val="20"/>
                <w:lang w:val="en-GB"/>
              </w:rPr>
              <w:t xml:space="preserve"> provides that the Council for Electronic Media (</w:t>
            </w:r>
            <w:proofErr w:type="spellStart"/>
            <w:r w:rsidRPr="00C531D7">
              <w:rPr>
                <w:rFonts w:ascii="Verdana" w:hAnsi="Verdana" w:cs="Times New Roman"/>
                <w:i/>
                <w:sz w:val="20"/>
                <w:szCs w:val="20"/>
                <w:lang w:val="en-GB"/>
              </w:rPr>
              <w:t>Vijeće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za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elektroničke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medije</w:t>
            </w:r>
            <w:proofErr w:type="spellEnd"/>
            <w:r w:rsidRPr="00C531D7">
              <w:rPr>
                <w:rFonts w:ascii="Verdana" w:hAnsi="Verdana" w:cs="Times New Roman"/>
                <w:sz w:val="20"/>
                <w:szCs w:val="20"/>
                <w:lang w:val="en-GB"/>
              </w:rPr>
              <w:t xml:space="preserve">) </w:t>
            </w:r>
            <w:r>
              <w:rPr>
                <w:rFonts w:ascii="Verdana" w:hAnsi="Verdana" w:cs="Times New Roman"/>
                <w:sz w:val="20"/>
                <w:szCs w:val="20"/>
                <w:lang w:val="en-GB"/>
              </w:rPr>
              <w:t xml:space="preserve">acting </w:t>
            </w:r>
            <w:r w:rsidRPr="00C531D7">
              <w:rPr>
                <w:rFonts w:ascii="Verdana" w:hAnsi="Verdana" w:cs="Times New Roman"/>
                <w:sz w:val="20"/>
                <w:szCs w:val="20"/>
                <w:lang w:val="en-GB"/>
              </w:rPr>
              <w:t>as a statutory body</w:t>
            </w:r>
            <w:r>
              <w:rPr>
                <w:rFonts w:ascii="Verdana" w:hAnsi="Verdana" w:cs="Times New Roman"/>
                <w:sz w:val="20"/>
                <w:szCs w:val="20"/>
                <w:lang w:val="en-GB"/>
              </w:rPr>
              <w:t>,</w:t>
            </w:r>
            <w:r w:rsidRPr="00C531D7">
              <w:rPr>
                <w:rFonts w:ascii="Verdana" w:hAnsi="Verdana" w:cs="Times New Roman"/>
                <w:sz w:val="20"/>
                <w:szCs w:val="20"/>
                <w:lang w:val="en-GB"/>
              </w:rPr>
              <w:t xml:space="preserve"> will encourage providers of audio-visual media services to gradually make their services accessible for persons with hearing and visual impairments.</w:t>
            </w:r>
          </w:p>
          <w:p w14:paraId="3274DCBD" w14:textId="3BEA7683" w:rsidR="000309DC" w:rsidRPr="00C531D7" w:rsidRDefault="000309DC" w:rsidP="00C531D7">
            <w:pPr>
              <w:jc w:val="both"/>
              <w:rPr>
                <w:rFonts w:ascii="Verdana" w:hAnsi="Verdana" w:cs="Times New Roman"/>
                <w:sz w:val="20"/>
                <w:szCs w:val="20"/>
                <w:lang w:val="en-GB"/>
              </w:rPr>
            </w:pPr>
            <w:r>
              <w:rPr>
                <w:rFonts w:ascii="Verdana" w:hAnsi="Verdana" w:cs="Times New Roman"/>
                <w:sz w:val="20"/>
                <w:szCs w:val="20"/>
                <w:lang w:val="en-GB"/>
              </w:rPr>
              <w:t>In its article 2 (1), t</w:t>
            </w:r>
            <w:r w:rsidRPr="00C531D7">
              <w:rPr>
                <w:rFonts w:ascii="Verdana" w:hAnsi="Verdana" w:cs="Times New Roman"/>
                <w:sz w:val="20"/>
                <w:szCs w:val="20"/>
                <w:lang w:val="en-GB"/>
              </w:rPr>
              <w:t>he Act defines electronic media as: audio-visual programs, radio programs and electronic publications. Electronic publications are defined as edited content published daily or periodically on the internet by providers of electronic publications with information and educational purposes.</w:t>
            </w:r>
          </w:p>
          <w:p w14:paraId="2D6B6C48" w14:textId="130CC1E0" w:rsidR="000309DC" w:rsidRPr="00C531D7" w:rsidRDefault="000309DC" w:rsidP="00C531D7">
            <w:pPr>
              <w:jc w:val="both"/>
              <w:rPr>
                <w:rFonts w:ascii="Verdana" w:hAnsi="Verdana" w:cs="Times New Roman"/>
                <w:sz w:val="20"/>
                <w:szCs w:val="20"/>
                <w:lang w:val="en-GB"/>
              </w:rPr>
            </w:pPr>
            <w:r>
              <w:rPr>
                <w:rFonts w:ascii="Verdana" w:hAnsi="Verdana" w:cs="Times New Roman"/>
                <w:sz w:val="20"/>
                <w:szCs w:val="20"/>
                <w:lang w:val="en-GB"/>
              </w:rPr>
              <w:t xml:space="preserve">Furthermore, article 6(2) of the </w:t>
            </w:r>
            <w:r w:rsidRPr="00C531D7">
              <w:rPr>
                <w:rFonts w:ascii="Verdana" w:hAnsi="Verdana" w:cs="Times New Roman"/>
                <w:sz w:val="20"/>
                <w:szCs w:val="20"/>
                <w:lang w:val="en-GB"/>
              </w:rPr>
              <w:t>Act on Croatian Radio-television (</w:t>
            </w:r>
            <w:proofErr w:type="spellStart"/>
            <w:r w:rsidRPr="00C531D7">
              <w:rPr>
                <w:rFonts w:ascii="Verdana" w:hAnsi="Verdana" w:cs="Times New Roman"/>
                <w:i/>
                <w:sz w:val="20"/>
                <w:szCs w:val="20"/>
                <w:lang w:val="en-GB"/>
              </w:rPr>
              <w:t>Zakon</w:t>
            </w:r>
            <w:proofErr w:type="spellEnd"/>
            <w:r w:rsidRPr="00C531D7">
              <w:rPr>
                <w:rFonts w:ascii="Verdana" w:hAnsi="Verdana" w:cs="Times New Roman"/>
                <w:i/>
                <w:sz w:val="20"/>
                <w:szCs w:val="20"/>
                <w:lang w:val="en-GB"/>
              </w:rPr>
              <w:t xml:space="preserve"> o </w:t>
            </w:r>
            <w:proofErr w:type="spellStart"/>
            <w:r w:rsidRPr="00C531D7">
              <w:rPr>
                <w:rFonts w:ascii="Verdana" w:hAnsi="Verdana" w:cs="Times New Roman"/>
                <w:i/>
                <w:sz w:val="20"/>
                <w:szCs w:val="20"/>
                <w:lang w:val="en-GB"/>
              </w:rPr>
              <w:t>Hrvatskoj</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radioteleviziji</w:t>
            </w:r>
            <w:proofErr w:type="spellEnd"/>
            <w:r w:rsidRPr="00C531D7">
              <w:rPr>
                <w:rFonts w:ascii="Verdana" w:hAnsi="Verdana" w:cs="Times New Roman"/>
                <w:sz w:val="20"/>
                <w:szCs w:val="20"/>
                <w:lang w:val="en-GB"/>
              </w:rPr>
              <w:t>)</w:t>
            </w:r>
            <w:r w:rsidRPr="00C531D7">
              <w:rPr>
                <w:rStyle w:val="FootnoteReference"/>
                <w:rFonts w:ascii="Verdana" w:hAnsi="Verdana" w:cs="Times New Roman"/>
                <w:sz w:val="20"/>
                <w:szCs w:val="20"/>
                <w:lang w:val="en-GB"/>
              </w:rPr>
              <w:footnoteReference w:id="29"/>
            </w:r>
            <w:r w:rsidRPr="00C531D7">
              <w:rPr>
                <w:rFonts w:ascii="Verdana" w:hAnsi="Verdana" w:cs="Times New Roman"/>
                <w:sz w:val="20"/>
                <w:szCs w:val="20"/>
                <w:lang w:val="en-GB"/>
              </w:rPr>
              <w:t xml:space="preserve">, </w:t>
            </w:r>
            <w:r>
              <w:rPr>
                <w:rFonts w:ascii="Verdana" w:hAnsi="Verdana" w:cs="Times New Roman"/>
                <w:sz w:val="20"/>
                <w:szCs w:val="20"/>
                <w:lang w:val="en-GB"/>
              </w:rPr>
              <w:t xml:space="preserve">states </w:t>
            </w:r>
            <w:r w:rsidRPr="00C531D7">
              <w:rPr>
                <w:rFonts w:ascii="Verdana" w:hAnsi="Verdana" w:cs="Times New Roman"/>
                <w:sz w:val="20"/>
                <w:szCs w:val="20"/>
                <w:lang w:val="en-GB"/>
              </w:rPr>
              <w:t xml:space="preserve">that Croatian Radio-Television </w:t>
            </w:r>
            <w:r w:rsidRPr="00C531D7">
              <w:rPr>
                <w:rFonts w:ascii="Verdana" w:eastAsia="Times New Roman" w:hAnsi="Verdana" w:cs="Times New Roman"/>
                <w:sz w:val="20"/>
                <w:szCs w:val="20"/>
                <w:lang w:val="en-GB" w:eastAsia="hr-HR"/>
              </w:rPr>
              <w:t>is required “to gradually make accessible their audio</w:t>
            </w:r>
            <w:r>
              <w:rPr>
                <w:rFonts w:ascii="Verdana" w:eastAsia="Times New Roman" w:hAnsi="Verdana" w:cs="Times New Roman"/>
                <w:sz w:val="20"/>
                <w:szCs w:val="20"/>
                <w:lang w:val="en-GB" w:eastAsia="hr-HR"/>
              </w:rPr>
              <w:t>-</w:t>
            </w:r>
            <w:r w:rsidRPr="00C531D7">
              <w:rPr>
                <w:rFonts w:ascii="Verdana" w:eastAsia="Times New Roman" w:hAnsi="Verdana" w:cs="Times New Roman"/>
                <w:sz w:val="20"/>
                <w:szCs w:val="20"/>
                <w:lang w:val="en-GB" w:eastAsia="hr-HR"/>
              </w:rPr>
              <w:t xml:space="preserve">visual media services for persons with hearing and visual </w:t>
            </w:r>
            <w:proofErr w:type="spellStart"/>
            <w:r w:rsidRPr="00C531D7">
              <w:rPr>
                <w:rFonts w:ascii="Verdana" w:eastAsia="Times New Roman" w:hAnsi="Verdana" w:cs="Times New Roman"/>
                <w:sz w:val="20"/>
                <w:szCs w:val="20"/>
                <w:lang w:val="en-GB" w:eastAsia="hr-HR"/>
              </w:rPr>
              <w:t>impairments.”</w:t>
            </w:r>
            <w:r w:rsidRPr="00C531D7">
              <w:rPr>
                <w:rFonts w:ascii="Verdana" w:hAnsi="Verdana" w:cs="Times New Roman"/>
                <w:sz w:val="20"/>
                <w:szCs w:val="20"/>
                <w:lang w:val="en-GB"/>
              </w:rPr>
              <w:t>Art</w:t>
            </w:r>
            <w:proofErr w:type="spellEnd"/>
            <w:r w:rsidRPr="00C531D7">
              <w:rPr>
                <w:rFonts w:ascii="Verdana" w:hAnsi="Verdana" w:cs="Times New Roman"/>
                <w:sz w:val="20"/>
                <w:szCs w:val="20"/>
                <w:lang w:val="en-GB"/>
              </w:rPr>
              <w:t xml:space="preserve">. 9(1) specifies that </w:t>
            </w:r>
            <w:r>
              <w:rPr>
                <w:rFonts w:ascii="Verdana" w:hAnsi="Verdana" w:cs="Times New Roman"/>
                <w:sz w:val="20"/>
                <w:szCs w:val="20"/>
                <w:lang w:val="en-GB"/>
              </w:rPr>
              <w:t xml:space="preserve">the </w:t>
            </w:r>
            <w:r w:rsidRPr="00C531D7">
              <w:rPr>
                <w:rFonts w:ascii="Verdana" w:hAnsi="Verdana" w:cs="Times New Roman"/>
                <w:sz w:val="20"/>
                <w:szCs w:val="20"/>
                <w:lang w:val="en-GB"/>
              </w:rPr>
              <w:t>p</w:t>
            </w:r>
            <w:r w:rsidRPr="00C531D7">
              <w:rPr>
                <w:rStyle w:val="hps"/>
                <w:rFonts w:ascii="Verdana" w:hAnsi="Verdana" w:cs="Times New Roman"/>
                <w:sz w:val="20"/>
                <w:szCs w:val="20"/>
                <w:lang w:val="en-GB"/>
              </w:rPr>
              <w:t>ublic service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 xml:space="preserve">of </w:t>
            </w:r>
            <w:r w:rsidRPr="00C531D7">
              <w:rPr>
                <w:rFonts w:ascii="Verdana" w:hAnsi="Verdana" w:cs="Times New Roman"/>
                <w:sz w:val="20"/>
                <w:szCs w:val="20"/>
                <w:lang w:val="en-GB"/>
              </w:rPr>
              <w:t>Croatian Radio-television</w:t>
            </w:r>
            <w:r w:rsidRPr="00C531D7">
              <w:rPr>
                <w:rStyle w:val="hps"/>
                <w:rFonts w:ascii="Verdana" w:hAnsi="Verdana" w:cs="Times New Roman"/>
                <w:sz w:val="20"/>
                <w:szCs w:val="20"/>
                <w:lang w:val="en-GB"/>
              </w:rPr>
              <w:t xml:space="preserve"> includes the obligation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the institution to produce programs fulfilling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the democratic</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social and cultural needs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of the Croatian society</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guaranteeing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pluralism</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including</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cultural and linguistic diversity</w:t>
            </w:r>
            <w:r w:rsidRPr="00C531D7">
              <w:rPr>
                <w:rFonts w:ascii="Verdana" w:hAnsi="Verdana" w:cs="Times New Roman"/>
                <w:sz w:val="20"/>
                <w:szCs w:val="20"/>
                <w:lang w:val="en-GB"/>
              </w:rPr>
              <w:t xml:space="preserve">. In that context, Art. 9(2) specifically lists the obligation to </w:t>
            </w:r>
            <w:r w:rsidRPr="00C531D7">
              <w:rPr>
                <w:rStyle w:val="hps"/>
                <w:rFonts w:ascii="Verdana" w:hAnsi="Verdana" w:cs="Times New Roman"/>
                <w:sz w:val="20"/>
                <w:szCs w:val="20"/>
                <w:lang w:val="en-GB"/>
              </w:rPr>
              <w:t>adapt,</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produce,</w:t>
            </w:r>
            <w:r w:rsidRPr="00C531D7">
              <w:rPr>
                <w:rFonts w:ascii="Verdana" w:hAnsi="Verdana" w:cs="Times New Roman"/>
                <w:sz w:val="20"/>
                <w:szCs w:val="20"/>
                <w:lang w:val="en-GB"/>
              </w:rPr>
              <w:t xml:space="preserve"> co-produce </w:t>
            </w:r>
            <w:r w:rsidRPr="00C531D7">
              <w:rPr>
                <w:rStyle w:val="hps"/>
                <w:rFonts w:ascii="Verdana" w:hAnsi="Verdana" w:cs="Times New Roman"/>
                <w:sz w:val="20"/>
                <w:szCs w:val="20"/>
                <w:lang w:val="en-GB"/>
              </w:rPr>
              <w:t xml:space="preserve">and publish/broadcast </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programs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for persons with</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disabilities and children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with disabilities</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and encourage the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translation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to</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the</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Croatian</w:t>
            </w:r>
            <w:r w:rsidRPr="00C531D7">
              <w:rPr>
                <w:rFonts w:ascii="Verdana" w:hAnsi="Verdana" w:cs="Times New Roman"/>
                <w:sz w:val="20"/>
                <w:szCs w:val="20"/>
                <w:lang w:val="en-GB"/>
              </w:rPr>
              <w:t xml:space="preserve"> </w:t>
            </w:r>
            <w:r w:rsidRPr="00C531D7">
              <w:rPr>
                <w:rStyle w:val="hps"/>
                <w:rFonts w:ascii="Verdana" w:hAnsi="Verdana" w:cs="Times New Roman"/>
                <w:sz w:val="20"/>
                <w:szCs w:val="20"/>
                <w:lang w:val="en-GB"/>
              </w:rPr>
              <w:t>Sign Language. The Act does not specify other types of adaptions that are required</w:t>
            </w:r>
            <w:r>
              <w:rPr>
                <w:rStyle w:val="hps"/>
                <w:rFonts w:ascii="Verdana" w:hAnsi="Verdana" w:cs="Times New Roman"/>
                <w:sz w:val="20"/>
                <w:szCs w:val="20"/>
                <w:lang w:val="en-GB"/>
              </w:rPr>
              <w:t>.</w:t>
            </w:r>
          </w:p>
          <w:p w14:paraId="2CFB3B4C" w14:textId="77777777" w:rsidR="000309DC" w:rsidRDefault="000309DC" w:rsidP="00C531D7">
            <w:pPr>
              <w:spacing w:before="240"/>
              <w:contextualSpacing/>
              <w:jc w:val="both"/>
              <w:rPr>
                <w:rFonts w:ascii="Verdana" w:eastAsia="Calibri" w:hAnsi="Verdana" w:cs="Times New Roman"/>
                <w:sz w:val="20"/>
                <w:szCs w:val="20"/>
                <w:lang w:val="en-GB"/>
              </w:rPr>
            </w:pPr>
          </w:p>
          <w:p w14:paraId="35FDB6AB" w14:textId="58C2E82B" w:rsidR="000309DC" w:rsidRPr="00C531D7"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Article 46 of the c</w:t>
            </w:r>
            <w:r w:rsidRPr="00C531D7">
              <w:rPr>
                <w:rFonts w:ascii="Verdana" w:eastAsia="Calibri" w:hAnsi="Verdana" w:cs="Times New Roman"/>
                <w:sz w:val="20"/>
                <w:szCs w:val="20"/>
                <w:lang w:val="en-GB"/>
              </w:rPr>
              <w:t>ontract between Croatian radio-television and the Government of the Republic of Croatia for the period from</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1</w:t>
            </w:r>
            <w:r w:rsidRPr="00B500B5">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January 2013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31</w:t>
            </w:r>
            <w:r w:rsidRPr="00B500B5">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December 2017 </w:t>
            </w:r>
            <w:r w:rsidRPr="00C531D7">
              <w:rPr>
                <w:rFonts w:ascii="Verdana" w:eastAsia="Calibri" w:hAnsi="Verdana" w:cs="Times New Roman"/>
                <w:sz w:val="20"/>
                <w:szCs w:val="20"/>
                <w:lang w:val="en-GB"/>
              </w:rPr>
              <w:lastRenderedPageBreak/>
              <w:t>(</w:t>
            </w:r>
            <w:proofErr w:type="spellStart"/>
            <w:r w:rsidRPr="00C531D7">
              <w:rPr>
                <w:rFonts w:ascii="Verdana" w:eastAsia="Calibri" w:hAnsi="Verdana" w:cs="Times New Roman"/>
                <w:i/>
                <w:sz w:val="20"/>
                <w:szCs w:val="20"/>
                <w:lang w:val="en-GB"/>
              </w:rPr>
              <w:t>Ugovor</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između</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Hrvatske</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radiotelevizije</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i</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Vlade</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Republike</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Hrvatske</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za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razdoblje</w:t>
            </w:r>
            <w:proofErr w:type="spellEnd"/>
            <w:r w:rsidRPr="00C531D7">
              <w:rPr>
                <w:rFonts w:ascii="Verdana" w:eastAsia="Calibri" w:hAnsi="Verdana" w:cs="Times New Roman"/>
                <w:i/>
                <w:sz w:val="20"/>
                <w:szCs w:val="20"/>
                <w:lang w:val="en-GB"/>
              </w:rPr>
              <w:t xml:space="preserve"> od 1. </w:t>
            </w:r>
            <w:proofErr w:type="spellStart"/>
            <w:r w:rsidRPr="00C531D7">
              <w:rPr>
                <w:rFonts w:ascii="Verdana" w:eastAsia="Calibri" w:hAnsi="Verdana" w:cs="Times New Roman"/>
                <w:i/>
                <w:sz w:val="20"/>
                <w:szCs w:val="20"/>
                <w:lang w:val="en-GB"/>
              </w:rPr>
              <w:t>siječnja</w:t>
            </w:r>
            <w:proofErr w:type="spellEnd"/>
            <w:r w:rsidRPr="00C531D7">
              <w:rPr>
                <w:rFonts w:ascii="Verdana" w:eastAsia="Calibri" w:hAnsi="Verdana" w:cs="Times New Roman"/>
                <w:i/>
                <w:sz w:val="20"/>
                <w:szCs w:val="20"/>
                <w:lang w:val="en-GB"/>
              </w:rPr>
              <w:t xml:space="preserve"> 2013. do 31. </w:t>
            </w:r>
            <w:proofErr w:type="spellStart"/>
            <w:r w:rsidRPr="00C531D7">
              <w:rPr>
                <w:rFonts w:ascii="Verdana" w:eastAsia="Calibri" w:hAnsi="Verdana" w:cs="Times New Roman"/>
                <w:i/>
                <w:sz w:val="20"/>
                <w:szCs w:val="20"/>
                <w:lang w:val="en-GB"/>
              </w:rPr>
              <w:t>prosinca</w:t>
            </w:r>
            <w:proofErr w:type="spellEnd"/>
            <w:r w:rsidRPr="00C531D7">
              <w:rPr>
                <w:rFonts w:ascii="Verdana" w:eastAsia="Calibri" w:hAnsi="Verdana" w:cs="Times New Roman"/>
                <w:i/>
                <w:sz w:val="20"/>
                <w:szCs w:val="20"/>
                <w:lang w:val="en-GB"/>
              </w:rPr>
              <w:t xml:space="preserve"> 2017.</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30"/>
            </w:r>
            <w:r w:rsidRPr="00C531D7">
              <w:rPr>
                <w:rFonts w:ascii="Verdana" w:eastAsia="Calibri" w:hAnsi="Verdana" w:cs="Times New Roman"/>
                <w:sz w:val="20"/>
                <w:szCs w:val="20"/>
                <w:lang w:val="en-GB"/>
              </w:rPr>
              <w:t>, specifies that Croatian radio shall produce and broadcast on national channels at least 20 special programs for persons and children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xml:space="preserve"> per year, and at least 100 such programs on regional channels. Croatian television shall produce a weekly program for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and cover issues relevant to disabled war veterans in its program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for war veterans.</w:t>
            </w:r>
          </w:p>
          <w:p w14:paraId="7FE138E2" w14:textId="068CD953" w:rsidR="000309DC" w:rsidRPr="00C531D7" w:rsidRDefault="000309DC" w:rsidP="001122BF">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The same article specifies that Croatian Television shall adapt some news, religious issues and other programs to deaf</w:t>
            </w:r>
            <w:r>
              <w:rPr>
                <w:rFonts w:ascii="Verdana" w:eastAsia="Calibri" w:hAnsi="Verdana" w:cs="Times New Roman"/>
                <w:sz w:val="20"/>
                <w:szCs w:val="20"/>
                <w:lang w:val="en-GB"/>
              </w:rPr>
              <w:t xml:space="preserve"> persons</w:t>
            </w:r>
            <w:r w:rsidRPr="00C531D7">
              <w:rPr>
                <w:rFonts w:ascii="Verdana" w:eastAsia="Calibri" w:hAnsi="Verdana" w:cs="Times New Roman"/>
                <w:sz w:val="20"/>
                <w:szCs w:val="20"/>
                <w:lang w:val="en-GB"/>
              </w:rPr>
              <w:t xml:space="preserve"> through translation into the Croatian Sign Language or </w:t>
            </w:r>
            <w:proofErr w:type="spellStart"/>
            <w:r w:rsidRPr="00C531D7">
              <w:rPr>
                <w:rFonts w:ascii="Verdana" w:eastAsia="Calibri" w:hAnsi="Verdana" w:cs="Times New Roman"/>
                <w:sz w:val="20"/>
                <w:szCs w:val="20"/>
                <w:lang w:val="en-GB"/>
              </w:rPr>
              <w:t>s</w:t>
            </w:r>
            <w:r>
              <w:rPr>
                <w:rFonts w:ascii="Verdana" w:eastAsia="Calibri" w:hAnsi="Verdana" w:cs="Times New Roman"/>
                <w:sz w:val="20"/>
                <w:szCs w:val="20"/>
                <w:lang w:val="en-GB"/>
              </w:rPr>
              <w:t>through</w:t>
            </w:r>
            <w:proofErr w:type="spellEnd"/>
            <w:r>
              <w:rPr>
                <w:rFonts w:ascii="Verdana" w:eastAsia="Calibri" w:hAnsi="Verdana" w:cs="Times New Roman"/>
                <w:sz w:val="20"/>
                <w:szCs w:val="20"/>
                <w:lang w:val="en-GB"/>
              </w:rPr>
              <w:t xml:space="preserve"> subtitles</w:t>
            </w:r>
            <w:r w:rsidRPr="00C531D7">
              <w:rPr>
                <w:rFonts w:ascii="Verdana" w:eastAsia="Calibri" w:hAnsi="Verdana" w:cs="Times New Roman"/>
                <w:sz w:val="20"/>
                <w:szCs w:val="20"/>
                <w:lang w:val="en-GB"/>
              </w:rPr>
              <w:t>, with an obligation to increase the proportion of such programs wherever possible within its production process.</w:t>
            </w:r>
          </w:p>
        </w:tc>
      </w:tr>
      <w:tr w:rsidR="000309DC" w:rsidRPr="00C531D7" w14:paraId="3C237294"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4A77BD2F"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Does the law foresee training for election authorities and election officials on non-discrimination on the grounds of disability, accessibility and reasonable accommodation?</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6232C" w14:textId="1486D97E" w:rsidR="000309DC" w:rsidRPr="00C531D7" w:rsidRDefault="000309DC" w:rsidP="00C531D7">
            <w:pPr>
              <w:pStyle w:val="CommentText"/>
              <w:jc w:val="both"/>
              <w:rPr>
                <w:rFonts w:ascii="Verdana" w:hAnsi="Verdana" w:cs="Times New Roman"/>
              </w:rPr>
            </w:pPr>
            <w:r>
              <w:rPr>
                <w:rFonts w:ascii="Verdana" w:eastAsia="Calibri" w:hAnsi="Verdana" w:cs="Times New Roman"/>
                <w:lang w:val="en-GB"/>
              </w:rPr>
              <w:t>The e</w:t>
            </w:r>
            <w:r w:rsidRPr="00C531D7">
              <w:rPr>
                <w:rFonts w:ascii="Verdana" w:eastAsia="Calibri" w:hAnsi="Verdana" w:cs="Times New Roman"/>
                <w:lang w:val="en-GB"/>
              </w:rPr>
              <w:t xml:space="preserve">lection legislation and </w:t>
            </w:r>
            <w:r>
              <w:rPr>
                <w:rFonts w:ascii="Verdana" w:eastAsia="Calibri" w:hAnsi="Verdana" w:cs="Times New Roman"/>
                <w:lang w:val="en-GB"/>
              </w:rPr>
              <w:t xml:space="preserve">the </w:t>
            </w:r>
            <w:r w:rsidRPr="00C531D7">
              <w:rPr>
                <w:rFonts w:ascii="Verdana" w:eastAsia="Calibri" w:hAnsi="Verdana" w:cs="Times New Roman"/>
                <w:lang w:val="en-GB"/>
              </w:rPr>
              <w:t>Act on the National Elections Committee (NEC)</w:t>
            </w:r>
            <w:r w:rsidRPr="00C531D7">
              <w:rPr>
                <w:rStyle w:val="FootnoteReference"/>
                <w:rFonts w:ascii="Verdana" w:eastAsia="Calibri" w:hAnsi="Verdana" w:cs="Times New Roman"/>
                <w:lang w:val="en-GB"/>
              </w:rPr>
              <w:footnoteReference w:id="31"/>
            </w:r>
            <w:r w:rsidRPr="00C531D7">
              <w:rPr>
                <w:rFonts w:ascii="Verdana" w:eastAsia="Calibri" w:hAnsi="Verdana" w:cs="Times New Roman"/>
                <w:lang w:val="en-GB"/>
              </w:rPr>
              <w:t xml:space="preserve"> </w:t>
            </w:r>
            <w:r>
              <w:rPr>
                <w:rFonts w:ascii="Verdana" w:eastAsia="Calibri" w:hAnsi="Verdana" w:cs="Times New Roman"/>
                <w:lang w:val="en-GB"/>
              </w:rPr>
              <w:t xml:space="preserve">acting </w:t>
            </w:r>
            <w:r w:rsidRPr="00C531D7">
              <w:rPr>
                <w:rFonts w:ascii="Verdana" w:eastAsia="Calibri" w:hAnsi="Verdana" w:cs="Times New Roman"/>
                <w:lang w:val="en-GB"/>
              </w:rPr>
              <w:t>as the permanent public body responsible for carrying out elections and election monitoring implementation</w:t>
            </w:r>
            <w:r>
              <w:rPr>
                <w:rFonts w:ascii="Verdana" w:eastAsia="Calibri" w:hAnsi="Verdana" w:cs="Times New Roman"/>
                <w:lang w:val="en-GB"/>
              </w:rPr>
              <w:t>,</w:t>
            </w:r>
            <w:r w:rsidRPr="00C531D7">
              <w:rPr>
                <w:rFonts w:ascii="Verdana" w:eastAsia="Calibri" w:hAnsi="Verdana" w:cs="Times New Roman"/>
                <w:lang w:val="en-GB"/>
              </w:rPr>
              <w:t xml:space="preserve"> do not specifically </w:t>
            </w:r>
            <w:r>
              <w:rPr>
                <w:rFonts w:ascii="Verdana" w:eastAsia="Calibri" w:hAnsi="Verdana" w:cs="Times New Roman"/>
                <w:lang w:val="en-GB"/>
              </w:rPr>
              <w:t>foresee</w:t>
            </w:r>
            <w:r w:rsidRPr="00C531D7">
              <w:rPr>
                <w:rFonts w:ascii="Verdana" w:eastAsia="Calibri" w:hAnsi="Verdana" w:cs="Times New Roman"/>
                <w:lang w:val="en-GB"/>
              </w:rPr>
              <w:t xml:space="preserve"> for training of election committees on non-discrimination on the grounds of disability, accessibility and reasonable accommodation. However, in training sessions for election committee members, the NEC does specifically give instructions on how to deal with voters with disabilit</w:t>
            </w:r>
            <w:r>
              <w:rPr>
                <w:rFonts w:ascii="Verdana" w:eastAsia="Calibri" w:hAnsi="Verdana" w:cs="Times New Roman"/>
                <w:lang w:val="en-GB"/>
              </w:rPr>
              <w:t>ies</w:t>
            </w:r>
            <w:r w:rsidRPr="00C531D7">
              <w:rPr>
                <w:rFonts w:ascii="Verdana" w:eastAsia="Calibri" w:hAnsi="Verdana" w:cs="Times New Roman"/>
                <w:lang w:val="en-GB"/>
              </w:rPr>
              <w:t xml:space="preserve"> in terms of protecting their voting rights. </w:t>
            </w:r>
            <w:r w:rsidRPr="00C531D7">
              <w:rPr>
                <w:rFonts w:ascii="Verdana" w:hAnsi="Verdana" w:cs="Times New Roman"/>
              </w:rPr>
              <w:t xml:space="preserve"> There is</w:t>
            </w:r>
            <w:r>
              <w:rPr>
                <w:rFonts w:ascii="Verdana" w:hAnsi="Verdana" w:cs="Times New Roman"/>
              </w:rPr>
              <w:t xml:space="preserve"> a</w:t>
            </w:r>
            <w:r w:rsidRPr="00C531D7">
              <w:rPr>
                <w:rFonts w:ascii="Verdana" w:hAnsi="Verdana" w:cs="Times New Roman"/>
              </w:rPr>
              <w:t xml:space="preserve"> legal obligation for NEC to conduct</w:t>
            </w:r>
            <w:r>
              <w:rPr>
                <w:rFonts w:ascii="Verdana" w:hAnsi="Verdana" w:cs="Times New Roman"/>
              </w:rPr>
              <w:t xml:space="preserve"> such</w:t>
            </w:r>
            <w:r w:rsidRPr="00C531D7">
              <w:rPr>
                <w:rFonts w:ascii="Verdana" w:hAnsi="Verdana" w:cs="Times New Roman"/>
              </w:rPr>
              <w:t xml:space="preserve"> training</w:t>
            </w:r>
            <w:r>
              <w:rPr>
                <w:rFonts w:ascii="Verdana" w:hAnsi="Verdana" w:cs="Times New Roman"/>
              </w:rPr>
              <w:t>s</w:t>
            </w:r>
            <w:r w:rsidRPr="00C531D7">
              <w:rPr>
                <w:rFonts w:ascii="Verdana" w:hAnsi="Verdana" w:cs="Times New Roman"/>
              </w:rPr>
              <w:t>, but not for committee members to go through it before involvement in elections.</w:t>
            </w:r>
          </w:p>
          <w:p w14:paraId="3E40199D" w14:textId="4BABEE51" w:rsidR="000309DC" w:rsidRPr="00C531D7" w:rsidRDefault="000309DC" w:rsidP="00C7671D">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Additionally, t</w:t>
            </w:r>
            <w:r w:rsidRPr="00C531D7">
              <w:rPr>
                <w:rFonts w:ascii="Verdana" w:eastAsia="Calibri" w:hAnsi="Verdana" w:cs="Times New Roman"/>
                <w:sz w:val="20"/>
                <w:szCs w:val="20"/>
                <w:lang w:val="en-GB"/>
              </w:rPr>
              <w:t>he NEC also publishes and distributes a Memorandum on election committee activities (</w:t>
            </w:r>
            <w:proofErr w:type="spellStart"/>
            <w:r w:rsidRPr="00C531D7">
              <w:rPr>
                <w:rFonts w:ascii="Verdana" w:eastAsia="Calibri" w:hAnsi="Verdana" w:cs="Times New Roman"/>
                <w:i/>
                <w:sz w:val="20"/>
                <w:szCs w:val="20"/>
                <w:lang w:val="en-GB"/>
              </w:rPr>
              <w:t>Podsjetnik</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za</w:t>
            </w:r>
            <w:proofErr w:type="spellEnd"/>
            <w:r w:rsidRPr="00C531D7">
              <w:rPr>
                <w:rFonts w:ascii="Verdana" w:eastAsia="Calibri" w:hAnsi="Verdana" w:cs="Times New Roman"/>
                <w:i/>
                <w:sz w:val="20"/>
                <w:szCs w:val="20"/>
                <w:lang w:val="en-GB"/>
              </w:rPr>
              <w:t xml:space="preserve"> rad </w:t>
            </w:r>
            <w:proofErr w:type="spellStart"/>
            <w:r w:rsidRPr="00C531D7">
              <w:rPr>
                <w:rFonts w:ascii="Verdana" w:eastAsia="Calibri" w:hAnsi="Verdana" w:cs="Times New Roman"/>
                <w:i/>
                <w:sz w:val="20"/>
                <w:szCs w:val="20"/>
                <w:lang w:val="en-GB"/>
              </w:rPr>
              <w:t>biračkih</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odbora</w:t>
            </w:r>
            <w:proofErr w:type="spellEnd"/>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32"/>
            </w:r>
            <w:r w:rsidRPr="00C531D7">
              <w:rPr>
                <w:rFonts w:ascii="Verdana" w:eastAsia="Calibri" w:hAnsi="Verdana" w:cs="Times New Roman"/>
                <w:sz w:val="20"/>
                <w:szCs w:val="20"/>
                <w:lang w:val="en-GB"/>
              </w:rPr>
              <w:t xml:space="preserve">  to committees</w:t>
            </w:r>
            <w:r>
              <w:rPr>
                <w:rFonts w:ascii="Verdana" w:eastAsia="Calibri" w:hAnsi="Verdana" w:cs="Times New Roman"/>
                <w:sz w:val="20"/>
                <w:szCs w:val="20"/>
                <w:lang w:val="en-GB"/>
              </w:rPr>
              <w:t xml:space="preserve">, </w:t>
            </w:r>
            <w:r w:rsidRPr="00C531D7">
              <w:rPr>
                <w:rFonts w:ascii="Verdana" w:eastAsia="Calibri" w:hAnsi="Verdana" w:cs="Times New Roman"/>
                <w:sz w:val="20"/>
                <w:szCs w:val="20"/>
                <w:lang w:val="en-GB"/>
              </w:rPr>
              <w:t>specif</w:t>
            </w:r>
            <w:r>
              <w:rPr>
                <w:rFonts w:ascii="Verdana" w:eastAsia="Calibri" w:hAnsi="Verdana" w:cs="Times New Roman"/>
                <w:sz w:val="20"/>
                <w:szCs w:val="20"/>
                <w:lang w:val="en-GB"/>
              </w:rPr>
              <w:t>ying</w:t>
            </w:r>
            <w:r w:rsidRPr="00C531D7">
              <w:rPr>
                <w:rFonts w:ascii="Verdana" w:eastAsia="Calibri" w:hAnsi="Verdana" w:cs="Times New Roman"/>
                <w:sz w:val="20"/>
                <w:szCs w:val="20"/>
                <w:lang w:val="en-GB"/>
              </w:rPr>
              <w:t xml:space="preserve"> voting procedure for persons with disabilities.</w:t>
            </w:r>
          </w:p>
        </w:tc>
      </w:tr>
      <w:tr w:rsidR="000309DC" w:rsidRPr="00C531D7" w14:paraId="70DE8452"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19B84690"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sz w:val="20"/>
                <w:szCs w:val="20"/>
              </w:rPr>
              <w:lastRenderedPageBreak/>
              <w:t>Does the national strategy/action plan on disability cover the right to political participation of persons with disabilities?</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807221" w14:textId="77777777" w:rsidR="000309DC" w:rsidRPr="000A2BD1" w:rsidRDefault="000309DC" w:rsidP="000A2BD1">
            <w:p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The </w:t>
            </w:r>
            <w:r w:rsidRPr="000A2BD1">
              <w:rPr>
                <w:rFonts w:ascii="Verdana" w:eastAsia="Calibri" w:hAnsi="Verdana" w:cs="Times New Roman"/>
                <w:i/>
                <w:sz w:val="20"/>
                <w:szCs w:val="20"/>
                <w:lang w:val="en-GB"/>
              </w:rPr>
              <w:t>Croatian National Strategy of Equalization of Opportunities for Persons with Disabilities 2007-2015</w:t>
            </w:r>
            <w:r w:rsidRPr="000A2BD1">
              <w:rPr>
                <w:rFonts w:ascii="Verdana" w:eastAsia="Calibri" w:hAnsi="Verdana" w:cs="Times New Roman"/>
                <w:sz w:val="20"/>
                <w:szCs w:val="20"/>
                <w:lang w:val="en-GB"/>
              </w:rPr>
              <w:t xml:space="preserve"> addresses civil and political participation of persons with disabilities in Chapter 2.11, entitled ‘Participation in political and public life’. The chapter lists ‘the following objectives:</w:t>
            </w:r>
          </w:p>
          <w:p w14:paraId="2AA72798"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create conditions for the environment in which persons with disabilities would be able to take part in political life as equal citizens; </w:t>
            </w:r>
          </w:p>
          <w:p w14:paraId="69A6B042"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promote participation of persons with disabilities in all forms of public life and all processes of political participation on local, regional, national and international level; </w:t>
            </w:r>
          </w:p>
          <w:p w14:paraId="3AC4BD1A"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include persons with disabilities and non-governmental organisations of persons with disabilities in preparation of public policy measures relating to persons with disabilities; </w:t>
            </w:r>
          </w:p>
          <w:p w14:paraId="28976238"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promote participation of persons with disabilities in the activities of political parties; </w:t>
            </w:r>
          </w:p>
          <w:p w14:paraId="529FB4AA"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increase representation of persons with disabilities in representative bodies of local and regional self-government and on the national level; </w:t>
            </w:r>
          </w:p>
          <w:p w14:paraId="53E2D20C"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proofErr w:type="gramStart"/>
            <w:r w:rsidRPr="000A2BD1">
              <w:rPr>
                <w:rFonts w:ascii="Verdana" w:eastAsia="Calibri" w:hAnsi="Verdana" w:cs="Times New Roman"/>
                <w:sz w:val="20"/>
                <w:szCs w:val="20"/>
                <w:lang w:val="en-GB"/>
              </w:rPr>
              <w:t>promote</w:t>
            </w:r>
            <w:proofErr w:type="gramEnd"/>
            <w:r w:rsidRPr="000A2BD1">
              <w:rPr>
                <w:rFonts w:ascii="Verdana" w:eastAsia="Calibri" w:hAnsi="Verdana" w:cs="Times New Roman"/>
                <w:sz w:val="20"/>
                <w:szCs w:val="20"/>
                <w:lang w:val="en-GB"/>
              </w:rPr>
              <w:t xml:space="preserve"> participation of women, young persons with disabilities in political activities on all levels.</w:t>
            </w:r>
          </w:p>
          <w:p w14:paraId="3FA0EC9A" w14:textId="77777777" w:rsidR="000309DC" w:rsidRPr="000A2BD1" w:rsidRDefault="000309DC" w:rsidP="000A2BD1">
            <w:pPr>
              <w:spacing w:before="240"/>
              <w:contextualSpacing/>
              <w:jc w:val="both"/>
              <w:rPr>
                <w:rFonts w:ascii="Verdana" w:eastAsia="Calibri" w:hAnsi="Verdana" w:cs="Times New Roman"/>
                <w:sz w:val="20"/>
                <w:szCs w:val="20"/>
                <w:lang w:val="en-GB"/>
              </w:rPr>
            </w:pPr>
          </w:p>
          <w:p w14:paraId="1BA1AC69" w14:textId="77777777" w:rsidR="000309DC" w:rsidRPr="000A2BD1" w:rsidRDefault="000309DC" w:rsidP="000A2BD1">
            <w:p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Significantly, the Strategy also identifies measures through which these objectives are to be realised:</w:t>
            </w:r>
          </w:p>
          <w:p w14:paraId="245FF12B" w14:textId="77777777" w:rsidR="000309DC" w:rsidRPr="000A2BD1" w:rsidRDefault="000309DC" w:rsidP="000A2BD1">
            <w:pPr>
              <w:spacing w:before="240"/>
              <w:contextualSpacing/>
              <w:jc w:val="both"/>
              <w:rPr>
                <w:rFonts w:ascii="Verdana" w:eastAsia="Calibri" w:hAnsi="Verdana" w:cs="Times New Roman"/>
                <w:sz w:val="20"/>
                <w:szCs w:val="20"/>
                <w:lang w:val="en-GB"/>
              </w:rPr>
            </w:pPr>
          </w:p>
          <w:p w14:paraId="0FB3BADE"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provide technical support or other forms of assistance so that fundamental documents significant for political participation on local, regional and national level could be available to interested persons with disabilities; </w:t>
            </w:r>
          </w:p>
          <w:p w14:paraId="7D148B9F"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research attitudes of member of all representative bodies on political dimensions of disability and inclusion of persons with various kinds of impairments into political life;</w:t>
            </w:r>
          </w:p>
          <w:p w14:paraId="183D3CB7"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monitor equal participation of persons with disabilities regarding realisation of their voting rights; </w:t>
            </w:r>
          </w:p>
          <w:p w14:paraId="004EE5F7"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inform representatives of judiciary and executive authorities, state and public officials and wider public about basic principles and ways of inclusion of persons with disabilities in political and public life of the community;</w:t>
            </w:r>
          </w:p>
          <w:p w14:paraId="6DD8F205"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lastRenderedPageBreak/>
              <w:t xml:space="preserve">implement a campaign for promotion of the United Nations Convention on the Rights of Persons with Disabilities; </w:t>
            </w:r>
          </w:p>
          <w:p w14:paraId="36C999FD" w14:textId="77777777"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implement research on public representation of persons with disabilities through organisations and their associations and recommend efficient and fair representation of their various interests and needs; </w:t>
            </w:r>
          </w:p>
          <w:p w14:paraId="5CF484CA" w14:textId="77777777" w:rsidR="000309DC" w:rsidRDefault="000309DC" w:rsidP="000A2BD1">
            <w:pPr>
              <w:numPr>
                <w:ilvl w:val="1"/>
                <w:numId w:val="14"/>
              </w:numPr>
              <w:spacing w:before="240"/>
              <w:contextualSpacing/>
              <w:jc w:val="both"/>
              <w:rPr>
                <w:rFonts w:ascii="Verdana" w:eastAsia="Calibri" w:hAnsi="Verdana" w:cs="Times New Roman"/>
                <w:sz w:val="20"/>
                <w:szCs w:val="20"/>
                <w:lang w:val="en-GB"/>
              </w:rPr>
            </w:pPr>
            <w:r w:rsidRPr="000A2BD1">
              <w:rPr>
                <w:rFonts w:ascii="Verdana" w:eastAsia="Calibri" w:hAnsi="Verdana" w:cs="Times New Roman"/>
                <w:sz w:val="20"/>
                <w:szCs w:val="20"/>
                <w:lang w:val="en-GB"/>
              </w:rPr>
              <w:t xml:space="preserve">promote participation of women and younger persons with disabilities in public and political activities on all levels; </w:t>
            </w:r>
          </w:p>
          <w:p w14:paraId="216D1580" w14:textId="2B972B80" w:rsidR="000309DC" w:rsidRPr="000A2BD1" w:rsidRDefault="000309DC" w:rsidP="000A2BD1">
            <w:pPr>
              <w:numPr>
                <w:ilvl w:val="1"/>
                <w:numId w:val="14"/>
              </w:numPr>
              <w:spacing w:before="240"/>
              <w:contextualSpacing/>
              <w:jc w:val="both"/>
              <w:rPr>
                <w:rFonts w:ascii="Verdana" w:eastAsia="Calibri" w:hAnsi="Verdana" w:cs="Times New Roman"/>
                <w:sz w:val="20"/>
                <w:szCs w:val="20"/>
                <w:lang w:val="en-GB"/>
              </w:rPr>
            </w:pPr>
            <w:proofErr w:type="gramStart"/>
            <w:r w:rsidRPr="000A2BD1">
              <w:rPr>
                <w:rFonts w:ascii="Verdana" w:eastAsia="Calibri" w:hAnsi="Verdana" w:cs="Times New Roman"/>
                <w:sz w:val="20"/>
                <w:szCs w:val="20"/>
                <w:lang w:val="en-GB"/>
              </w:rPr>
              <w:t>provide</w:t>
            </w:r>
            <w:proofErr w:type="gramEnd"/>
            <w:r w:rsidRPr="000A2BD1">
              <w:rPr>
                <w:rFonts w:ascii="Verdana" w:eastAsia="Calibri" w:hAnsi="Verdana" w:cs="Times New Roman"/>
                <w:sz w:val="20"/>
                <w:szCs w:val="20"/>
                <w:lang w:val="en-GB"/>
              </w:rPr>
              <w:t xml:space="preserve"> additional formal and non-formal education of persons with disabilities with the objective of strengthening inclusion in public and political life.</w:t>
            </w:r>
          </w:p>
        </w:tc>
      </w:tr>
      <w:tr w:rsidR="000309DC" w:rsidRPr="00C531D7" w14:paraId="67507570" w14:textId="77777777" w:rsidTr="000309DC">
        <w:trPr>
          <w:trHeight w:val="454"/>
        </w:trPr>
        <w:tc>
          <w:tcPr>
            <w:tcW w:w="4009" w:type="dxa"/>
            <w:tcBorders>
              <w:top w:val="single" w:sz="4" w:space="0" w:color="000000"/>
              <w:left w:val="single" w:sz="4" w:space="0" w:color="000000"/>
              <w:bottom w:val="single" w:sz="4" w:space="0" w:color="000000"/>
            </w:tcBorders>
            <w:shd w:val="clear" w:color="auto" w:fill="FFFFFF"/>
            <w:vAlign w:val="center"/>
          </w:tcPr>
          <w:p w14:paraId="16B56733"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Are all persons with disabilities, including those who have been deprived of their legal capacity, able to access redress and complaint mechanisms in cases where they have not been able to exercise the right to vote?</w:t>
            </w:r>
          </w:p>
        </w:tc>
        <w:tc>
          <w:tcPr>
            <w:tcW w:w="9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A782C4" w14:textId="6FC7A32B" w:rsidR="000309DC" w:rsidRPr="00C531D7" w:rsidRDefault="000309DC" w:rsidP="000D527D">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Specific r</w:t>
            </w:r>
            <w:r w:rsidRPr="00C531D7">
              <w:rPr>
                <w:rFonts w:ascii="Verdana" w:eastAsia="Calibri" w:hAnsi="Verdana" w:cs="Times New Roman"/>
                <w:sz w:val="20"/>
                <w:szCs w:val="20"/>
                <w:lang w:val="en-GB"/>
              </w:rPr>
              <w:t>edress and complaint mechanism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for persons with disabilities are </w:t>
            </w:r>
            <w:r w:rsidRPr="00C531D7">
              <w:rPr>
                <w:rFonts w:ascii="Verdana" w:eastAsia="Calibri" w:hAnsi="Verdana" w:cs="Times New Roman"/>
                <w:sz w:val="20"/>
                <w:szCs w:val="20"/>
                <w:lang w:val="en-GB"/>
              </w:rPr>
              <w:t xml:space="preserve">not regulated. Each individual voter, </w:t>
            </w:r>
            <w:r>
              <w:rPr>
                <w:rFonts w:ascii="Verdana" w:eastAsia="Calibri" w:hAnsi="Verdana" w:cs="Times New Roman"/>
                <w:sz w:val="20"/>
                <w:szCs w:val="20"/>
                <w:lang w:val="en-GB"/>
              </w:rPr>
              <w:t>including</w:t>
            </w:r>
            <w:r w:rsidRPr="00C531D7">
              <w:rPr>
                <w:rFonts w:ascii="Verdana" w:eastAsia="Calibri" w:hAnsi="Verdana" w:cs="Times New Roman"/>
                <w:sz w:val="20"/>
                <w:szCs w:val="20"/>
                <w:lang w:val="en-GB"/>
              </w:rPr>
              <w:t xml:space="preserve"> persons deprived of their legal capacity, who believes that his/her voting rights have been violated, can contact the National Election Committee or other election committee and lodge a complaint immediately.</w:t>
            </w:r>
            <w:r w:rsidRPr="00C531D7">
              <w:rPr>
                <w:rStyle w:val="FootnoteReference"/>
                <w:rFonts w:ascii="Verdana" w:eastAsia="Calibri" w:hAnsi="Verdana" w:cs="Times New Roman"/>
                <w:sz w:val="20"/>
                <w:szCs w:val="20"/>
                <w:lang w:val="en-GB"/>
              </w:rPr>
              <w:footnoteReference w:id="33"/>
            </w:r>
          </w:p>
        </w:tc>
      </w:tr>
    </w:tbl>
    <w:p w14:paraId="4B2433E7" w14:textId="77777777" w:rsidR="00C95E57" w:rsidRPr="00C531D7" w:rsidRDefault="00C95E57" w:rsidP="00C531D7">
      <w:pPr>
        <w:spacing w:line="240" w:lineRule="auto"/>
        <w:contextualSpacing/>
        <w:jc w:val="both"/>
        <w:rPr>
          <w:rFonts w:ascii="Verdana" w:eastAsia="Calibri" w:hAnsi="Verdana" w:cs="Times New Roman"/>
          <w:sz w:val="20"/>
          <w:szCs w:val="20"/>
          <w:lang w:val="en-GB"/>
        </w:rPr>
      </w:pPr>
    </w:p>
    <w:p w14:paraId="4B2433E8" w14:textId="77777777" w:rsidR="00225B23" w:rsidRPr="00C531D7" w:rsidRDefault="00225B23" w:rsidP="00C531D7">
      <w:pPr>
        <w:spacing w:line="240" w:lineRule="auto"/>
        <w:ind w:left="567"/>
        <w:contextualSpacing/>
        <w:jc w:val="both"/>
        <w:rPr>
          <w:rFonts w:ascii="Verdana" w:eastAsia="Calibri" w:hAnsi="Verdana" w:cs="Times New Roman"/>
          <w:b/>
          <w:sz w:val="24"/>
          <w:szCs w:val="24"/>
          <w:lang w:val="en-GB"/>
        </w:rPr>
      </w:pPr>
    </w:p>
    <w:p w14:paraId="4B2433E9" w14:textId="77777777" w:rsidR="00912C69" w:rsidRDefault="005F45ED" w:rsidP="00C531D7">
      <w:pPr>
        <w:numPr>
          <w:ilvl w:val="0"/>
          <w:numId w:val="6"/>
        </w:numPr>
        <w:spacing w:after="0" w:line="240" w:lineRule="auto"/>
        <w:ind w:left="567" w:hanging="567"/>
        <w:contextualSpacing/>
        <w:jc w:val="both"/>
        <w:rPr>
          <w:rFonts w:ascii="Verdana" w:eastAsia="Calibri" w:hAnsi="Verdana" w:cs="Times New Roman"/>
          <w:b/>
          <w:sz w:val="24"/>
          <w:szCs w:val="24"/>
          <w:lang w:val="en-GB"/>
        </w:rPr>
      </w:pPr>
      <w:r w:rsidRPr="00C531D7">
        <w:rPr>
          <w:rFonts w:ascii="Verdana" w:eastAsia="Calibri" w:hAnsi="Verdana" w:cs="Times New Roman"/>
          <w:b/>
          <w:sz w:val="24"/>
          <w:szCs w:val="24"/>
          <w:lang w:val="en-GB"/>
        </w:rPr>
        <w:t>PROCESS INDICATORS</w:t>
      </w:r>
    </w:p>
    <w:p w14:paraId="4F9A01DA" w14:textId="77777777" w:rsidR="000D527D" w:rsidRPr="00C531D7" w:rsidRDefault="000D527D" w:rsidP="00B500B5">
      <w:pPr>
        <w:spacing w:after="0" w:line="240" w:lineRule="auto"/>
        <w:ind w:left="567"/>
        <w:contextualSpacing/>
        <w:jc w:val="both"/>
        <w:rPr>
          <w:rFonts w:ascii="Verdana" w:eastAsia="Calibri" w:hAnsi="Verdana" w:cs="Times New Roman"/>
          <w:b/>
          <w:sz w:val="24"/>
          <w:szCs w:val="24"/>
          <w:lang w:val="en-GB"/>
        </w:rPr>
      </w:pPr>
    </w:p>
    <w:tbl>
      <w:tblPr>
        <w:tblW w:w="13749" w:type="dxa"/>
        <w:tblInd w:w="-70" w:type="dxa"/>
        <w:tblLayout w:type="fixed"/>
        <w:tblLook w:val="0000" w:firstRow="0" w:lastRow="0" w:firstColumn="0" w:lastColumn="0" w:noHBand="0" w:noVBand="0"/>
      </w:tblPr>
      <w:tblGrid>
        <w:gridCol w:w="3969"/>
        <w:gridCol w:w="9780"/>
      </w:tblGrid>
      <w:tr w:rsidR="000309DC" w:rsidRPr="00C531D7" w14:paraId="30ED77BE" w14:textId="77777777" w:rsidTr="000309DC">
        <w:trPr>
          <w:trHeight w:val="454"/>
        </w:trPr>
        <w:tc>
          <w:tcPr>
            <w:tcW w:w="3969" w:type="dxa"/>
            <w:tcBorders>
              <w:top w:val="single" w:sz="4" w:space="0" w:color="000000"/>
              <w:left w:val="single" w:sz="4" w:space="0" w:color="000000"/>
              <w:bottom w:val="single" w:sz="4" w:space="0" w:color="000000"/>
            </w:tcBorders>
            <w:shd w:val="clear" w:color="auto" w:fill="C6D9F1"/>
            <w:vAlign w:val="center"/>
          </w:tcPr>
          <w:p w14:paraId="4F511987" w14:textId="77777777" w:rsidR="000309DC" w:rsidRPr="00C531D7" w:rsidRDefault="000309DC" w:rsidP="00C531D7">
            <w:pPr>
              <w:spacing w:before="240" w:after="0" w:line="100" w:lineRule="atLeast"/>
              <w:jc w:val="both"/>
              <w:rPr>
                <w:rFonts w:ascii="Verdana" w:eastAsia="Calibri" w:hAnsi="Verdana" w:cs="Times New Roman"/>
                <w:b/>
                <w:sz w:val="20"/>
                <w:szCs w:val="20"/>
                <w:lang w:val="en-GB"/>
              </w:rPr>
            </w:pPr>
            <w:r w:rsidRPr="00C531D7">
              <w:rPr>
                <w:rFonts w:ascii="Verdana" w:eastAsia="Calibri" w:hAnsi="Verdana" w:cs="Times New Roman"/>
                <w:b/>
                <w:sz w:val="20"/>
                <w:szCs w:val="20"/>
                <w:lang w:val="en-GB"/>
              </w:rPr>
              <w:t>Process indicators</w:t>
            </w:r>
          </w:p>
        </w:tc>
        <w:tc>
          <w:tcPr>
            <w:tcW w:w="978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DCD8829" w14:textId="77777777" w:rsidR="000309DC" w:rsidRPr="00C531D7" w:rsidRDefault="000309DC" w:rsidP="00C531D7">
            <w:pPr>
              <w:spacing w:before="240" w:after="0" w:line="100" w:lineRule="atLeast"/>
              <w:jc w:val="both"/>
              <w:rPr>
                <w:rFonts w:ascii="Verdana" w:eastAsia="Calibri" w:hAnsi="Verdana" w:cs="Times New Roman"/>
                <w:sz w:val="20"/>
                <w:szCs w:val="20"/>
                <w:lang w:val="en-GB"/>
              </w:rPr>
            </w:pPr>
            <w:r w:rsidRPr="00C531D7">
              <w:rPr>
                <w:rFonts w:ascii="Verdana" w:eastAsia="Calibri" w:hAnsi="Verdana" w:cs="Times New Roman"/>
                <w:b/>
                <w:sz w:val="20"/>
                <w:szCs w:val="20"/>
                <w:lang w:val="en-GB"/>
              </w:rPr>
              <w:t>Source and supporting information</w:t>
            </w:r>
          </w:p>
        </w:tc>
      </w:tr>
      <w:tr w:rsidR="000309DC" w:rsidRPr="00C531D7" w14:paraId="338307F9" w14:textId="77777777" w:rsidTr="000309DC">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008D1A66" w14:textId="77777777" w:rsidR="000309DC" w:rsidRPr="00C531D7" w:rsidRDefault="000309DC" w:rsidP="00C531D7">
            <w:pPr>
              <w:spacing w:before="240" w:after="0" w:line="100" w:lineRule="atLeast"/>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43D4C" w14:textId="58CBAC0B" w:rsidR="000309DC" w:rsidRDefault="000309DC" w:rsidP="009759E9">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 xml:space="preserve">In Croatia, there are several mechanisms that allow for consultation of interested public in the development of laws and policies, including DPOs. These include public debates, internet consultations, participation of civil society representatives in working groups drafting legislation, regulatory impact assessment etc. </w:t>
            </w:r>
          </w:p>
          <w:p w14:paraId="5A4725DA" w14:textId="77777777" w:rsidR="000309DC" w:rsidRDefault="000309DC" w:rsidP="009759E9">
            <w:pPr>
              <w:spacing w:before="240"/>
              <w:contextualSpacing/>
              <w:jc w:val="both"/>
              <w:rPr>
                <w:rFonts w:ascii="Verdana" w:eastAsia="Calibri" w:hAnsi="Verdana" w:cs="Times New Roman"/>
                <w:sz w:val="20"/>
                <w:szCs w:val="20"/>
                <w:lang w:val="en-GB"/>
              </w:rPr>
            </w:pPr>
          </w:p>
          <w:p w14:paraId="76F51712" w14:textId="060072F7" w:rsidR="000309DC" w:rsidRPr="00C531D7" w:rsidRDefault="000309DC" w:rsidP="009759E9">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There is no obligation to consult DPOs in electoral matters.</w:t>
            </w:r>
          </w:p>
        </w:tc>
      </w:tr>
      <w:tr w:rsidR="000309DC" w:rsidRPr="00C531D7" w14:paraId="708C0F49" w14:textId="77777777" w:rsidTr="000309DC">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724AF454" w14:textId="77777777" w:rsidR="000309DC" w:rsidRPr="00C531D7" w:rsidRDefault="000309DC" w:rsidP="00C531D7">
            <w:pPr>
              <w:jc w:val="both"/>
              <w:rPr>
                <w:rFonts w:ascii="Verdana" w:hAnsi="Verdana"/>
                <w:sz w:val="20"/>
                <w:szCs w:val="20"/>
              </w:rPr>
            </w:pPr>
            <w:r w:rsidRPr="00C531D7">
              <w:rPr>
                <w:rFonts w:ascii="Verdana" w:hAnsi="Verdana"/>
                <w:sz w:val="20"/>
                <w:szCs w:val="20"/>
              </w:rPr>
              <w:lastRenderedPageBreak/>
              <w:t>Have national judicial redress mechanisms considered any cases related to the right to political participation of persons with disabilities?</w:t>
            </w:r>
          </w:p>
          <w:p w14:paraId="408C2570"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sz w:val="20"/>
                <w:szCs w:val="20"/>
              </w:rPr>
              <w:t>Please give details of relevant case law and any available data on the number of such cases.</w:t>
            </w: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DAA53" w14:textId="36CEE5C6" w:rsidR="000309DC" w:rsidRPr="000A2BD1" w:rsidRDefault="000309DC" w:rsidP="00C531D7">
            <w:pPr>
              <w:spacing w:before="240"/>
              <w:contextualSpacing/>
              <w:jc w:val="both"/>
              <w:rPr>
                <w:rFonts w:ascii="Verdana" w:hAnsi="Verdana" w:cs="Times New Roman"/>
                <w:sz w:val="20"/>
                <w:szCs w:val="20"/>
                <w:lang w:val="en-GB" w:eastAsia="hr-HR"/>
              </w:rPr>
            </w:pPr>
            <w:r w:rsidRPr="00C531D7">
              <w:rPr>
                <w:rFonts w:ascii="Verdana" w:eastAsia="Calibri" w:hAnsi="Verdana" w:cs="Times New Roman"/>
                <w:sz w:val="20"/>
                <w:szCs w:val="20"/>
                <w:lang w:val="en-GB"/>
              </w:rPr>
              <w:t xml:space="preserve">There have not been any key judicial decisions in this area.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Office of the Ombudswoman for Persons with Disabilities (</w:t>
            </w:r>
            <w:proofErr w:type="spellStart"/>
            <w:r w:rsidRPr="00C531D7">
              <w:rPr>
                <w:rFonts w:ascii="Verdana" w:hAnsi="Verdana" w:cs="Times New Roman"/>
                <w:i/>
                <w:sz w:val="20"/>
                <w:szCs w:val="20"/>
                <w:lang w:val="en-GB" w:eastAsia="hr-HR"/>
              </w:rPr>
              <w:t>Ured</w:t>
            </w:r>
            <w:proofErr w:type="spellEnd"/>
            <w:r w:rsidRPr="00C531D7">
              <w:rPr>
                <w:rFonts w:ascii="Verdana" w:hAnsi="Verdana" w:cs="Times New Roman"/>
                <w:i/>
                <w:sz w:val="20"/>
                <w:szCs w:val="20"/>
                <w:lang w:val="en-GB" w:eastAsia="hr-HR"/>
              </w:rPr>
              <w:t xml:space="preserve"> </w:t>
            </w:r>
            <w:proofErr w:type="spellStart"/>
            <w:r w:rsidRPr="00C531D7">
              <w:rPr>
                <w:rFonts w:ascii="Verdana" w:hAnsi="Verdana" w:cs="Times New Roman"/>
                <w:i/>
                <w:sz w:val="20"/>
                <w:szCs w:val="20"/>
                <w:lang w:val="en-GB" w:eastAsia="hr-HR"/>
              </w:rPr>
              <w:t>pravobraniteljice</w:t>
            </w:r>
            <w:proofErr w:type="spellEnd"/>
            <w:r w:rsidRPr="00C531D7">
              <w:rPr>
                <w:rFonts w:ascii="Verdana" w:hAnsi="Verdana" w:cs="Times New Roman"/>
                <w:i/>
                <w:sz w:val="20"/>
                <w:szCs w:val="20"/>
                <w:lang w:val="en-GB" w:eastAsia="hr-HR"/>
              </w:rPr>
              <w:t xml:space="preserve"> </w:t>
            </w:r>
            <w:proofErr w:type="spellStart"/>
            <w:r w:rsidRPr="00C531D7">
              <w:rPr>
                <w:rFonts w:ascii="Verdana" w:hAnsi="Verdana" w:cs="Times New Roman"/>
                <w:i/>
                <w:sz w:val="20"/>
                <w:szCs w:val="20"/>
                <w:lang w:val="en-GB" w:eastAsia="hr-HR"/>
              </w:rPr>
              <w:t>za</w:t>
            </w:r>
            <w:proofErr w:type="spellEnd"/>
            <w:r w:rsidRPr="00C531D7">
              <w:rPr>
                <w:rFonts w:ascii="Verdana" w:hAnsi="Verdana" w:cs="Times New Roman"/>
                <w:i/>
                <w:sz w:val="20"/>
                <w:szCs w:val="20"/>
                <w:lang w:val="en-GB" w:eastAsia="hr-HR"/>
              </w:rPr>
              <w:t xml:space="preserve"> </w:t>
            </w:r>
            <w:proofErr w:type="spellStart"/>
            <w:r w:rsidRPr="00C531D7">
              <w:rPr>
                <w:rFonts w:ascii="Verdana" w:hAnsi="Verdana" w:cs="Times New Roman"/>
                <w:i/>
                <w:sz w:val="20"/>
                <w:szCs w:val="20"/>
                <w:lang w:val="en-GB" w:eastAsia="hr-HR"/>
              </w:rPr>
              <w:t>osobe</w:t>
            </w:r>
            <w:proofErr w:type="spellEnd"/>
            <w:r w:rsidRPr="00C531D7">
              <w:rPr>
                <w:rFonts w:ascii="Verdana" w:hAnsi="Verdana" w:cs="Times New Roman"/>
                <w:i/>
                <w:sz w:val="20"/>
                <w:szCs w:val="20"/>
                <w:lang w:val="en-GB" w:eastAsia="hr-HR"/>
              </w:rPr>
              <w:t xml:space="preserve"> s </w:t>
            </w:r>
            <w:proofErr w:type="spellStart"/>
            <w:r w:rsidRPr="00C531D7">
              <w:rPr>
                <w:rFonts w:ascii="Verdana" w:hAnsi="Verdana" w:cs="Times New Roman"/>
                <w:i/>
                <w:sz w:val="20"/>
                <w:szCs w:val="20"/>
                <w:lang w:val="en-GB" w:eastAsia="hr-HR"/>
              </w:rPr>
              <w:t>invaliditetom</w:t>
            </w:r>
            <w:proofErr w:type="spellEnd"/>
            <w:r w:rsidRPr="00C531D7">
              <w:rPr>
                <w:rFonts w:ascii="Verdana" w:hAnsi="Verdana" w:cs="Times New Roman"/>
                <w:sz w:val="20"/>
                <w:szCs w:val="20"/>
                <w:lang w:val="en-GB" w:eastAsia="hr-HR"/>
              </w:rPr>
              <w:t>) is not aware of any court decisions in this area in the last 10 years.</w:t>
            </w:r>
            <w:r w:rsidRPr="00C531D7">
              <w:rPr>
                <w:rStyle w:val="FootnoteReference"/>
                <w:rFonts w:ascii="Verdana" w:hAnsi="Verdana" w:cs="Times New Roman"/>
                <w:sz w:val="20"/>
                <w:szCs w:val="20"/>
                <w:lang w:val="en-GB" w:eastAsia="hr-HR"/>
              </w:rPr>
              <w:footnoteReference w:id="34"/>
            </w:r>
          </w:p>
        </w:tc>
      </w:tr>
      <w:tr w:rsidR="000309DC" w:rsidRPr="00C531D7" w14:paraId="01CC1B7F" w14:textId="77777777" w:rsidTr="000309DC">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7540B0A4" w14:textId="77777777" w:rsidR="000309DC" w:rsidRPr="00C531D7" w:rsidRDefault="000309DC" w:rsidP="00C531D7">
            <w:pPr>
              <w:jc w:val="both"/>
              <w:rPr>
                <w:rFonts w:ascii="Verdana" w:hAnsi="Verdana"/>
                <w:sz w:val="20"/>
                <w:szCs w:val="20"/>
              </w:rPr>
            </w:pPr>
            <w:r w:rsidRPr="00C531D7">
              <w:rPr>
                <w:rFonts w:ascii="Verdana" w:hAnsi="Verdana"/>
                <w:sz w:val="20"/>
                <w:szCs w:val="20"/>
              </w:rPr>
              <w:t xml:space="preserve">Have national non-judicial redress mechanisms (e.g. National Human Rights Institutions, Equality Bodies, </w:t>
            </w:r>
            <w:proofErr w:type="spellStart"/>
            <w:r w:rsidRPr="00C531D7">
              <w:rPr>
                <w:rFonts w:ascii="Verdana" w:hAnsi="Verdana"/>
                <w:sz w:val="20"/>
                <w:szCs w:val="20"/>
              </w:rPr>
              <w:t>Ombuds</w:t>
            </w:r>
            <w:proofErr w:type="spellEnd"/>
            <w:r w:rsidRPr="00C531D7">
              <w:rPr>
                <w:rFonts w:ascii="Verdana" w:hAnsi="Verdana"/>
                <w:sz w:val="20"/>
                <w:szCs w:val="20"/>
              </w:rPr>
              <w:t xml:space="preserve"> institutions) considered any cases related to the right to political participation of persons with disabilities?</w:t>
            </w:r>
          </w:p>
          <w:p w14:paraId="4DC57039"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sz w:val="20"/>
                <w:szCs w:val="20"/>
              </w:rPr>
              <w:t>Please give details of relevant case law and any available data on the number of such cases.</w:t>
            </w: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33599" w14:textId="77777777" w:rsidR="000309DC" w:rsidRDefault="000309DC" w:rsidP="00033732">
            <w:pPr>
              <w:spacing w:before="240"/>
              <w:contextualSpacing/>
              <w:jc w:val="both"/>
              <w:rPr>
                <w:rFonts w:ascii="Verdana" w:hAnsi="Verdana" w:cs="Times New Roman"/>
                <w:sz w:val="20"/>
                <w:szCs w:val="20"/>
                <w:lang w:val="en-GB"/>
              </w:rPr>
            </w:pPr>
            <w:r w:rsidRPr="00C531D7">
              <w:rPr>
                <w:rFonts w:ascii="Verdana" w:eastAsia="Calibri" w:hAnsi="Verdana" w:cs="Times New Roman"/>
                <w:sz w:val="20"/>
                <w:szCs w:val="20"/>
                <w:lang w:val="en-GB"/>
              </w:rPr>
              <w:t xml:space="preserve">No complaints related to infringements of the right to political participation of persons with disabilities were recorded in 2012. In relation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 xml:space="preserve">local elections of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19</w:t>
            </w:r>
            <w:r w:rsidRPr="00B46A6B">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w:t>
            </w:r>
            <w:r>
              <w:rPr>
                <w:rFonts w:ascii="Verdana" w:eastAsia="Calibri" w:hAnsi="Verdana" w:cs="Times New Roman"/>
                <w:sz w:val="20"/>
                <w:szCs w:val="20"/>
                <w:lang w:val="en-GB"/>
              </w:rPr>
              <w:t xml:space="preserve"> 2013</w:t>
            </w:r>
            <w:r w:rsidRPr="00C531D7">
              <w:rPr>
                <w:rFonts w:ascii="Verdana" w:eastAsia="Calibri" w:hAnsi="Verdana" w:cs="Times New Roman"/>
                <w:sz w:val="20"/>
                <w:szCs w:val="20"/>
                <w:lang w:val="en-GB"/>
              </w:rPr>
              <w:t>, tw</w:t>
            </w:r>
            <w:r w:rsidRPr="00C531D7">
              <w:rPr>
                <w:rFonts w:ascii="Verdana" w:hAnsi="Verdana" w:cs="Times New Roman"/>
                <w:sz w:val="20"/>
                <w:szCs w:val="20"/>
                <w:lang w:val="en-GB"/>
              </w:rPr>
              <w:t>o such complaints were recorded but, a</w:t>
            </w:r>
            <w:r w:rsidRPr="00C531D7">
              <w:rPr>
                <w:rFonts w:ascii="Verdana" w:eastAsia="Calibri" w:hAnsi="Verdana" w:cs="Times New Roman"/>
                <w:sz w:val="20"/>
                <w:szCs w:val="20"/>
                <w:lang w:val="en-GB"/>
              </w:rPr>
              <w:t xml:space="preserve">ccording to the NEC,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complaints were not lodged in time for the problem to be redressed.</w:t>
            </w:r>
            <w:r w:rsidRPr="00C531D7">
              <w:rPr>
                <w:rStyle w:val="FootnoteReference"/>
                <w:rFonts w:ascii="Verdana" w:eastAsia="Calibri" w:hAnsi="Verdana" w:cs="Times New Roman"/>
                <w:sz w:val="20"/>
                <w:szCs w:val="20"/>
                <w:lang w:val="en-GB"/>
              </w:rPr>
              <w:footnoteReference w:id="35"/>
            </w:r>
            <w:r w:rsidRPr="00C531D7">
              <w:rPr>
                <w:rFonts w:ascii="Verdana" w:hAnsi="Verdana" w:cs="Times New Roman"/>
                <w:sz w:val="20"/>
                <w:szCs w:val="20"/>
                <w:lang w:val="en-GB"/>
              </w:rPr>
              <w:t xml:space="preserve"> </w:t>
            </w:r>
          </w:p>
          <w:p w14:paraId="28ABEDD3" w14:textId="77777777" w:rsidR="000309DC" w:rsidRDefault="000309DC" w:rsidP="00033732">
            <w:pPr>
              <w:spacing w:before="240"/>
              <w:contextualSpacing/>
              <w:jc w:val="both"/>
              <w:rPr>
                <w:rFonts w:ascii="Verdana" w:hAnsi="Verdana" w:cs="Times New Roman"/>
                <w:sz w:val="20"/>
                <w:szCs w:val="20"/>
                <w:lang w:val="en-GB"/>
              </w:rPr>
            </w:pPr>
          </w:p>
          <w:p w14:paraId="66CF76D1" w14:textId="77777777" w:rsidR="000309DC" w:rsidRPr="00C531D7" w:rsidRDefault="000309DC" w:rsidP="00033732">
            <w:pPr>
              <w:spacing w:before="240"/>
              <w:contextualSpacing/>
              <w:jc w:val="both"/>
              <w:rPr>
                <w:rFonts w:ascii="Verdana" w:eastAsia="Calibri" w:hAnsi="Verdana" w:cs="Times New Roman"/>
                <w:sz w:val="20"/>
                <w:szCs w:val="20"/>
                <w:lang w:val="en-GB"/>
              </w:rPr>
            </w:pPr>
            <w:r>
              <w:rPr>
                <w:rFonts w:ascii="Verdana" w:hAnsi="Verdana" w:cs="Times New Roman"/>
                <w:sz w:val="20"/>
                <w:szCs w:val="20"/>
                <w:lang w:val="en-GB"/>
              </w:rPr>
              <w:t xml:space="preserve">The </w:t>
            </w:r>
            <w:r w:rsidRPr="00C531D7">
              <w:rPr>
                <w:rFonts w:ascii="Verdana" w:eastAsia="Calibri" w:hAnsi="Verdana" w:cs="Times New Roman"/>
                <w:sz w:val="20"/>
                <w:szCs w:val="20"/>
                <w:lang w:val="en-GB"/>
              </w:rPr>
              <w:t xml:space="preserve">Office of the Ombudswoman for Persons with Disabilities received the same two complaints. The Office communicated its written recommendation </w:t>
            </w:r>
            <w:r>
              <w:rPr>
                <w:rFonts w:ascii="Verdana" w:eastAsia="Calibri" w:hAnsi="Verdana" w:cs="Times New Roman"/>
                <w:sz w:val="20"/>
                <w:szCs w:val="20"/>
                <w:lang w:val="en-GB"/>
              </w:rPr>
              <w:t xml:space="preserve">to the NEC </w:t>
            </w:r>
            <w:r w:rsidRPr="00C531D7">
              <w:rPr>
                <w:rFonts w:ascii="Verdana" w:eastAsia="Calibri" w:hAnsi="Verdana" w:cs="Times New Roman"/>
                <w:sz w:val="20"/>
                <w:szCs w:val="20"/>
                <w:lang w:val="en-GB"/>
              </w:rPr>
              <w:t>in order to prevent infringements in future elections.</w:t>
            </w:r>
            <w:r w:rsidRPr="00C531D7">
              <w:rPr>
                <w:rStyle w:val="FootnoteReference"/>
                <w:rFonts w:ascii="Verdana" w:eastAsia="Calibri" w:hAnsi="Verdana" w:cs="Times New Roman"/>
                <w:sz w:val="20"/>
                <w:szCs w:val="20"/>
                <w:lang w:val="en-GB"/>
              </w:rPr>
              <w:footnoteReference w:id="36"/>
            </w:r>
          </w:p>
          <w:p w14:paraId="3E9FFAE0" w14:textId="77777777" w:rsidR="000309DC" w:rsidRDefault="000309DC" w:rsidP="00C531D7">
            <w:pPr>
              <w:jc w:val="both"/>
              <w:rPr>
                <w:rFonts w:ascii="Verdana" w:hAnsi="Verdana" w:cs="Times New Roman"/>
                <w:sz w:val="20"/>
                <w:szCs w:val="20"/>
                <w:lang w:val="en-GB"/>
              </w:rPr>
            </w:pPr>
          </w:p>
          <w:p w14:paraId="27941D5E" w14:textId="7F02D53A" w:rsidR="000309DC" w:rsidRPr="00C531D7" w:rsidRDefault="000309DC" w:rsidP="00C531D7">
            <w:pPr>
              <w:jc w:val="both"/>
              <w:rPr>
                <w:rFonts w:ascii="Verdana" w:hAnsi="Verdana" w:cs="Times New Roman"/>
                <w:sz w:val="20"/>
                <w:szCs w:val="20"/>
                <w:lang w:val="en-GB"/>
              </w:rPr>
            </w:pPr>
            <w:r>
              <w:rPr>
                <w:rFonts w:ascii="Verdana" w:hAnsi="Verdana" w:cs="Times New Roman"/>
                <w:sz w:val="20"/>
                <w:szCs w:val="20"/>
                <w:lang w:val="en-GB"/>
              </w:rPr>
              <w:t>Furthermore, o</w:t>
            </w:r>
            <w:r w:rsidRPr="00C531D7">
              <w:rPr>
                <w:rFonts w:ascii="Verdana" w:hAnsi="Verdana" w:cs="Times New Roman"/>
                <w:sz w:val="20"/>
                <w:szCs w:val="20"/>
                <w:lang w:val="en-GB"/>
              </w:rPr>
              <w:t xml:space="preserve">n </w:t>
            </w:r>
            <w:r>
              <w:rPr>
                <w:rFonts w:ascii="Verdana" w:hAnsi="Verdana" w:cs="Times New Roman"/>
                <w:sz w:val="20"/>
                <w:szCs w:val="20"/>
                <w:lang w:val="en-GB"/>
              </w:rPr>
              <w:t xml:space="preserve">the </w:t>
            </w:r>
            <w:r w:rsidRPr="00C531D7">
              <w:rPr>
                <w:rFonts w:ascii="Verdana" w:hAnsi="Verdana" w:cs="Times New Roman"/>
                <w:sz w:val="20"/>
                <w:szCs w:val="20"/>
                <w:lang w:val="en-GB"/>
              </w:rPr>
              <w:t>13</w:t>
            </w:r>
            <w:r w:rsidRPr="00B500B5">
              <w:rPr>
                <w:rFonts w:ascii="Verdana" w:hAnsi="Verdana" w:cs="Times New Roman"/>
                <w:sz w:val="20"/>
                <w:szCs w:val="20"/>
                <w:vertAlign w:val="superscript"/>
                <w:lang w:val="en-GB"/>
              </w:rPr>
              <w:t>th</w:t>
            </w:r>
            <w:r>
              <w:rPr>
                <w:rFonts w:ascii="Verdana" w:hAnsi="Verdana" w:cs="Times New Roman"/>
                <w:sz w:val="20"/>
                <w:szCs w:val="20"/>
                <w:lang w:val="en-GB"/>
              </w:rPr>
              <w:t xml:space="preserve"> of</w:t>
            </w:r>
            <w:r w:rsidRPr="00C531D7">
              <w:rPr>
                <w:rFonts w:ascii="Verdana" w:hAnsi="Verdana" w:cs="Times New Roman"/>
                <w:sz w:val="20"/>
                <w:szCs w:val="20"/>
                <w:lang w:val="en-GB"/>
              </w:rPr>
              <w:t xml:space="preserve"> February 2012, Office of the Ombudswom</w:t>
            </w:r>
            <w:r>
              <w:rPr>
                <w:rFonts w:ascii="Verdana" w:hAnsi="Verdana" w:cs="Times New Roman"/>
                <w:sz w:val="20"/>
                <w:szCs w:val="20"/>
                <w:lang w:val="en-GB"/>
              </w:rPr>
              <w:t>a</w:t>
            </w:r>
            <w:r w:rsidRPr="00C531D7">
              <w:rPr>
                <w:rFonts w:ascii="Verdana" w:hAnsi="Verdana" w:cs="Times New Roman"/>
                <w:sz w:val="20"/>
                <w:szCs w:val="20"/>
                <w:lang w:val="en-GB"/>
              </w:rPr>
              <w:t>n for Disability sent a written opinion and recommendation to the Ministry of Public Administration (</w:t>
            </w:r>
            <w:proofErr w:type="spellStart"/>
            <w:r w:rsidRPr="00C531D7">
              <w:rPr>
                <w:rFonts w:ascii="Verdana" w:hAnsi="Verdana" w:cs="Times New Roman"/>
                <w:i/>
                <w:sz w:val="20"/>
                <w:szCs w:val="20"/>
                <w:lang w:val="en-GB"/>
              </w:rPr>
              <w:t>Ministarstvo</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uprave</w:t>
            </w:r>
            <w:proofErr w:type="spellEnd"/>
            <w:r w:rsidRPr="00C531D7">
              <w:rPr>
                <w:rFonts w:ascii="Verdana" w:hAnsi="Verdana" w:cs="Times New Roman"/>
                <w:sz w:val="20"/>
                <w:szCs w:val="20"/>
                <w:lang w:val="en-GB"/>
              </w:rPr>
              <w:t xml:space="preserve">) in relation to </w:t>
            </w:r>
            <w:r>
              <w:rPr>
                <w:rFonts w:ascii="Verdana" w:hAnsi="Verdana" w:cs="Times New Roman"/>
                <w:sz w:val="20"/>
                <w:szCs w:val="20"/>
                <w:lang w:val="en-GB"/>
              </w:rPr>
              <w:t xml:space="preserve">the </w:t>
            </w:r>
            <w:r w:rsidRPr="00C531D7">
              <w:rPr>
                <w:rFonts w:ascii="Verdana" w:hAnsi="Verdana" w:cs="Times New Roman"/>
                <w:sz w:val="20"/>
                <w:szCs w:val="20"/>
                <w:lang w:val="en-GB"/>
              </w:rPr>
              <w:t>elect</w:t>
            </w:r>
            <w:r>
              <w:rPr>
                <w:rFonts w:ascii="Verdana" w:hAnsi="Verdana" w:cs="Times New Roman"/>
                <w:sz w:val="20"/>
                <w:szCs w:val="20"/>
                <w:lang w:val="en-GB"/>
              </w:rPr>
              <w:t>oral</w:t>
            </w:r>
            <w:r w:rsidRPr="00C531D7">
              <w:rPr>
                <w:rFonts w:ascii="Verdana" w:hAnsi="Verdana" w:cs="Times New Roman"/>
                <w:sz w:val="20"/>
                <w:szCs w:val="20"/>
                <w:lang w:val="en-GB"/>
              </w:rPr>
              <w:t xml:space="preserve"> legislation. In summary, the recommendations were:</w:t>
            </w:r>
          </w:p>
          <w:p w14:paraId="78376A13" w14:textId="2ABB2010" w:rsidR="000309DC" w:rsidRPr="00C531D7" w:rsidRDefault="000309DC" w:rsidP="00C531D7">
            <w:pPr>
              <w:jc w:val="both"/>
              <w:rPr>
                <w:rFonts w:ascii="Verdana" w:hAnsi="Verdana" w:cs="Times New Roman"/>
                <w:sz w:val="20"/>
                <w:szCs w:val="20"/>
                <w:lang w:val="en-GB"/>
              </w:rPr>
            </w:pPr>
            <w:r w:rsidRPr="00C531D7">
              <w:rPr>
                <w:rFonts w:ascii="Verdana" w:hAnsi="Verdana" w:cs="Times New Roman"/>
                <w:sz w:val="20"/>
                <w:szCs w:val="20"/>
                <w:lang w:val="en-GB"/>
              </w:rPr>
              <w:t>- to introduce legal provisions that would assure accessibility of polling stations and support for persons with disability, including those with motoric problems, visual and hearing impairment, and persons with intellectual impairments;</w:t>
            </w:r>
          </w:p>
          <w:p w14:paraId="00ED4D52" w14:textId="67C9C161" w:rsidR="000309DC" w:rsidRPr="00C531D7" w:rsidRDefault="000309DC" w:rsidP="00C531D7">
            <w:pPr>
              <w:jc w:val="both"/>
              <w:rPr>
                <w:rFonts w:ascii="Verdana" w:hAnsi="Verdana" w:cs="Times New Roman"/>
                <w:sz w:val="20"/>
                <w:szCs w:val="20"/>
                <w:lang w:val="en-GB"/>
              </w:rPr>
            </w:pPr>
            <w:r w:rsidRPr="00C531D7">
              <w:rPr>
                <w:rFonts w:ascii="Verdana" w:hAnsi="Verdana" w:cs="Times New Roman"/>
                <w:sz w:val="20"/>
                <w:szCs w:val="20"/>
                <w:lang w:val="en-GB"/>
              </w:rPr>
              <w:t xml:space="preserve">- to introduce legal provisions that would allow the exercise of voting rights for persons living in long-term residential social welfare institutions in a manner similar to that provided for other categories of voters located outside of </w:t>
            </w:r>
            <w:r>
              <w:rPr>
                <w:rFonts w:ascii="Verdana" w:hAnsi="Verdana" w:cs="Times New Roman"/>
                <w:sz w:val="20"/>
                <w:szCs w:val="20"/>
                <w:lang w:val="en-GB"/>
              </w:rPr>
              <w:t xml:space="preserve">their </w:t>
            </w:r>
            <w:r w:rsidRPr="00C531D7">
              <w:rPr>
                <w:rFonts w:ascii="Verdana" w:hAnsi="Verdana" w:cs="Times New Roman"/>
                <w:sz w:val="20"/>
                <w:szCs w:val="20"/>
                <w:lang w:val="en-GB"/>
              </w:rPr>
              <w:t>permanent residence</w:t>
            </w:r>
            <w:r>
              <w:rPr>
                <w:rFonts w:ascii="Verdana" w:hAnsi="Verdana" w:cs="Times New Roman"/>
                <w:sz w:val="20"/>
                <w:szCs w:val="20"/>
                <w:lang w:val="en-GB"/>
              </w:rPr>
              <w:t xml:space="preserve"> place</w:t>
            </w:r>
            <w:r w:rsidRPr="00C531D7">
              <w:rPr>
                <w:rFonts w:ascii="Verdana" w:hAnsi="Verdana" w:cs="Times New Roman"/>
                <w:sz w:val="20"/>
                <w:szCs w:val="20"/>
                <w:lang w:val="en-GB"/>
              </w:rPr>
              <w:t xml:space="preserve"> on the election </w:t>
            </w:r>
            <w:r w:rsidRPr="00C531D7">
              <w:rPr>
                <w:rFonts w:ascii="Verdana" w:hAnsi="Verdana" w:cs="Times New Roman"/>
                <w:sz w:val="20"/>
                <w:szCs w:val="20"/>
                <w:lang w:val="en-GB"/>
              </w:rPr>
              <w:lastRenderedPageBreak/>
              <w:t>day;</w:t>
            </w:r>
          </w:p>
          <w:p w14:paraId="2ABC045A" w14:textId="0FAC35F7" w:rsidR="000309DC" w:rsidRPr="00C531D7" w:rsidRDefault="000309DC" w:rsidP="00C531D7">
            <w:pPr>
              <w:jc w:val="both"/>
              <w:rPr>
                <w:rFonts w:ascii="Verdana" w:hAnsi="Verdana" w:cs="Times New Roman"/>
                <w:sz w:val="20"/>
                <w:szCs w:val="20"/>
                <w:lang w:val="en-GB"/>
              </w:rPr>
            </w:pPr>
            <w:r w:rsidRPr="00C531D7">
              <w:rPr>
                <w:rFonts w:ascii="Verdana" w:hAnsi="Verdana" w:cs="Times New Roman"/>
                <w:sz w:val="20"/>
                <w:szCs w:val="20"/>
                <w:lang w:val="en-GB"/>
              </w:rPr>
              <w:t xml:space="preserve">- to guarantee active and passive voting rights for persons deprived of legal capacity, in accordance with </w:t>
            </w:r>
            <w:r>
              <w:rPr>
                <w:rFonts w:ascii="Verdana" w:hAnsi="Verdana" w:cs="Times New Roman"/>
                <w:sz w:val="20"/>
                <w:szCs w:val="20"/>
                <w:lang w:val="en-GB"/>
              </w:rPr>
              <w:t xml:space="preserve">the </w:t>
            </w:r>
            <w:r w:rsidRPr="00C531D7">
              <w:rPr>
                <w:rFonts w:ascii="Verdana" w:hAnsi="Verdana" w:cs="Times New Roman"/>
                <w:sz w:val="20"/>
                <w:szCs w:val="20"/>
                <w:lang w:val="en-GB"/>
              </w:rPr>
              <w:t>CRPD.</w:t>
            </w:r>
          </w:p>
          <w:p w14:paraId="09FFC811" w14:textId="47472A2C" w:rsidR="000309DC" w:rsidRDefault="000309DC" w:rsidP="00C531D7">
            <w:pPr>
              <w:spacing w:before="240"/>
              <w:contextualSpacing/>
              <w:jc w:val="both"/>
              <w:rPr>
                <w:rFonts w:ascii="Verdana" w:hAnsi="Verdana" w:cs="Times New Roman"/>
                <w:sz w:val="20"/>
                <w:szCs w:val="20"/>
                <w:lang w:val="en-GB"/>
              </w:rPr>
            </w:pPr>
            <w:r w:rsidRPr="00C531D7">
              <w:rPr>
                <w:rFonts w:ascii="Verdana" w:eastAsia="Calibri" w:hAnsi="Verdana" w:cs="Times New Roman"/>
                <w:sz w:val="20"/>
                <w:szCs w:val="20"/>
                <w:lang w:val="en-GB"/>
              </w:rPr>
              <w:t>On</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4</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September 2012,</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w:t>
            </w:r>
            <w:r w:rsidRPr="00C531D7">
              <w:rPr>
                <w:rFonts w:ascii="Verdana" w:hAnsi="Verdana" w:cs="Times New Roman"/>
                <w:sz w:val="20"/>
                <w:szCs w:val="20"/>
                <w:lang w:val="en-GB"/>
              </w:rPr>
              <w:t>Office of the Ombudswom</w:t>
            </w:r>
            <w:r>
              <w:rPr>
                <w:rFonts w:ascii="Verdana" w:hAnsi="Verdana" w:cs="Times New Roman"/>
                <w:sz w:val="20"/>
                <w:szCs w:val="20"/>
                <w:lang w:val="en-GB"/>
              </w:rPr>
              <w:t>a</w:t>
            </w:r>
            <w:r w:rsidRPr="00C531D7">
              <w:rPr>
                <w:rFonts w:ascii="Verdana" w:hAnsi="Verdana" w:cs="Times New Roman"/>
                <w:sz w:val="20"/>
                <w:szCs w:val="20"/>
                <w:lang w:val="en-GB"/>
              </w:rPr>
              <w:t>n for Disability sent a written opinion and recommendation in relation to the draft of the Act on Voter Registry to the Ministry of Public Administration, asking for the provisions facilitating registration for users of all residential social welfare institutions, as well as the removal of exclusionary provisions in relation to persons deprived of legal capacity.</w:t>
            </w:r>
          </w:p>
          <w:p w14:paraId="0CD78D39"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6BB45FCD" w14:textId="3A51A7EF" w:rsidR="000309DC" w:rsidRPr="000A2BD1" w:rsidRDefault="000309DC" w:rsidP="00033732">
            <w:pPr>
              <w:spacing w:before="240"/>
              <w:contextualSpacing/>
              <w:jc w:val="both"/>
              <w:rPr>
                <w:rFonts w:ascii="Verdana" w:hAnsi="Verdana" w:cs="Times New Roman"/>
                <w:sz w:val="20"/>
                <w:szCs w:val="20"/>
                <w:lang w:val="en-GB"/>
              </w:rPr>
            </w:pPr>
            <w:r w:rsidRPr="00C531D7">
              <w:rPr>
                <w:rFonts w:ascii="Verdana" w:eastAsia="Calibri" w:hAnsi="Verdana" w:cs="Times New Roman"/>
                <w:sz w:val="20"/>
                <w:szCs w:val="20"/>
                <w:lang w:val="en-GB"/>
              </w:rPr>
              <w:t>On</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4</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October 2012, </w:t>
            </w:r>
            <w:r>
              <w:rPr>
                <w:rFonts w:ascii="Verdana" w:eastAsia="Calibri" w:hAnsi="Verdana" w:cs="Times New Roman"/>
                <w:sz w:val="20"/>
                <w:szCs w:val="20"/>
                <w:lang w:val="en-GB"/>
              </w:rPr>
              <w:t xml:space="preserve">the </w:t>
            </w:r>
            <w:r w:rsidRPr="00C531D7">
              <w:rPr>
                <w:rFonts w:ascii="Verdana" w:hAnsi="Verdana" w:cs="Times New Roman"/>
                <w:sz w:val="20"/>
                <w:szCs w:val="20"/>
                <w:lang w:val="en-GB"/>
              </w:rPr>
              <w:t>Office of the Ombudswom</w:t>
            </w:r>
            <w:r>
              <w:rPr>
                <w:rFonts w:ascii="Verdana" w:hAnsi="Verdana" w:cs="Times New Roman"/>
                <w:sz w:val="20"/>
                <w:szCs w:val="20"/>
                <w:lang w:val="en-GB"/>
              </w:rPr>
              <w:t>a</w:t>
            </w:r>
            <w:r w:rsidRPr="00C531D7">
              <w:rPr>
                <w:rFonts w:ascii="Verdana" w:hAnsi="Verdana" w:cs="Times New Roman"/>
                <w:sz w:val="20"/>
                <w:szCs w:val="20"/>
                <w:lang w:val="en-GB"/>
              </w:rPr>
              <w:t>n for Disability sent a written opinion and recommendation in relation to the draft of the Act on Voter Registry to the Croatian Parliament, and competent parliamentary committees to demand the nullification of exclusionary provisions related to persons deprived of legal capacity.</w:t>
            </w:r>
            <w:r w:rsidRPr="00C531D7">
              <w:rPr>
                <w:rStyle w:val="FootnoteReference"/>
                <w:rFonts w:ascii="Verdana" w:hAnsi="Verdana" w:cs="Times New Roman"/>
                <w:sz w:val="20"/>
                <w:szCs w:val="20"/>
                <w:lang w:val="en-GB"/>
              </w:rPr>
              <w:t xml:space="preserve"> </w:t>
            </w:r>
            <w:r w:rsidRPr="00C531D7">
              <w:rPr>
                <w:rStyle w:val="FootnoteReference"/>
                <w:rFonts w:ascii="Verdana" w:hAnsi="Verdana" w:cs="Times New Roman"/>
                <w:sz w:val="20"/>
                <w:szCs w:val="20"/>
                <w:lang w:val="en-GB"/>
              </w:rPr>
              <w:footnoteReference w:id="37"/>
            </w:r>
          </w:p>
        </w:tc>
      </w:tr>
      <w:tr w:rsidR="000309DC" w:rsidRPr="00C531D7" w14:paraId="13413D3A" w14:textId="77777777" w:rsidTr="000309DC">
        <w:trPr>
          <w:trHeight w:val="454"/>
        </w:trPr>
        <w:tc>
          <w:tcPr>
            <w:tcW w:w="3969" w:type="dxa"/>
            <w:tcBorders>
              <w:top w:val="single" w:sz="4" w:space="0" w:color="000000"/>
              <w:left w:val="single" w:sz="4" w:space="0" w:color="000000"/>
              <w:bottom w:val="single" w:sz="4" w:space="0" w:color="000000"/>
            </w:tcBorders>
            <w:shd w:val="clear" w:color="auto" w:fill="FFFFFF"/>
            <w:vAlign w:val="center"/>
          </w:tcPr>
          <w:p w14:paraId="6B2FE89A" w14:textId="77777777" w:rsidR="000309DC" w:rsidRPr="00C531D7" w:rsidRDefault="000309DC" w:rsidP="00C531D7">
            <w:pPr>
              <w:jc w:val="both"/>
              <w:rPr>
                <w:rFonts w:ascii="Verdana" w:hAnsi="Verdana"/>
                <w:sz w:val="20"/>
                <w:szCs w:val="20"/>
              </w:rPr>
            </w:pPr>
            <w:r w:rsidRPr="00C531D7">
              <w:rPr>
                <w:rFonts w:ascii="Verdana" w:eastAsia="Calibri" w:hAnsi="Verdana" w:cs="Times New Roman"/>
                <w:sz w:val="20"/>
                <w:szCs w:val="20"/>
                <w:lang w:val="en-GB"/>
              </w:rPr>
              <w:lastRenderedPageBreak/>
              <w:t>Is information about how and where to complain in the case of problems with exercising the right to political participation accessible to all persons with disabilities?</w:t>
            </w:r>
            <w:r w:rsidRPr="00C531D7">
              <w:rPr>
                <w:rStyle w:val="CommentReference"/>
                <w:rFonts w:ascii="Verdana" w:hAnsi="Verdana"/>
                <w:sz w:val="20"/>
                <w:szCs w:val="20"/>
              </w:rPr>
              <w:t xml:space="preserve"> </w:t>
            </w:r>
          </w:p>
        </w:tc>
        <w:tc>
          <w:tcPr>
            <w:tcW w:w="9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FC9F" w14:textId="4C6947B0" w:rsidR="000309DC"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website</w:t>
            </w:r>
            <w:r>
              <w:rPr>
                <w:rFonts w:ascii="Verdana" w:eastAsia="Calibri" w:hAnsi="Verdana" w:cs="Times New Roman"/>
                <w:sz w:val="20"/>
                <w:szCs w:val="20"/>
                <w:lang w:val="en-GB"/>
              </w:rPr>
              <w:t xml:space="preserve"> of the NEC</w:t>
            </w:r>
            <w:r w:rsidRPr="00C531D7">
              <w:rPr>
                <w:rFonts w:ascii="Verdana" w:eastAsia="Calibri" w:hAnsi="Verdana" w:cs="Times New Roman"/>
                <w:sz w:val="20"/>
                <w:szCs w:val="20"/>
                <w:lang w:val="en-GB"/>
              </w:rPr>
              <w:t xml:space="preserve"> (</w:t>
            </w:r>
            <w:hyperlink r:id="rId13" w:history="1">
              <w:r w:rsidRPr="00C531D7">
                <w:rPr>
                  <w:rStyle w:val="Hyperlink"/>
                  <w:rFonts w:ascii="Verdana" w:eastAsia="Calibri" w:hAnsi="Verdana" w:cs="Times New Roman"/>
                  <w:sz w:val="20"/>
                  <w:szCs w:val="20"/>
                  <w:lang w:val="en-GB"/>
                </w:rPr>
                <w:t>http://www.izbori.hr</w:t>
              </w:r>
            </w:hyperlink>
            <w:r w:rsidRPr="00C531D7">
              <w:rPr>
                <w:rFonts w:ascii="Verdana" w:eastAsia="Calibri" w:hAnsi="Verdana" w:cs="Times New Roman"/>
                <w:sz w:val="20"/>
                <w:szCs w:val="20"/>
                <w:lang w:val="en-GB"/>
              </w:rPr>
              <w:t>) does not contain a banner for information on how to complain.</w:t>
            </w:r>
          </w:p>
          <w:p w14:paraId="7DF0024D"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3F8959A7" w14:textId="3B84F5A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There is also no formalized procedure: every voter who has a complaint can lodge it to</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local election committee and the NEC. There is no specific procedure for persons with disability to lodge a complaint, but they can address the competent election committee or the NEC by any means of communication.</w:t>
            </w:r>
            <w:r w:rsidRPr="00C531D7">
              <w:rPr>
                <w:rStyle w:val="FootnoteReference"/>
                <w:rFonts w:ascii="Verdana" w:eastAsia="Calibri" w:hAnsi="Verdana" w:cs="Times New Roman"/>
                <w:sz w:val="20"/>
                <w:szCs w:val="20"/>
                <w:lang w:val="en-GB"/>
              </w:rPr>
              <w:footnoteReference w:id="38"/>
            </w:r>
          </w:p>
        </w:tc>
      </w:tr>
    </w:tbl>
    <w:p w14:paraId="4B243410" w14:textId="77777777" w:rsidR="00225B23" w:rsidRPr="00C531D7" w:rsidRDefault="00225B23" w:rsidP="00C531D7">
      <w:pPr>
        <w:spacing w:after="0" w:line="240" w:lineRule="auto"/>
        <w:contextualSpacing/>
        <w:jc w:val="both"/>
        <w:rPr>
          <w:rFonts w:ascii="Verdana" w:eastAsia="Calibri" w:hAnsi="Verdana" w:cs="Times New Roman"/>
          <w:b/>
          <w:sz w:val="24"/>
          <w:szCs w:val="24"/>
          <w:lang w:val="en-GB"/>
        </w:rPr>
      </w:pPr>
    </w:p>
    <w:p w14:paraId="4B243411" w14:textId="77777777" w:rsidR="00912C69" w:rsidRDefault="00576099" w:rsidP="00C531D7">
      <w:pPr>
        <w:numPr>
          <w:ilvl w:val="0"/>
          <w:numId w:val="6"/>
        </w:numPr>
        <w:spacing w:after="0" w:line="240" w:lineRule="auto"/>
        <w:ind w:left="567" w:hanging="567"/>
        <w:contextualSpacing/>
        <w:jc w:val="both"/>
        <w:rPr>
          <w:rFonts w:ascii="Verdana" w:eastAsia="Calibri" w:hAnsi="Verdana" w:cs="Times New Roman"/>
          <w:b/>
          <w:sz w:val="24"/>
          <w:szCs w:val="24"/>
          <w:lang w:val="en-GB"/>
        </w:rPr>
      </w:pPr>
      <w:r w:rsidRPr="00C531D7">
        <w:rPr>
          <w:rFonts w:ascii="Verdana" w:eastAsia="Calibri" w:hAnsi="Verdana" w:cs="Times New Roman"/>
          <w:b/>
          <w:sz w:val="24"/>
          <w:szCs w:val="24"/>
          <w:lang w:val="en-GB"/>
        </w:rPr>
        <w:t>OUTCOME INDICATORS</w:t>
      </w:r>
    </w:p>
    <w:p w14:paraId="4B243412" w14:textId="77777777" w:rsidR="006B7FC1" w:rsidRPr="00C531D7" w:rsidRDefault="006B7FC1" w:rsidP="00C531D7">
      <w:pPr>
        <w:spacing w:after="0" w:line="240" w:lineRule="auto"/>
        <w:contextualSpacing/>
        <w:jc w:val="both"/>
        <w:rPr>
          <w:rFonts w:ascii="Verdana" w:eastAsia="Calibri" w:hAnsi="Verdana" w:cs="Times New Roman"/>
          <w:b/>
          <w:sz w:val="20"/>
          <w:szCs w:val="20"/>
          <w:lang w:val="en-GB"/>
        </w:rPr>
      </w:pPr>
    </w:p>
    <w:tbl>
      <w:tblPr>
        <w:tblStyle w:val="TableGrid"/>
        <w:tblW w:w="4772" w:type="pct"/>
        <w:tblLayout w:type="fixed"/>
        <w:tblLook w:val="04A0" w:firstRow="1" w:lastRow="0" w:firstColumn="1" w:lastColumn="0" w:noHBand="0" w:noVBand="1"/>
      </w:tblPr>
      <w:tblGrid>
        <w:gridCol w:w="3968"/>
        <w:gridCol w:w="9781"/>
      </w:tblGrid>
      <w:tr w:rsidR="000309DC" w:rsidRPr="00C531D7" w14:paraId="0940A492" w14:textId="77777777" w:rsidTr="000309DC">
        <w:trPr>
          <w:trHeight w:val="454"/>
        </w:trPr>
        <w:tc>
          <w:tcPr>
            <w:tcW w:w="1443" w:type="pct"/>
            <w:shd w:val="clear" w:color="auto" w:fill="C6D9F1" w:themeFill="text2" w:themeFillTint="33"/>
            <w:vAlign w:val="center"/>
          </w:tcPr>
          <w:p w14:paraId="64859668" w14:textId="77777777" w:rsidR="000309DC" w:rsidRPr="00C531D7" w:rsidRDefault="000309DC" w:rsidP="00C531D7">
            <w:pPr>
              <w:spacing w:before="240"/>
              <w:contextualSpacing/>
              <w:jc w:val="both"/>
              <w:rPr>
                <w:rFonts w:ascii="Verdana" w:eastAsia="Calibri" w:hAnsi="Verdana" w:cs="Times New Roman"/>
                <w:b/>
                <w:sz w:val="20"/>
                <w:szCs w:val="20"/>
                <w:lang w:val="en-GB"/>
              </w:rPr>
            </w:pPr>
            <w:r w:rsidRPr="00C531D7">
              <w:rPr>
                <w:rFonts w:ascii="Verdana" w:eastAsia="Calibri" w:hAnsi="Verdana" w:cs="Times New Roman"/>
                <w:b/>
                <w:sz w:val="20"/>
                <w:szCs w:val="20"/>
                <w:lang w:val="en-GB"/>
              </w:rPr>
              <w:t>Outcome indicators</w:t>
            </w:r>
          </w:p>
        </w:tc>
        <w:tc>
          <w:tcPr>
            <w:tcW w:w="3557" w:type="pct"/>
            <w:shd w:val="clear" w:color="auto" w:fill="C6D9F1" w:themeFill="text2" w:themeFillTint="33"/>
            <w:vAlign w:val="center"/>
          </w:tcPr>
          <w:p w14:paraId="2628E0B1" w14:textId="77777777" w:rsidR="000309DC" w:rsidRPr="00C531D7" w:rsidRDefault="000309DC" w:rsidP="00C531D7">
            <w:pPr>
              <w:spacing w:before="240" w:line="100" w:lineRule="atLeast"/>
              <w:jc w:val="both"/>
              <w:rPr>
                <w:rFonts w:ascii="Verdana" w:eastAsia="Calibri" w:hAnsi="Verdana" w:cs="Times New Roman"/>
                <w:sz w:val="20"/>
                <w:szCs w:val="20"/>
                <w:lang w:val="en-GB"/>
              </w:rPr>
            </w:pPr>
            <w:r w:rsidRPr="00C531D7">
              <w:rPr>
                <w:rFonts w:ascii="Verdana" w:eastAsia="Calibri" w:hAnsi="Verdana" w:cs="Times New Roman"/>
                <w:b/>
                <w:sz w:val="20"/>
                <w:szCs w:val="20"/>
                <w:lang w:val="en-GB"/>
              </w:rPr>
              <w:t>Source and supporting information</w:t>
            </w:r>
          </w:p>
        </w:tc>
      </w:tr>
      <w:tr w:rsidR="000309DC" w:rsidRPr="00C531D7" w14:paraId="1159371D" w14:textId="77777777" w:rsidTr="000309DC">
        <w:trPr>
          <w:trHeight w:val="454"/>
        </w:trPr>
        <w:tc>
          <w:tcPr>
            <w:tcW w:w="1443" w:type="pct"/>
            <w:shd w:val="clear" w:color="auto" w:fill="auto"/>
            <w:vAlign w:val="center"/>
          </w:tcPr>
          <w:p w14:paraId="7129C55F" w14:textId="77777777" w:rsidR="000309DC" w:rsidRPr="00C531D7" w:rsidRDefault="000309DC" w:rsidP="00C531D7">
            <w:pPr>
              <w:spacing w:before="240"/>
              <w:contextualSpacing/>
              <w:jc w:val="both"/>
              <w:rPr>
                <w:rFonts w:ascii="Verdana" w:hAnsi="Verdana" w:cs="Times New Roman"/>
                <w:sz w:val="20"/>
                <w:szCs w:val="20"/>
              </w:rPr>
            </w:pPr>
            <w:r w:rsidRPr="00C531D7">
              <w:rPr>
                <w:rFonts w:ascii="Verdana" w:hAnsi="Verdana" w:cs="Times New Roman"/>
                <w:sz w:val="20"/>
                <w:szCs w:val="20"/>
              </w:rPr>
              <w:t xml:space="preserve">What was the voter turnout rate for persons with disabilities in the most recent municipal elections and in the </w:t>
            </w:r>
            <w:r w:rsidRPr="00C531D7">
              <w:rPr>
                <w:rFonts w:ascii="Verdana" w:hAnsi="Verdana" w:cs="Times New Roman"/>
                <w:sz w:val="20"/>
                <w:szCs w:val="20"/>
              </w:rPr>
              <w:lastRenderedPageBreak/>
              <w:t>2009 European Parliament elections? How does this compare with the voter turnout rate among the general population?</w:t>
            </w:r>
          </w:p>
          <w:p w14:paraId="6A85D1AF" w14:textId="77777777" w:rsidR="000309DC" w:rsidRPr="00C531D7" w:rsidRDefault="000309DC" w:rsidP="00C531D7">
            <w:pPr>
              <w:spacing w:before="240"/>
              <w:contextualSpacing/>
              <w:jc w:val="both"/>
              <w:rPr>
                <w:rFonts w:ascii="Verdana" w:hAnsi="Verdana" w:cs="Times New Roman"/>
                <w:sz w:val="20"/>
                <w:szCs w:val="20"/>
              </w:rPr>
            </w:pPr>
          </w:p>
          <w:p w14:paraId="2ACA104D" w14:textId="77777777" w:rsidR="000309DC" w:rsidRPr="00C531D7" w:rsidRDefault="000309DC" w:rsidP="00C531D7">
            <w:pPr>
              <w:spacing w:before="240"/>
              <w:contextualSpacing/>
              <w:jc w:val="both"/>
              <w:rPr>
                <w:rFonts w:ascii="Verdana" w:hAnsi="Verdana" w:cs="Times New Roman"/>
                <w:sz w:val="20"/>
                <w:szCs w:val="20"/>
              </w:rPr>
            </w:pPr>
            <w:r w:rsidRPr="00C531D7">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557" w:type="pct"/>
            <w:vAlign w:val="center"/>
          </w:tcPr>
          <w:p w14:paraId="4422D2EC" w14:textId="40411949"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There is no obligation in Croatian election law to record or collect data on voting by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xml:space="preserve">. Therefore, no such data exists. </w:t>
            </w:r>
            <w:r w:rsidRPr="00C531D7">
              <w:rPr>
                <w:rStyle w:val="FootnoteReference"/>
                <w:rFonts w:ascii="Verdana" w:eastAsia="Calibri" w:hAnsi="Verdana" w:cs="Times New Roman"/>
                <w:sz w:val="20"/>
                <w:szCs w:val="20"/>
                <w:lang w:val="en-GB"/>
              </w:rPr>
              <w:footnoteReference w:id="39"/>
            </w:r>
            <w:r w:rsidRPr="00C531D7">
              <w:rPr>
                <w:rFonts w:ascii="Verdana" w:eastAsia="Calibri" w:hAnsi="Verdana" w:cs="Times New Roman"/>
                <w:sz w:val="20"/>
                <w:szCs w:val="20"/>
                <w:lang w:val="en-GB"/>
              </w:rPr>
              <w:t xml:space="preserve"> </w:t>
            </w:r>
          </w:p>
          <w:p w14:paraId="5AD48D27"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070278A9" w14:textId="26CA54BE" w:rsidR="000309DC" w:rsidRDefault="000309DC" w:rsidP="00C531D7">
            <w:pPr>
              <w:spacing w:before="240" w:after="200" w:line="276" w:lineRule="auto"/>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lastRenderedPageBreak/>
              <w:t>However, e</w:t>
            </w:r>
            <w:r w:rsidRPr="00C531D7">
              <w:rPr>
                <w:rFonts w:ascii="Verdana" w:eastAsia="Calibri" w:hAnsi="Verdana" w:cs="Times New Roman"/>
                <w:sz w:val="20"/>
                <w:szCs w:val="20"/>
                <w:lang w:val="en-GB"/>
              </w:rPr>
              <w:t xml:space="preserve">ach election committee at every polling station does have to register the number of times a voter requested to vote at home (some of them due to disability), as well </w:t>
            </w:r>
            <w:r>
              <w:rPr>
                <w:rFonts w:ascii="Verdana" w:eastAsia="Calibri" w:hAnsi="Verdana" w:cs="Times New Roman"/>
                <w:sz w:val="20"/>
                <w:szCs w:val="20"/>
                <w:lang w:val="en-GB"/>
              </w:rPr>
              <w:t>every time</w:t>
            </w:r>
            <w:r w:rsidRPr="00C531D7">
              <w:rPr>
                <w:rFonts w:ascii="Verdana" w:eastAsia="Calibri" w:hAnsi="Verdana" w:cs="Times New Roman"/>
                <w:sz w:val="20"/>
                <w:szCs w:val="20"/>
                <w:lang w:val="en-GB"/>
              </w:rPr>
              <w:t xml:space="preserve"> a voter was accompanied by a person of trust to assist him/her in voting (some of them due to disability)</w:t>
            </w:r>
            <w:r>
              <w:rPr>
                <w:rFonts w:ascii="Verdana" w:eastAsia="Calibri" w:hAnsi="Verdana" w:cs="Times New Roman"/>
                <w:sz w:val="20"/>
                <w:szCs w:val="20"/>
                <w:lang w:val="en-GB"/>
              </w:rPr>
              <w:t>. B</w:t>
            </w:r>
            <w:r w:rsidRPr="00C531D7">
              <w:rPr>
                <w:rFonts w:ascii="Verdana" w:eastAsia="Calibri" w:hAnsi="Verdana" w:cs="Times New Roman"/>
                <w:sz w:val="20"/>
                <w:szCs w:val="20"/>
                <w:lang w:val="en-GB"/>
              </w:rPr>
              <w:t xml:space="preserve">oth of </w:t>
            </w:r>
            <w:r>
              <w:rPr>
                <w:rFonts w:ascii="Verdana" w:eastAsia="Calibri" w:hAnsi="Verdana" w:cs="Times New Roman"/>
                <w:sz w:val="20"/>
                <w:szCs w:val="20"/>
                <w:lang w:val="en-GB"/>
              </w:rPr>
              <w:t>thes</w:t>
            </w:r>
            <w:r w:rsidRPr="00C531D7">
              <w:rPr>
                <w:rFonts w:ascii="Verdana" w:eastAsia="Calibri" w:hAnsi="Verdana" w:cs="Times New Roman"/>
                <w:sz w:val="20"/>
                <w:szCs w:val="20"/>
                <w:lang w:val="en-GB"/>
              </w:rPr>
              <w:t>e categories include voters who are not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Additionally, not all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xml:space="preserve"> need the mentioned mechanisms to vote.</w:t>
            </w:r>
          </w:p>
          <w:p w14:paraId="370F2612"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7967974D" w14:textId="273491CE" w:rsidR="000309DC" w:rsidRPr="00C531D7" w:rsidRDefault="000309DC" w:rsidP="00C531D7">
            <w:pPr>
              <w:spacing w:before="240" w:after="200" w:line="276" w:lineRule="auto"/>
              <w:contextualSpacing/>
              <w:jc w:val="both"/>
              <w:rPr>
                <w:rFonts w:ascii="Verdana" w:hAnsi="Verdana" w:cs="Times New Roman"/>
                <w:sz w:val="20"/>
                <w:szCs w:val="20"/>
                <w:lang w:val="en-GB"/>
              </w:rPr>
            </w:pPr>
            <w:r>
              <w:rPr>
                <w:rFonts w:ascii="Verdana" w:eastAsia="Calibri" w:hAnsi="Verdana" w:cs="Times New Roman"/>
                <w:sz w:val="20"/>
                <w:szCs w:val="20"/>
                <w:lang w:val="en-GB"/>
              </w:rPr>
              <w:t>The</w:t>
            </w:r>
            <w:r w:rsidRPr="00C531D7">
              <w:rPr>
                <w:rFonts w:ascii="Verdana" w:eastAsia="Calibri" w:hAnsi="Verdana" w:cs="Times New Roman"/>
                <w:sz w:val="20"/>
                <w:szCs w:val="20"/>
                <w:lang w:val="en-GB"/>
              </w:rPr>
              <w:t xml:space="preserve"> European Parliament elections</w:t>
            </w:r>
            <w:r>
              <w:rPr>
                <w:rFonts w:ascii="Verdana" w:eastAsia="Calibri" w:hAnsi="Verdana" w:cs="Times New Roman"/>
                <w:sz w:val="20"/>
                <w:szCs w:val="20"/>
                <w:lang w:val="en-GB"/>
              </w:rPr>
              <w:t xml:space="preserve"> in 2013</w:t>
            </w:r>
            <w:r w:rsidRPr="00C531D7">
              <w:rPr>
                <w:rFonts w:ascii="Verdana" w:eastAsia="Calibri" w:hAnsi="Verdana" w:cs="Times New Roman"/>
                <w:sz w:val="20"/>
                <w:szCs w:val="20"/>
                <w:lang w:val="en-GB"/>
              </w:rPr>
              <w:t xml:space="preserve"> were the first elections that allowed persons deprived of legal capacity to vote, due to the fact that the </w:t>
            </w:r>
            <w:r w:rsidRPr="00C531D7">
              <w:rPr>
                <w:rFonts w:ascii="Verdana" w:hAnsi="Verdana" w:cs="Times New Roman"/>
                <w:sz w:val="20"/>
                <w:szCs w:val="20"/>
                <w:lang w:val="en-GB"/>
              </w:rPr>
              <w:t>new Act on Voter Registry (</w:t>
            </w:r>
            <w:proofErr w:type="spellStart"/>
            <w:r w:rsidRPr="00C531D7">
              <w:rPr>
                <w:rFonts w:ascii="Verdana" w:hAnsi="Verdana" w:cs="Times New Roman"/>
                <w:i/>
                <w:sz w:val="20"/>
                <w:szCs w:val="20"/>
                <w:lang w:val="en-GB"/>
              </w:rPr>
              <w:t>Zakon</w:t>
            </w:r>
            <w:proofErr w:type="spellEnd"/>
            <w:r w:rsidRPr="00C531D7">
              <w:rPr>
                <w:rFonts w:ascii="Verdana" w:hAnsi="Verdana" w:cs="Times New Roman"/>
                <w:i/>
                <w:sz w:val="20"/>
                <w:szCs w:val="20"/>
                <w:lang w:val="en-GB"/>
              </w:rPr>
              <w:t xml:space="preserve"> o </w:t>
            </w:r>
            <w:proofErr w:type="spellStart"/>
            <w:r w:rsidRPr="00C531D7">
              <w:rPr>
                <w:rFonts w:ascii="Verdana" w:hAnsi="Verdana" w:cs="Times New Roman"/>
                <w:i/>
                <w:sz w:val="20"/>
                <w:szCs w:val="20"/>
                <w:lang w:val="en-GB"/>
              </w:rPr>
              <w:t>registru</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birača</w:t>
            </w:r>
            <w:proofErr w:type="spellEnd"/>
            <w:r w:rsidRPr="00C531D7">
              <w:rPr>
                <w:rFonts w:ascii="Verdana" w:hAnsi="Verdana" w:cs="Times New Roman"/>
                <w:sz w:val="20"/>
                <w:szCs w:val="20"/>
                <w:lang w:val="en-GB"/>
              </w:rPr>
              <w:t>) came into force..</w:t>
            </w:r>
          </w:p>
          <w:p w14:paraId="16245358" w14:textId="2BFE1B62"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cs="Times New Roman"/>
                <w:sz w:val="20"/>
                <w:szCs w:val="20"/>
                <w:lang w:val="en-GB"/>
              </w:rPr>
              <w:t>In preparation for these elections,</w:t>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Ministry of Social Policy and Youth surveyed 68 residential institutions accommodating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xml:space="preserve"> over 18</w:t>
            </w:r>
            <w:r>
              <w:rPr>
                <w:rFonts w:ascii="Verdana" w:eastAsia="Calibri" w:hAnsi="Verdana" w:cs="Times New Roman"/>
                <w:sz w:val="20"/>
                <w:szCs w:val="20"/>
                <w:lang w:val="en-GB"/>
              </w:rPr>
              <w:t xml:space="preserve"> years old</w:t>
            </w:r>
            <w:r w:rsidRPr="00C531D7">
              <w:rPr>
                <w:rFonts w:ascii="Verdana" w:eastAsia="Calibri" w:hAnsi="Verdana" w:cs="Times New Roman"/>
                <w:sz w:val="20"/>
                <w:szCs w:val="20"/>
                <w:lang w:val="en-GB"/>
              </w:rPr>
              <w:t>. Responses were received from 39 out of 68 institutions. Due to the larger size of responding institutions, 5298 out of 5878 or 90.13% of the overall population of residents was covered by the responses. Of 3620 residents who were deprived of legal capacity, 840 or 23.20% voted.</w:t>
            </w:r>
            <w:r w:rsidRPr="00C531D7">
              <w:rPr>
                <w:rStyle w:val="FootnoteReference"/>
                <w:rFonts w:ascii="Verdana" w:eastAsia="Calibri" w:hAnsi="Verdana" w:cs="Times New Roman"/>
                <w:sz w:val="20"/>
                <w:szCs w:val="20"/>
                <w:lang w:val="en-GB"/>
              </w:rPr>
              <w:footnoteReference w:id="40"/>
            </w:r>
            <w:r w:rsidRPr="00C531D7">
              <w:rPr>
                <w:rFonts w:ascii="Verdana" w:eastAsia="Calibri" w:hAnsi="Verdana" w:cs="Times New Roman"/>
                <w:sz w:val="20"/>
                <w:szCs w:val="20"/>
                <w:lang w:val="en-GB"/>
              </w:rPr>
              <w:t xml:space="preserve"> Of all residents, 21.8% voted. </w:t>
            </w:r>
          </w:p>
          <w:p w14:paraId="726A8C8D"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0A9E1FE1" w14:textId="77777777"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the general voter population, according to the complete unofficial results, voter turnout rate was 20.84%.</w:t>
            </w:r>
            <w:r w:rsidRPr="00C531D7">
              <w:rPr>
                <w:rStyle w:val="FootnoteReference"/>
                <w:rFonts w:ascii="Verdana" w:eastAsia="Calibri" w:hAnsi="Verdana" w:cs="Times New Roman"/>
                <w:sz w:val="20"/>
                <w:szCs w:val="20"/>
                <w:lang w:val="en-GB"/>
              </w:rPr>
              <w:footnoteReference w:id="41"/>
            </w:r>
          </w:p>
          <w:p w14:paraId="698633C6"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6F39A419" w14:textId="69A44ED8" w:rsidR="000309DC" w:rsidRPr="000A2BD1" w:rsidRDefault="000309DC" w:rsidP="00C531D7">
            <w:pPr>
              <w:spacing w:before="240"/>
              <w:contextualSpacing/>
              <w:jc w:val="both"/>
              <w:rPr>
                <w:rFonts w:ascii="Verdana" w:hAnsi="Verdana" w:cs="Times New Roman"/>
                <w:sz w:val="20"/>
                <w:szCs w:val="20"/>
                <w:lang w:val="en"/>
              </w:rPr>
            </w:pPr>
            <w:r>
              <w:rPr>
                <w:rStyle w:val="hps"/>
                <w:rFonts w:ascii="Verdana" w:hAnsi="Verdana" w:cs="Times New Roman"/>
                <w:sz w:val="20"/>
                <w:szCs w:val="20"/>
                <w:lang w:val="en"/>
              </w:rPr>
              <w:t>For</w:t>
            </w:r>
            <w:r w:rsidRPr="00C531D7">
              <w:rPr>
                <w:rStyle w:val="hps"/>
                <w:rFonts w:ascii="Verdana" w:hAnsi="Verdana" w:cs="Times New Roman"/>
                <w:sz w:val="20"/>
                <w:szCs w:val="20"/>
                <w:lang w:val="en"/>
              </w:rPr>
              <w:t xml:space="preserve"> local elections</w:t>
            </w:r>
            <w:r>
              <w:rPr>
                <w:rStyle w:val="hps"/>
                <w:rFonts w:ascii="Verdana" w:hAnsi="Verdana" w:cs="Times New Roman"/>
                <w:sz w:val="20"/>
                <w:szCs w:val="20"/>
                <w:lang w:val="en"/>
              </w:rPr>
              <w:t>,</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all voters</w:t>
            </w:r>
            <w:r w:rsidRPr="00C531D7">
              <w:rPr>
                <w:rFonts w:ascii="Verdana" w:hAnsi="Verdana" w:cs="Times New Roman"/>
                <w:sz w:val="20"/>
                <w:szCs w:val="20"/>
                <w:lang w:val="en"/>
              </w:rPr>
              <w:t xml:space="preserve">, including </w:t>
            </w:r>
            <w:r w:rsidRPr="00C531D7">
              <w:rPr>
                <w:rStyle w:val="hps"/>
                <w:rFonts w:ascii="Verdana" w:hAnsi="Verdana" w:cs="Times New Roman"/>
                <w:sz w:val="20"/>
                <w:szCs w:val="20"/>
                <w:lang w:val="en"/>
              </w:rPr>
              <w:t>persons living in social care institutions</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and</w:t>
            </w:r>
            <w:r w:rsidRPr="00C531D7">
              <w:rPr>
                <w:rFonts w:ascii="Verdana" w:hAnsi="Verdana" w:cs="Times New Roman"/>
                <w:sz w:val="20"/>
                <w:szCs w:val="20"/>
                <w:lang w:val="en"/>
              </w:rPr>
              <w:t xml:space="preserve"> group </w:t>
            </w:r>
            <w:r w:rsidRPr="00C531D7">
              <w:rPr>
                <w:rStyle w:val="hps"/>
                <w:rFonts w:ascii="Verdana" w:hAnsi="Verdana" w:cs="Times New Roman"/>
                <w:sz w:val="20"/>
                <w:szCs w:val="20"/>
                <w:lang w:val="en"/>
              </w:rPr>
              <w:t>family homes</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can</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vote only</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at the polling station</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in</w:t>
            </w:r>
            <w:r w:rsidRPr="00C531D7">
              <w:rPr>
                <w:rFonts w:ascii="Verdana" w:hAnsi="Verdana" w:cs="Times New Roman"/>
                <w:sz w:val="20"/>
                <w:szCs w:val="20"/>
                <w:lang w:val="en"/>
              </w:rPr>
              <w:t xml:space="preserve"> </w:t>
            </w:r>
            <w:r w:rsidRPr="00C531D7">
              <w:rPr>
                <w:rStyle w:val="hps"/>
                <w:rFonts w:ascii="Verdana" w:hAnsi="Verdana" w:cs="Times New Roman"/>
                <w:sz w:val="20"/>
                <w:szCs w:val="20"/>
                <w:lang w:val="en"/>
              </w:rPr>
              <w:t>their place of domicile. Therefore, voting was not organized in residential social welfare institutions, and data on voting was consequently not collected.</w:t>
            </w:r>
            <w:r w:rsidRPr="00C531D7">
              <w:rPr>
                <w:rStyle w:val="FootnoteReference"/>
                <w:rFonts w:ascii="Verdana" w:hAnsi="Verdana"/>
                <w:sz w:val="20"/>
                <w:szCs w:val="20"/>
                <w:lang w:val="en"/>
              </w:rPr>
              <w:footnoteReference w:id="42"/>
            </w:r>
          </w:p>
        </w:tc>
      </w:tr>
      <w:tr w:rsidR="000309DC" w:rsidRPr="00C531D7" w14:paraId="5B4449A2" w14:textId="77777777" w:rsidTr="000309DC">
        <w:trPr>
          <w:trHeight w:val="454"/>
        </w:trPr>
        <w:tc>
          <w:tcPr>
            <w:tcW w:w="1443" w:type="pct"/>
            <w:shd w:val="clear" w:color="auto" w:fill="auto"/>
            <w:vAlign w:val="center"/>
          </w:tcPr>
          <w:p w14:paraId="00822F2D" w14:textId="77777777" w:rsidR="000309DC" w:rsidRPr="00C531D7" w:rsidRDefault="000309DC" w:rsidP="00C531D7">
            <w:pPr>
              <w:spacing w:before="240"/>
              <w:contextualSpacing/>
              <w:jc w:val="both"/>
              <w:rPr>
                <w:rFonts w:ascii="Verdana" w:hAnsi="Verdana"/>
                <w:sz w:val="20"/>
                <w:szCs w:val="20"/>
                <w:highlight w:val="yellow"/>
              </w:rPr>
            </w:pPr>
            <w:r w:rsidRPr="00C531D7">
              <w:rPr>
                <w:rFonts w:ascii="Verdana" w:hAnsi="Verdana" w:cs="Times New Roman"/>
                <w:sz w:val="20"/>
                <w:szCs w:val="20"/>
              </w:rPr>
              <w:lastRenderedPageBreak/>
              <w:t>How many members of the current national parliament identify as having a disability?</w:t>
            </w:r>
          </w:p>
        </w:tc>
        <w:tc>
          <w:tcPr>
            <w:tcW w:w="3557" w:type="pct"/>
            <w:vAlign w:val="center"/>
          </w:tcPr>
          <w:p w14:paraId="6773A9C1" w14:textId="5F719832"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According to the Croatian Parliament, there are 151 active mandates in the current 7</w:t>
            </w:r>
            <w:r w:rsidRPr="00C531D7">
              <w:rPr>
                <w:rFonts w:ascii="Verdana" w:eastAsia="Calibri" w:hAnsi="Verdana" w:cs="Times New Roman"/>
                <w:sz w:val="20"/>
                <w:szCs w:val="20"/>
                <w:vertAlign w:val="superscript"/>
                <w:lang w:val="en-GB"/>
              </w:rPr>
              <w:t>th</w:t>
            </w:r>
            <w:r w:rsidRPr="00C531D7">
              <w:rPr>
                <w:rFonts w:ascii="Verdana" w:eastAsia="Calibri" w:hAnsi="Verdana" w:cs="Times New Roman"/>
                <w:sz w:val="20"/>
                <w:szCs w:val="20"/>
                <w:lang w:val="en-GB"/>
              </w:rPr>
              <w:t xml:space="preserve"> assembly. However, the data on disability status is only available for 135 representatives who are employees of the Parliament. Of those 135, 7 have declared a disability status.</w:t>
            </w:r>
            <w:r w:rsidRPr="00C531D7">
              <w:rPr>
                <w:rStyle w:val="FootnoteReference"/>
                <w:rFonts w:ascii="Verdana" w:eastAsia="Calibri" w:hAnsi="Verdana" w:cs="Times New Roman"/>
                <w:sz w:val="20"/>
                <w:szCs w:val="20"/>
                <w:lang w:val="en-GB"/>
              </w:rPr>
              <w:footnoteReference w:id="43"/>
            </w:r>
          </w:p>
        </w:tc>
      </w:tr>
      <w:tr w:rsidR="000309DC" w:rsidRPr="00C531D7" w14:paraId="63BF5AD7" w14:textId="77777777" w:rsidTr="000309DC">
        <w:trPr>
          <w:trHeight w:val="454"/>
        </w:trPr>
        <w:tc>
          <w:tcPr>
            <w:tcW w:w="1443" w:type="pct"/>
            <w:shd w:val="clear" w:color="auto" w:fill="auto"/>
            <w:vAlign w:val="center"/>
          </w:tcPr>
          <w:p w14:paraId="07C03C9E"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hAnsi="Verdana" w:cs="Times New Roman"/>
                <w:sz w:val="20"/>
                <w:szCs w:val="20"/>
              </w:rPr>
              <w:t>How many members of current municipal governments identify as having a disability?</w:t>
            </w:r>
          </w:p>
        </w:tc>
        <w:tc>
          <w:tcPr>
            <w:tcW w:w="3557" w:type="pct"/>
            <w:vAlign w:val="center"/>
          </w:tcPr>
          <w:p w14:paraId="22DAD251" w14:textId="77777777"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 xml:space="preserve">Association of towns in the Republic of Croatia </w:t>
            </w:r>
            <w:r w:rsidRPr="00C531D7">
              <w:rPr>
                <w:rFonts w:ascii="Verdana" w:eastAsia="Calibri" w:hAnsi="Verdana" w:cs="Times New Roman"/>
                <w:i/>
                <w:sz w:val="20"/>
                <w:szCs w:val="20"/>
                <w:lang w:val="en-GB"/>
              </w:rPr>
              <w:t>(</w:t>
            </w:r>
            <w:proofErr w:type="spellStart"/>
            <w:r w:rsidRPr="00C531D7">
              <w:rPr>
                <w:rFonts w:ascii="Verdana" w:eastAsia="Calibri" w:hAnsi="Verdana" w:cs="Times New Roman"/>
                <w:i/>
                <w:sz w:val="20"/>
                <w:szCs w:val="20"/>
                <w:lang w:val="en-GB"/>
              </w:rPr>
              <w:t>Udruga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gradova</w:t>
            </w:r>
            <w:proofErr w:type="spellEnd"/>
            <w:r w:rsidRPr="00C531D7">
              <w:rPr>
                <w:rFonts w:ascii="Verdana" w:eastAsia="Calibri" w:hAnsi="Verdana" w:cs="Times New Roman"/>
                <w:i/>
                <w:sz w:val="20"/>
                <w:szCs w:val="20"/>
                <w:lang w:val="en-GB"/>
              </w:rPr>
              <w:t xml:space="preserve"> u </w:t>
            </w:r>
            <w:proofErr w:type="spellStart"/>
            <w:r w:rsidRPr="00C531D7">
              <w:rPr>
                <w:rFonts w:ascii="Verdana" w:eastAsia="Calibri" w:hAnsi="Verdana" w:cs="Times New Roman"/>
                <w:i/>
                <w:sz w:val="20"/>
                <w:szCs w:val="20"/>
                <w:lang w:val="en-GB"/>
              </w:rPr>
              <w:t>Republici</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Hrvatskoj</w:t>
            </w:r>
            <w:proofErr w:type="spellEnd"/>
            <w:r w:rsidRPr="00C531D7">
              <w:rPr>
                <w:rFonts w:ascii="Verdana" w:eastAsia="Calibri" w:hAnsi="Verdana" w:cs="Times New Roman"/>
                <w:sz w:val="20"/>
                <w:szCs w:val="20"/>
                <w:lang w:val="en-GB"/>
              </w:rPr>
              <w:t xml:space="preserve">) does not have the data on </w:t>
            </w:r>
            <w:r w:rsidRPr="00C531D7">
              <w:rPr>
                <w:rFonts w:ascii="Verdana" w:hAnsi="Verdana" w:cs="Times New Roman"/>
                <w:sz w:val="20"/>
                <w:szCs w:val="20"/>
                <w:lang w:val="en-GB"/>
              </w:rPr>
              <w:t>how many members of current town governments identify as having a disability</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44"/>
            </w:r>
            <w:r w:rsidRPr="00C531D7">
              <w:rPr>
                <w:rFonts w:ascii="Verdana" w:eastAsia="Calibri" w:hAnsi="Verdana" w:cs="Times New Roman"/>
                <w:sz w:val="20"/>
                <w:szCs w:val="20"/>
                <w:lang w:val="en-GB"/>
              </w:rPr>
              <w:t xml:space="preserve"> </w:t>
            </w:r>
          </w:p>
          <w:p w14:paraId="3B21CCBF" w14:textId="77777777" w:rsidR="000309DC" w:rsidRDefault="000309DC" w:rsidP="00C531D7">
            <w:pPr>
              <w:spacing w:before="240"/>
              <w:contextualSpacing/>
              <w:jc w:val="both"/>
              <w:rPr>
                <w:rFonts w:ascii="Verdana" w:eastAsia="Calibri" w:hAnsi="Verdana" w:cs="Times New Roman"/>
                <w:sz w:val="20"/>
                <w:szCs w:val="20"/>
                <w:lang w:val="en-GB"/>
              </w:rPr>
            </w:pPr>
          </w:p>
          <w:p w14:paraId="24B2359C" w14:textId="23E8AD4D" w:rsidR="000309DC" w:rsidRPr="00C531D7" w:rsidRDefault="000309DC" w:rsidP="0074148B">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Neither does the </w:t>
            </w:r>
            <w:r w:rsidRPr="00C531D7">
              <w:rPr>
                <w:rFonts w:ascii="Verdana" w:eastAsia="Calibri" w:hAnsi="Verdana" w:cs="Times New Roman"/>
                <w:sz w:val="20"/>
                <w:szCs w:val="20"/>
                <w:lang w:val="en-GB"/>
              </w:rPr>
              <w:t>Association of Municipalities (</w:t>
            </w:r>
            <w:proofErr w:type="spellStart"/>
            <w:r w:rsidRPr="00C531D7">
              <w:rPr>
                <w:rFonts w:ascii="Verdana" w:eastAsia="Calibri" w:hAnsi="Verdana" w:cs="Times New Roman"/>
                <w:i/>
                <w:sz w:val="20"/>
                <w:szCs w:val="20"/>
                <w:lang w:val="en-GB"/>
              </w:rPr>
              <w:t>Udruga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općina</w:t>
            </w:r>
            <w:proofErr w:type="spellEnd"/>
            <w:r w:rsidRPr="00C531D7">
              <w:rPr>
                <w:rFonts w:ascii="Verdana" w:eastAsia="Calibri" w:hAnsi="Verdana" w:cs="Times New Roman"/>
                <w:sz w:val="20"/>
                <w:szCs w:val="20"/>
                <w:lang w:val="en-GB"/>
              </w:rPr>
              <w:t>) collect th</w:t>
            </w:r>
            <w:r>
              <w:rPr>
                <w:rFonts w:ascii="Verdana" w:eastAsia="Calibri" w:hAnsi="Verdana" w:cs="Times New Roman"/>
                <w:sz w:val="20"/>
                <w:szCs w:val="20"/>
                <w:lang w:val="en-GB"/>
              </w:rPr>
              <w:t>is</w:t>
            </w:r>
            <w:r w:rsidRPr="00C531D7">
              <w:rPr>
                <w:rFonts w:ascii="Verdana" w:eastAsia="Calibri" w:hAnsi="Verdana" w:cs="Times New Roman"/>
                <w:sz w:val="20"/>
                <w:szCs w:val="20"/>
                <w:lang w:val="en-GB"/>
              </w:rPr>
              <w:t xml:space="preserve"> data, </w:t>
            </w:r>
            <w:r>
              <w:rPr>
                <w:rFonts w:ascii="Verdana" w:eastAsia="Calibri" w:hAnsi="Verdana" w:cs="Times New Roman"/>
                <w:sz w:val="20"/>
                <w:szCs w:val="20"/>
                <w:lang w:val="en-GB"/>
              </w:rPr>
              <w:t xml:space="preserve">however it </w:t>
            </w:r>
            <w:r w:rsidRPr="00C531D7">
              <w:rPr>
                <w:rFonts w:ascii="Verdana" w:eastAsia="Calibri" w:hAnsi="Verdana" w:cs="Times New Roman"/>
                <w:sz w:val="20"/>
                <w:szCs w:val="20"/>
                <w:lang w:val="en-GB"/>
              </w:rPr>
              <w:t>surveyed its members upon request for information in preparation of this report. They received 54 responses, out of 428 municipalities</w:t>
            </w:r>
            <w:r w:rsidRPr="00C531D7">
              <w:rPr>
                <w:rStyle w:val="FootnoteReference"/>
                <w:rFonts w:ascii="Verdana" w:eastAsia="Calibri" w:hAnsi="Verdana" w:cs="Times New Roman"/>
                <w:sz w:val="20"/>
                <w:szCs w:val="20"/>
                <w:lang w:val="en-GB"/>
              </w:rPr>
              <w:footnoteReference w:id="45"/>
            </w:r>
            <w:r>
              <w:rPr>
                <w:rFonts w:ascii="Verdana" w:eastAsia="Calibri" w:hAnsi="Verdana" w:cs="Times New Roman"/>
                <w:sz w:val="20"/>
                <w:szCs w:val="20"/>
                <w:lang w:val="en-GB"/>
              </w:rPr>
              <w:t>, i.e. a</w:t>
            </w:r>
            <w:r w:rsidRPr="00C531D7">
              <w:rPr>
                <w:rFonts w:ascii="Verdana" w:eastAsia="Calibri" w:hAnsi="Verdana" w:cs="Times New Roman"/>
                <w:sz w:val="20"/>
                <w:szCs w:val="20"/>
                <w:lang w:val="en-GB"/>
              </w:rPr>
              <w:t xml:space="preserve"> response rate of 12,61%. Among responding municipalities, 6 responded having one member self-identifying as a person with disabilities.</w:t>
            </w:r>
            <w:r w:rsidRPr="00C531D7">
              <w:rPr>
                <w:rStyle w:val="FootnoteReference"/>
                <w:rFonts w:ascii="Verdana" w:eastAsia="Calibri" w:hAnsi="Verdana" w:cs="Times New Roman"/>
                <w:sz w:val="20"/>
                <w:szCs w:val="20"/>
                <w:lang w:val="en-GB"/>
              </w:rPr>
              <w:footnoteReference w:id="46"/>
            </w:r>
            <w:r w:rsidRPr="00C531D7">
              <w:rPr>
                <w:rFonts w:ascii="Verdana" w:eastAsia="Calibri" w:hAnsi="Verdana" w:cs="Times New Roman"/>
                <w:sz w:val="20"/>
                <w:szCs w:val="20"/>
                <w:lang w:val="en-GB"/>
              </w:rPr>
              <w:t xml:space="preserve"> </w:t>
            </w:r>
          </w:p>
        </w:tc>
      </w:tr>
      <w:tr w:rsidR="000309DC" w:rsidRPr="00C531D7" w14:paraId="059039AF" w14:textId="77777777" w:rsidTr="000309DC">
        <w:trPr>
          <w:trHeight w:val="454"/>
        </w:trPr>
        <w:tc>
          <w:tcPr>
            <w:tcW w:w="1443" w:type="pct"/>
            <w:shd w:val="clear" w:color="auto" w:fill="auto"/>
            <w:vAlign w:val="center"/>
          </w:tcPr>
          <w:p w14:paraId="6B2CE566" w14:textId="6C81ECB4"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What proportion of polling stations is accessible for persons with disabilities? Please indicate whether polling stations are accessible for all persons with disabilities or for particular impairment groups e.g. persons with visual, hearing, physical impairments etc</w:t>
            </w:r>
            <w:r>
              <w:rPr>
                <w:rFonts w:ascii="Verdana" w:eastAsia="Calibri" w:hAnsi="Verdana" w:cs="Times New Roman"/>
                <w:sz w:val="20"/>
                <w:szCs w:val="20"/>
                <w:lang w:val="en-GB"/>
              </w:rPr>
              <w:t>.</w:t>
            </w:r>
            <w:r w:rsidRPr="00C531D7">
              <w:rPr>
                <w:rFonts w:ascii="Verdana" w:eastAsia="Calibri" w:hAnsi="Verdana" w:cs="Times New Roman"/>
                <w:sz w:val="20"/>
                <w:szCs w:val="20"/>
                <w:lang w:val="en-GB"/>
              </w:rPr>
              <w:t>)</w:t>
            </w:r>
          </w:p>
        </w:tc>
        <w:tc>
          <w:tcPr>
            <w:tcW w:w="3557" w:type="pct"/>
            <w:vAlign w:val="center"/>
          </w:tcPr>
          <w:p w14:paraId="4424210B" w14:textId="0ECAFFF6" w:rsidR="000309DC" w:rsidRDefault="000309DC" w:rsidP="00C531D7">
            <w:pPr>
              <w:spacing w:after="200" w:line="276" w:lineRule="auto"/>
              <w:jc w:val="both"/>
              <w:rPr>
                <w:rFonts w:ascii="Verdana" w:hAnsi="Verdana" w:cs="Times New Roman"/>
                <w:sz w:val="20"/>
                <w:szCs w:val="20"/>
                <w:lang w:val="en-GB"/>
              </w:rPr>
            </w:pPr>
            <w:r w:rsidRPr="00C531D7">
              <w:rPr>
                <w:rFonts w:ascii="Verdana" w:hAnsi="Verdana" w:cs="Times New Roman"/>
                <w:sz w:val="20"/>
                <w:szCs w:val="20"/>
                <w:lang w:val="en-GB"/>
              </w:rPr>
              <w:t>Information is not available, and the N</w:t>
            </w:r>
            <w:r>
              <w:rPr>
                <w:rFonts w:ascii="Verdana" w:hAnsi="Verdana" w:cs="Times New Roman"/>
                <w:sz w:val="20"/>
                <w:szCs w:val="20"/>
                <w:lang w:val="en-GB"/>
              </w:rPr>
              <w:t>E</w:t>
            </w:r>
            <w:r w:rsidRPr="00C531D7">
              <w:rPr>
                <w:rFonts w:ascii="Verdana" w:hAnsi="Verdana" w:cs="Times New Roman"/>
                <w:sz w:val="20"/>
                <w:szCs w:val="20"/>
                <w:lang w:val="en-GB"/>
              </w:rPr>
              <w:t>C does not have information on the number of accessible polling stations, regardless of the type of impairment.</w:t>
            </w:r>
            <w:r w:rsidRPr="00C531D7">
              <w:rPr>
                <w:rStyle w:val="FootnoteReference"/>
                <w:rFonts w:ascii="Verdana" w:hAnsi="Verdana" w:cs="Times New Roman"/>
                <w:sz w:val="20"/>
                <w:szCs w:val="20"/>
                <w:lang w:val="en-GB"/>
              </w:rPr>
              <w:footnoteReference w:id="47"/>
            </w:r>
            <w:r w:rsidRPr="00C531D7">
              <w:rPr>
                <w:rFonts w:ascii="Verdana" w:hAnsi="Verdana" w:cs="Times New Roman"/>
                <w:sz w:val="20"/>
                <w:szCs w:val="20"/>
                <w:lang w:val="en-GB"/>
              </w:rPr>
              <w:t xml:space="preserve"> </w:t>
            </w:r>
          </w:p>
          <w:p w14:paraId="6D9844B1" w14:textId="304D3578" w:rsidR="000309DC" w:rsidRPr="000A2BD1" w:rsidRDefault="000309DC" w:rsidP="000A2BD1">
            <w:pPr>
              <w:spacing w:after="200" w:line="276" w:lineRule="auto"/>
              <w:jc w:val="both"/>
              <w:rPr>
                <w:rFonts w:ascii="Verdana" w:hAnsi="Verdana" w:cs="Times New Roman"/>
                <w:sz w:val="20"/>
                <w:szCs w:val="20"/>
                <w:lang w:val="en-GB"/>
              </w:rPr>
            </w:pPr>
            <w:r>
              <w:rPr>
                <w:rFonts w:ascii="Verdana" w:hAnsi="Verdana" w:cs="Times New Roman"/>
                <w:sz w:val="20"/>
                <w:szCs w:val="20"/>
                <w:lang w:val="en-GB"/>
              </w:rPr>
              <w:t>The i</w:t>
            </w:r>
            <w:r w:rsidRPr="00C531D7">
              <w:rPr>
                <w:rFonts w:ascii="Verdana" w:hAnsi="Verdana" w:cs="Times New Roman"/>
                <w:sz w:val="20"/>
                <w:szCs w:val="20"/>
                <w:lang w:val="en-GB"/>
              </w:rPr>
              <w:t xml:space="preserve">ndividual election laws in Croatia </w:t>
            </w:r>
            <w:r>
              <w:rPr>
                <w:rFonts w:ascii="Verdana" w:hAnsi="Verdana" w:cs="Times New Roman"/>
                <w:sz w:val="20"/>
                <w:szCs w:val="20"/>
                <w:lang w:val="en-GB"/>
              </w:rPr>
              <w:t xml:space="preserve">regulate the </w:t>
            </w:r>
            <w:r w:rsidRPr="00C531D7">
              <w:rPr>
                <w:rFonts w:ascii="Verdana" w:hAnsi="Verdana" w:cs="Times New Roman"/>
                <w:sz w:val="20"/>
                <w:szCs w:val="20"/>
                <w:lang w:val="en-GB"/>
              </w:rPr>
              <w:t>issues related to polling stations</w:t>
            </w:r>
            <w:r>
              <w:rPr>
                <w:rFonts w:ascii="Verdana" w:hAnsi="Verdana" w:cs="Times New Roman"/>
                <w:sz w:val="20"/>
                <w:szCs w:val="20"/>
                <w:lang w:val="en-GB"/>
              </w:rPr>
              <w:t xml:space="preserve"> in a practical identical way</w:t>
            </w:r>
            <w:r w:rsidRPr="00C531D7">
              <w:rPr>
                <w:rFonts w:ascii="Verdana" w:hAnsi="Verdana" w:cs="Times New Roman"/>
                <w:sz w:val="20"/>
                <w:szCs w:val="20"/>
                <w:lang w:val="en-GB"/>
              </w:rPr>
              <w:t xml:space="preserve">, including their distribution and physical characteristics. Specifically, </w:t>
            </w:r>
            <w:r>
              <w:rPr>
                <w:rFonts w:ascii="Verdana" w:hAnsi="Verdana" w:cs="Times New Roman"/>
                <w:sz w:val="20"/>
                <w:szCs w:val="20"/>
                <w:lang w:val="en-GB"/>
              </w:rPr>
              <w:t>regarding deci</w:t>
            </w:r>
            <w:r w:rsidRPr="00C531D7">
              <w:rPr>
                <w:rFonts w:ascii="Verdana" w:hAnsi="Verdana" w:cs="Times New Roman"/>
                <w:sz w:val="20"/>
                <w:szCs w:val="20"/>
                <w:lang w:val="en-GB"/>
              </w:rPr>
              <w:t>sions on where to establish a polling station, criteria of the number of voters, accessibility, spatial distribution of polling stations, and size of the room designated for voting have to be considered.</w:t>
            </w:r>
            <w:r w:rsidRPr="00C531D7">
              <w:rPr>
                <w:rStyle w:val="FootnoteReference"/>
                <w:rFonts w:ascii="Verdana" w:hAnsi="Verdana" w:cs="Times New Roman"/>
                <w:sz w:val="20"/>
                <w:szCs w:val="20"/>
                <w:lang w:val="en-GB"/>
              </w:rPr>
              <w:footnoteReference w:id="48"/>
            </w:r>
            <w:r w:rsidRPr="00C531D7">
              <w:rPr>
                <w:rFonts w:ascii="Verdana" w:hAnsi="Verdana" w:cs="Times New Roman"/>
                <w:sz w:val="20"/>
                <w:szCs w:val="20"/>
                <w:lang w:val="en-GB"/>
              </w:rPr>
              <w:t xml:space="preserve"> </w:t>
            </w:r>
          </w:p>
        </w:tc>
      </w:tr>
      <w:tr w:rsidR="000309DC" w:rsidRPr="00C531D7" w14:paraId="00A65AD7" w14:textId="77777777" w:rsidTr="000309DC">
        <w:trPr>
          <w:trHeight w:val="454"/>
        </w:trPr>
        <w:tc>
          <w:tcPr>
            <w:tcW w:w="1443" w:type="pct"/>
            <w:shd w:val="clear" w:color="auto" w:fill="auto"/>
            <w:vAlign w:val="center"/>
          </w:tcPr>
          <w:p w14:paraId="1D7C2C5D"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Does the website to provide instructions for voting and information on candidates run by the ministry responsible for organising elections meet accessibility standards (e.g. equivalent to Web Content Accessibility Guidelines (WCAG) 2.0 AA standard)?</w:t>
            </w:r>
          </w:p>
        </w:tc>
        <w:tc>
          <w:tcPr>
            <w:tcW w:w="3557" w:type="pct"/>
            <w:vAlign w:val="center"/>
          </w:tcPr>
          <w:p w14:paraId="1254B7F5" w14:textId="0F50E26D" w:rsidR="000309DC"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 xml:space="preserve">Official internet pages of the National Election Committee, as </w:t>
            </w:r>
            <w:r>
              <w:rPr>
                <w:rFonts w:ascii="Verdana" w:eastAsia="Calibri" w:hAnsi="Verdana" w:cs="Times New Roman"/>
                <w:sz w:val="20"/>
                <w:szCs w:val="20"/>
                <w:lang w:val="en-GB"/>
              </w:rPr>
              <w:t>websites</w:t>
            </w:r>
            <w:r w:rsidRPr="00C531D7">
              <w:rPr>
                <w:rFonts w:ascii="Verdana" w:eastAsia="Calibri" w:hAnsi="Verdana" w:cs="Times New Roman"/>
                <w:sz w:val="20"/>
                <w:szCs w:val="20"/>
                <w:lang w:val="en-GB"/>
              </w:rPr>
              <w:t xml:space="preserve"> where official election information </w:t>
            </w:r>
            <w:r>
              <w:rPr>
                <w:rFonts w:ascii="Verdana" w:eastAsia="Calibri" w:hAnsi="Verdana" w:cs="Times New Roman"/>
                <w:sz w:val="20"/>
                <w:szCs w:val="20"/>
                <w:lang w:val="en-GB"/>
              </w:rPr>
              <w:t>is</w:t>
            </w:r>
            <w:r w:rsidRPr="00C531D7">
              <w:rPr>
                <w:rFonts w:ascii="Verdana" w:eastAsia="Calibri" w:hAnsi="Verdana" w:cs="Times New Roman"/>
                <w:sz w:val="20"/>
                <w:szCs w:val="20"/>
                <w:lang w:val="en-GB"/>
              </w:rPr>
              <w:t xml:space="preserve"> published do not meet accessibility standards that would make it accessible to all persons with disabilit</w:t>
            </w:r>
            <w:r>
              <w:rPr>
                <w:rFonts w:ascii="Verdana" w:eastAsia="Calibri" w:hAnsi="Verdana" w:cs="Times New Roman"/>
                <w:sz w:val="20"/>
                <w:szCs w:val="20"/>
                <w:lang w:val="en-GB"/>
              </w:rPr>
              <w:t>ies</w:t>
            </w:r>
            <w:r w:rsidRPr="00C531D7">
              <w:rPr>
                <w:rFonts w:ascii="Verdana" w:eastAsia="Calibri" w:hAnsi="Verdana" w:cs="Times New Roman"/>
                <w:sz w:val="20"/>
                <w:szCs w:val="20"/>
                <w:lang w:val="en-GB"/>
              </w:rPr>
              <w:t>, regardless of</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type of impairment</w:t>
            </w:r>
            <w:r w:rsidRPr="00C531D7">
              <w:rPr>
                <w:rStyle w:val="FootnoteReference"/>
                <w:rFonts w:ascii="Verdana" w:eastAsia="Calibri" w:hAnsi="Verdana" w:cs="Times New Roman"/>
                <w:sz w:val="20"/>
                <w:szCs w:val="20"/>
                <w:lang w:val="en-GB"/>
              </w:rPr>
              <w:footnoteReference w:id="49"/>
            </w:r>
            <w:r w:rsidRPr="00C531D7">
              <w:rPr>
                <w:rFonts w:ascii="Verdana" w:eastAsia="Calibri" w:hAnsi="Verdana" w:cs="Times New Roman"/>
                <w:sz w:val="20"/>
                <w:szCs w:val="20"/>
                <w:lang w:val="en-GB"/>
              </w:rPr>
              <w:t xml:space="preserve"> NEC web</w:t>
            </w:r>
            <w:r>
              <w:rPr>
                <w:rFonts w:ascii="Verdana" w:eastAsia="Calibri" w:hAnsi="Verdana" w:cs="Times New Roman"/>
                <w:sz w:val="20"/>
                <w:szCs w:val="20"/>
                <w:lang w:val="en-GB"/>
              </w:rPr>
              <w:t>sites</w:t>
            </w:r>
            <w:r w:rsidRPr="00C531D7">
              <w:rPr>
                <w:rFonts w:ascii="Verdana" w:eastAsia="Calibri" w:hAnsi="Verdana" w:cs="Times New Roman"/>
                <w:sz w:val="20"/>
                <w:szCs w:val="20"/>
                <w:lang w:val="en-GB"/>
              </w:rPr>
              <w:t xml:space="preserve"> allow for text to be resized, and for contrast to be enhanced.</w:t>
            </w:r>
          </w:p>
          <w:p w14:paraId="2534E30F"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5721FA75" w14:textId="20197865" w:rsidR="000309DC"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Websites</w:t>
            </w:r>
            <w:r w:rsidRPr="00C531D7">
              <w:rPr>
                <w:rFonts w:ascii="Verdana" w:eastAsia="Calibri" w:hAnsi="Verdana" w:cs="Times New Roman"/>
                <w:sz w:val="20"/>
                <w:szCs w:val="20"/>
                <w:lang w:val="en-GB"/>
              </w:rPr>
              <w:t xml:space="preserve"> of the Ministry of Public Administration allow for text to be resized.</w:t>
            </w:r>
          </w:p>
          <w:p w14:paraId="78F78532"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21754836" w14:textId="219F015F" w:rsidR="000309DC" w:rsidRDefault="000309DC" w:rsidP="00C531D7">
            <w:pPr>
              <w:spacing w:before="240"/>
              <w:contextualSpacing/>
              <w:jc w:val="both"/>
              <w:rPr>
                <w:rFonts w:ascii="Verdana" w:hAnsi="Verdana" w:cs="Times New Roman"/>
                <w:color w:val="1F497D"/>
                <w:sz w:val="20"/>
                <w:szCs w:val="20"/>
              </w:rPr>
            </w:pPr>
            <w:r w:rsidRPr="00C531D7">
              <w:rPr>
                <w:rFonts w:ascii="Verdana" w:eastAsia="Calibri" w:hAnsi="Verdana" w:cs="Times New Roman"/>
                <w:sz w:val="20"/>
                <w:szCs w:val="20"/>
                <w:lang w:val="en-GB"/>
              </w:rPr>
              <w:t xml:space="preserve">According to the Ministry of </w:t>
            </w:r>
            <w:r w:rsidRPr="00CF0728">
              <w:rPr>
                <w:rFonts w:ascii="Verdana" w:eastAsia="Calibri" w:hAnsi="Verdana" w:cs="Times New Roman"/>
                <w:sz w:val="20"/>
                <w:szCs w:val="20"/>
                <w:lang w:val="en-GB"/>
              </w:rPr>
              <w:t xml:space="preserve">Public Administration, </w:t>
            </w:r>
            <w:r w:rsidRPr="00CF0728">
              <w:rPr>
                <w:rFonts w:ascii="Verdana" w:hAnsi="Verdana" w:cs="Times New Roman"/>
                <w:sz w:val="20"/>
                <w:szCs w:val="20"/>
              </w:rPr>
              <w:t>procurement of IT solutions for official websites of public authorities is conducted through the process of public procurement. Responsible IT professionals are following developments in the area of the development of technical standards. Accordingly, WCAG or WCAG 2.0 standards are typically mentioned in technical specifications and documentation within the scope of public procurement.</w:t>
            </w:r>
            <w:r w:rsidRPr="00CF0728">
              <w:rPr>
                <w:rStyle w:val="FootnoteReference"/>
                <w:rFonts w:ascii="Verdana" w:hAnsi="Verdana"/>
                <w:sz w:val="20"/>
                <w:szCs w:val="20"/>
              </w:rPr>
              <w:footnoteReference w:id="50"/>
            </w:r>
          </w:p>
          <w:p w14:paraId="4D924D25" w14:textId="77777777" w:rsidR="000309DC" w:rsidRPr="00C531D7" w:rsidRDefault="000309DC" w:rsidP="00C531D7">
            <w:pPr>
              <w:spacing w:before="240"/>
              <w:contextualSpacing/>
              <w:jc w:val="both"/>
              <w:rPr>
                <w:rFonts w:ascii="Verdana" w:eastAsia="Calibri" w:hAnsi="Verdana" w:cs="Times New Roman"/>
                <w:sz w:val="20"/>
                <w:szCs w:val="20"/>
                <w:lang w:val="en-GB"/>
              </w:rPr>
            </w:pPr>
          </w:p>
        </w:tc>
      </w:tr>
      <w:tr w:rsidR="000309DC" w:rsidRPr="00C531D7" w14:paraId="7130035B" w14:textId="77777777" w:rsidTr="000309DC">
        <w:trPr>
          <w:trHeight w:val="454"/>
        </w:trPr>
        <w:tc>
          <w:tcPr>
            <w:tcW w:w="1443" w:type="pct"/>
            <w:shd w:val="clear" w:color="auto" w:fill="auto"/>
            <w:vAlign w:val="center"/>
          </w:tcPr>
          <w:p w14:paraId="1B20B470"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national language subtitles?</w:t>
            </w:r>
          </w:p>
        </w:tc>
        <w:tc>
          <w:tcPr>
            <w:tcW w:w="3557" w:type="pct"/>
            <w:vAlign w:val="center"/>
          </w:tcPr>
          <w:p w14:paraId="15E8C8A8" w14:textId="7CB3EFF3" w:rsidR="000309DC" w:rsidRDefault="000309DC" w:rsidP="00C531D7">
            <w:pPr>
              <w:spacing w:before="240" w:after="200" w:line="276" w:lineRule="auto"/>
              <w:contextualSpacing/>
              <w:jc w:val="both"/>
              <w:rPr>
                <w:rFonts w:ascii="Verdana" w:eastAsia="Calibri" w:hAnsi="Verdana" w:cs="Times New Roman"/>
                <w:sz w:val="20"/>
                <w:szCs w:val="20"/>
                <w:lang w:val="en-GB"/>
              </w:rPr>
            </w:pPr>
            <w:r>
              <w:rPr>
                <w:rFonts w:ascii="Verdana" w:hAnsi="Verdana" w:cs="Times New Roman"/>
                <w:sz w:val="20"/>
                <w:szCs w:val="20"/>
                <w:lang w:val="en-GB"/>
              </w:rPr>
              <w:t xml:space="preserve">The </w:t>
            </w:r>
            <w:r w:rsidRPr="00C531D7">
              <w:rPr>
                <w:rFonts w:ascii="Verdana" w:hAnsi="Verdana" w:cs="Times New Roman"/>
                <w:sz w:val="20"/>
                <w:szCs w:val="20"/>
                <w:lang w:val="en-GB"/>
              </w:rPr>
              <w:t>Ministry of Public Administration, in collaboration with the Public Relations Service of the Government of the Republic of Croatia (</w:t>
            </w:r>
            <w:proofErr w:type="spellStart"/>
            <w:r w:rsidRPr="00C531D7">
              <w:rPr>
                <w:rFonts w:ascii="Verdana" w:hAnsi="Verdana" w:cs="Times New Roman"/>
                <w:i/>
                <w:sz w:val="20"/>
                <w:szCs w:val="20"/>
                <w:lang w:val="en-GB"/>
              </w:rPr>
              <w:t>Služba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za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odnose</w:t>
            </w:r>
            <w:proofErr w:type="spellEnd"/>
            <w:r w:rsidRPr="00C531D7">
              <w:rPr>
                <w:rFonts w:ascii="Verdana" w:hAnsi="Verdana" w:cs="Times New Roman"/>
                <w:i/>
                <w:sz w:val="20"/>
                <w:szCs w:val="20"/>
                <w:lang w:val="en-GB"/>
              </w:rPr>
              <w:t xml:space="preserve"> s </w:t>
            </w:r>
            <w:proofErr w:type="spellStart"/>
            <w:r w:rsidRPr="00C531D7">
              <w:rPr>
                <w:rFonts w:ascii="Verdana" w:hAnsi="Verdana" w:cs="Times New Roman"/>
                <w:i/>
                <w:sz w:val="20"/>
                <w:szCs w:val="20"/>
                <w:lang w:val="en-GB"/>
              </w:rPr>
              <w:t>javnošću</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Vlade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Republike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Hrvatske</w:t>
            </w:r>
            <w:proofErr w:type="spellEnd"/>
            <w:r w:rsidRPr="00C531D7">
              <w:rPr>
                <w:rFonts w:ascii="Verdana" w:hAnsi="Verdana" w:cs="Times New Roman"/>
                <w:sz w:val="20"/>
                <w:szCs w:val="20"/>
                <w:lang w:val="en-GB"/>
              </w:rPr>
              <w:t xml:space="preserve">) and the NEC created </w:t>
            </w:r>
            <w:r>
              <w:rPr>
                <w:rFonts w:ascii="Verdana" w:hAnsi="Verdana" w:cs="Times New Roman"/>
                <w:sz w:val="20"/>
                <w:szCs w:val="20"/>
                <w:lang w:val="en-GB"/>
              </w:rPr>
              <w:t>an</w:t>
            </w:r>
            <w:r w:rsidRPr="00C531D7">
              <w:rPr>
                <w:rFonts w:ascii="Verdana" w:hAnsi="Verdana" w:cs="Times New Roman"/>
                <w:sz w:val="20"/>
                <w:szCs w:val="20"/>
                <w:lang w:val="en-GB"/>
              </w:rPr>
              <w:t xml:space="preserve"> informational video on the European parliament elections and </w:t>
            </w:r>
            <w:r>
              <w:rPr>
                <w:rFonts w:ascii="Verdana" w:hAnsi="Verdana" w:cs="Times New Roman"/>
                <w:sz w:val="20"/>
                <w:szCs w:val="20"/>
                <w:lang w:val="en-GB"/>
              </w:rPr>
              <w:t>an</w:t>
            </w:r>
            <w:r w:rsidRPr="00C531D7">
              <w:rPr>
                <w:rFonts w:ascii="Verdana" w:hAnsi="Verdana" w:cs="Times New Roman"/>
                <w:sz w:val="20"/>
                <w:szCs w:val="20"/>
                <w:lang w:val="en-GB"/>
              </w:rPr>
              <w:t xml:space="preserve"> additional video on voter lists. These two videos did not have </w:t>
            </w:r>
            <w:r w:rsidRPr="00C531D7">
              <w:rPr>
                <w:rFonts w:ascii="Verdana" w:eastAsia="Calibri" w:hAnsi="Verdana" w:cs="Times New Roman"/>
                <w:sz w:val="20"/>
                <w:szCs w:val="20"/>
                <w:lang w:val="en-GB"/>
              </w:rPr>
              <w:t>national language subtitles.</w:t>
            </w:r>
            <w:r w:rsidRPr="00C531D7">
              <w:rPr>
                <w:rStyle w:val="FootnoteReference"/>
                <w:rFonts w:ascii="Verdana" w:eastAsia="Calibri" w:hAnsi="Verdana" w:cs="Times New Roman"/>
                <w:sz w:val="20"/>
                <w:szCs w:val="20"/>
                <w:lang w:val="en-GB"/>
              </w:rPr>
              <w:footnoteReference w:id="51"/>
            </w:r>
          </w:p>
          <w:p w14:paraId="6E00AB86"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1E669639" w14:textId="564BE0C8"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terms of main public and/or television broadcasts providing instructions for voting and information on candidates, official information is not available.</w:t>
            </w:r>
            <w:r>
              <w:rPr>
                <w:rStyle w:val="FootnoteReference"/>
                <w:rFonts w:ascii="Verdana" w:eastAsia="Calibri" w:hAnsi="Verdana" w:cs="Times New Roman"/>
                <w:sz w:val="20"/>
                <w:szCs w:val="20"/>
                <w:lang w:val="en-GB"/>
              </w:rPr>
              <w:footnoteReference w:id="52"/>
            </w:r>
            <w:r w:rsidRPr="00C531D7">
              <w:rPr>
                <w:rFonts w:ascii="Verdana" w:eastAsia="Calibri" w:hAnsi="Verdana" w:cs="Times New Roman"/>
                <w:sz w:val="20"/>
                <w:szCs w:val="20"/>
                <w:lang w:val="en-GB"/>
              </w:rPr>
              <w:t xml:space="preserve"> </w:t>
            </w:r>
          </w:p>
          <w:p w14:paraId="2D609DB0" w14:textId="77777777" w:rsidR="000309DC" w:rsidRDefault="000309DC" w:rsidP="00C531D7">
            <w:pPr>
              <w:spacing w:before="240"/>
              <w:contextualSpacing/>
              <w:jc w:val="both"/>
              <w:rPr>
                <w:rFonts w:ascii="Verdana" w:eastAsia="Calibri" w:hAnsi="Verdana" w:cs="Times New Roman"/>
                <w:sz w:val="20"/>
                <w:szCs w:val="20"/>
                <w:lang w:val="en-GB"/>
              </w:rPr>
            </w:pPr>
          </w:p>
          <w:p w14:paraId="609DBD3B" w14:textId="39F28DA3"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Election information in the context of news was not adapted to be made accessible to persons with disabilities, nor were the special election programs on the 4</w:t>
            </w:r>
            <w:r w:rsidRPr="00C531D7">
              <w:rPr>
                <w:rFonts w:ascii="Verdana" w:eastAsia="Calibri" w:hAnsi="Verdana" w:cs="Times New Roman"/>
                <w:sz w:val="20"/>
                <w:szCs w:val="20"/>
                <w:vertAlign w:val="superscript"/>
                <w:lang w:val="en-GB"/>
              </w:rPr>
              <w:t>th</w:t>
            </w:r>
            <w:r w:rsidRPr="00C531D7">
              <w:rPr>
                <w:rFonts w:ascii="Verdana" w:eastAsia="Calibri" w:hAnsi="Verdana" w:cs="Times New Roman"/>
                <w:sz w:val="20"/>
                <w:szCs w:val="20"/>
                <w:lang w:val="en-GB"/>
              </w:rPr>
              <w:t xml:space="preserve"> channel. However, four news shows every day have national language subtitles through teletext service.</w:t>
            </w:r>
            <w:r w:rsidRPr="00C531D7">
              <w:rPr>
                <w:rStyle w:val="FootnoteReference"/>
                <w:rFonts w:ascii="Verdana" w:eastAsia="Calibri" w:hAnsi="Verdana" w:cs="Times New Roman"/>
                <w:sz w:val="20"/>
                <w:szCs w:val="20"/>
                <w:lang w:val="en-GB"/>
              </w:rPr>
              <w:footnoteReference w:id="53"/>
            </w:r>
          </w:p>
          <w:p w14:paraId="5E99CC85" w14:textId="77777777" w:rsidR="000309DC" w:rsidRDefault="000309DC" w:rsidP="00C531D7">
            <w:pPr>
              <w:spacing w:before="240"/>
              <w:contextualSpacing/>
              <w:jc w:val="both"/>
              <w:rPr>
                <w:rFonts w:ascii="Verdana" w:eastAsia="Calibri" w:hAnsi="Verdana" w:cs="Times New Roman"/>
                <w:sz w:val="20"/>
                <w:szCs w:val="20"/>
                <w:lang w:val="en-GB"/>
              </w:rPr>
            </w:pPr>
          </w:p>
          <w:p w14:paraId="7F86CB3E" w14:textId="008467B8" w:rsidR="000309DC" w:rsidRPr="00C531D7"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Following NOVA TV, a private television broadcast, t</w:t>
            </w:r>
            <w:r w:rsidRPr="00C531D7">
              <w:rPr>
                <w:rFonts w:ascii="Verdana" w:eastAsia="Calibri" w:hAnsi="Verdana" w:cs="Times New Roman"/>
                <w:sz w:val="20"/>
                <w:szCs w:val="20"/>
                <w:lang w:val="en-GB"/>
              </w:rPr>
              <w:t xml:space="preserve">heir news programs are not subtitled, but they provide news information through so-called “crawls”, </w:t>
            </w:r>
            <w:r>
              <w:rPr>
                <w:rFonts w:ascii="Verdana" w:eastAsia="Calibri" w:hAnsi="Verdana" w:cs="Times New Roman"/>
                <w:sz w:val="20"/>
                <w:szCs w:val="20"/>
                <w:lang w:val="en-GB"/>
              </w:rPr>
              <w:t>which</w:t>
            </w:r>
            <w:r w:rsidRPr="00C531D7">
              <w:rPr>
                <w:rFonts w:ascii="Verdana" w:eastAsia="Calibri" w:hAnsi="Verdana" w:cs="Times New Roman"/>
                <w:sz w:val="20"/>
                <w:szCs w:val="20"/>
                <w:lang w:val="en-GB"/>
              </w:rPr>
              <w:t xml:space="preserve"> is moving text at the bottom of the screen that is unrelated to the current content of the program.</w:t>
            </w:r>
            <w:r w:rsidRPr="00C531D7">
              <w:rPr>
                <w:rStyle w:val="FootnoteReference"/>
                <w:rFonts w:ascii="Verdana" w:eastAsia="Calibri" w:hAnsi="Verdana" w:cs="Times New Roman"/>
                <w:sz w:val="20"/>
                <w:szCs w:val="20"/>
                <w:lang w:val="en-GB"/>
              </w:rPr>
              <w:footnoteReference w:id="54"/>
            </w:r>
          </w:p>
        </w:tc>
      </w:tr>
      <w:tr w:rsidR="000309DC" w:rsidRPr="00C531D7" w14:paraId="70E8AAC8" w14:textId="77777777" w:rsidTr="000309DC">
        <w:trPr>
          <w:trHeight w:val="454"/>
        </w:trPr>
        <w:tc>
          <w:tcPr>
            <w:tcW w:w="1443" w:type="pct"/>
            <w:shd w:val="clear" w:color="auto" w:fill="auto"/>
            <w:vAlign w:val="center"/>
          </w:tcPr>
          <w:p w14:paraId="72251905"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What proportion of main public and/or private television broadcasts providing instructions for voting and information on candidates has audio description?</w:t>
            </w:r>
          </w:p>
        </w:tc>
        <w:tc>
          <w:tcPr>
            <w:tcW w:w="3557" w:type="pct"/>
            <w:vAlign w:val="center"/>
          </w:tcPr>
          <w:p w14:paraId="222D9DA2" w14:textId="48D611DB" w:rsidR="000309DC" w:rsidRDefault="000309DC" w:rsidP="00C531D7">
            <w:pPr>
              <w:spacing w:before="240" w:after="200" w:line="276" w:lineRule="auto"/>
              <w:contextualSpacing/>
              <w:jc w:val="both"/>
              <w:rPr>
                <w:rFonts w:ascii="Verdana" w:eastAsia="Calibri" w:hAnsi="Verdana" w:cs="Times New Roman"/>
                <w:sz w:val="20"/>
                <w:szCs w:val="20"/>
                <w:lang w:val="en-GB"/>
              </w:rPr>
            </w:pPr>
            <w:r>
              <w:rPr>
                <w:rFonts w:ascii="Verdana" w:hAnsi="Verdana" w:cs="Times New Roman"/>
                <w:sz w:val="20"/>
                <w:szCs w:val="20"/>
                <w:lang w:val="en-GB"/>
              </w:rPr>
              <w:t xml:space="preserve">The </w:t>
            </w:r>
            <w:r w:rsidRPr="00C531D7">
              <w:rPr>
                <w:rFonts w:ascii="Verdana" w:hAnsi="Verdana" w:cs="Times New Roman"/>
                <w:sz w:val="20"/>
                <w:szCs w:val="20"/>
                <w:lang w:val="en-GB"/>
              </w:rPr>
              <w:t>Ministry of Public Administration, in collaboration with the Public Relations Service of the Government of the Republic of Croatia (</w:t>
            </w:r>
            <w:proofErr w:type="spellStart"/>
            <w:r w:rsidRPr="00C531D7">
              <w:rPr>
                <w:rFonts w:ascii="Verdana" w:hAnsi="Verdana" w:cs="Times New Roman"/>
                <w:i/>
                <w:sz w:val="20"/>
                <w:szCs w:val="20"/>
                <w:lang w:val="en-GB"/>
              </w:rPr>
              <w:t>Služba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za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odnose</w:t>
            </w:r>
            <w:proofErr w:type="spellEnd"/>
            <w:r w:rsidRPr="00C531D7">
              <w:rPr>
                <w:rFonts w:ascii="Verdana" w:hAnsi="Verdana" w:cs="Times New Roman"/>
                <w:i/>
                <w:sz w:val="20"/>
                <w:szCs w:val="20"/>
                <w:lang w:val="en-GB"/>
              </w:rPr>
              <w:t xml:space="preserve"> s </w:t>
            </w:r>
            <w:proofErr w:type="spellStart"/>
            <w:r w:rsidRPr="00C531D7">
              <w:rPr>
                <w:rFonts w:ascii="Verdana" w:hAnsi="Verdana" w:cs="Times New Roman"/>
                <w:i/>
                <w:sz w:val="20"/>
                <w:szCs w:val="20"/>
                <w:lang w:val="en-GB"/>
              </w:rPr>
              <w:t>javnošću</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Vlade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Republike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Hrvatske</w:t>
            </w:r>
            <w:proofErr w:type="spellEnd"/>
            <w:r w:rsidRPr="00C531D7">
              <w:rPr>
                <w:rFonts w:ascii="Verdana" w:hAnsi="Verdana" w:cs="Times New Roman"/>
                <w:sz w:val="20"/>
                <w:szCs w:val="20"/>
                <w:lang w:val="en-GB"/>
              </w:rPr>
              <w:t xml:space="preserve">) and the NEC created </w:t>
            </w:r>
            <w:r>
              <w:rPr>
                <w:rFonts w:ascii="Verdana" w:hAnsi="Verdana" w:cs="Times New Roman"/>
                <w:sz w:val="20"/>
                <w:szCs w:val="20"/>
                <w:lang w:val="en-GB"/>
              </w:rPr>
              <w:t>an</w:t>
            </w:r>
            <w:r w:rsidRPr="00C531D7">
              <w:rPr>
                <w:rFonts w:ascii="Verdana" w:hAnsi="Verdana" w:cs="Times New Roman"/>
                <w:sz w:val="20"/>
                <w:szCs w:val="20"/>
                <w:lang w:val="en-GB"/>
              </w:rPr>
              <w:t xml:space="preserve"> informational video on the European parliament elections and </w:t>
            </w:r>
            <w:r>
              <w:rPr>
                <w:rFonts w:ascii="Verdana" w:hAnsi="Verdana" w:cs="Times New Roman"/>
                <w:sz w:val="20"/>
                <w:szCs w:val="20"/>
                <w:lang w:val="en-GB"/>
              </w:rPr>
              <w:t>an</w:t>
            </w:r>
            <w:r w:rsidRPr="00C531D7">
              <w:rPr>
                <w:rFonts w:ascii="Verdana" w:hAnsi="Verdana" w:cs="Times New Roman"/>
                <w:sz w:val="20"/>
                <w:szCs w:val="20"/>
                <w:lang w:val="en-GB"/>
              </w:rPr>
              <w:t xml:space="preserve"> additional video on voter lists. In these two videos, full information was </w:t>
            </w:r>
            <w:r>
              <w:rPr>
                <w:rFonts w:ascii="Verdana" w:hAnsi="Verdana" w:cs="Times New Roman"/>
                <w:sz w:val="20"/>
                <w:szCs w:val="20"/>
                <w:lang w:val="en-GB"/>
              </w:rPr>
              <w:t>provided.</w:t>
            </w:r>
            <w:r w:rsidRPr="00C531D7">
              <w:rPr>
                <w:rStyle w:val="FootnoteReference"/>
                <w:rFonts w:ascii="Verdana" w:eastAsia="Calibri" w:hAnsi="Verdana" w:cs="Times New Roman"/>
                <w:sz w:val="20"/>
                <w:szCs w:val="20"/>
                <w:lang w:val="en-GB"/>
              </w:rPr>
              <w:footnoteReference w:id="55"/>
            </w:r>
          </w:p>
          <w:p w14:paraId="3EC4C835" w14:textId="77777777" w:rsidR="000309DC" w:rsidRDefault="000309DC" w:rsidP="00C531D7">
            <w:pPr>
              <w:spacing w:before="240" w:after="200" w:line="276" w:lineRule="auto"/>
              <w:contextualSpacing/>
              <w:jc w:val="both"/>
              <w:rPr>
                <w:rFonts w:ascii="Verdana" w:eastAsia="Calibri" w:hAnsi="Verdana" w:cs="Times New Roman"/>
                <w:sz w:val="20"/>
                <w:szCs w:val="20"/>
                <w:lang w:val="en-GB"/>
              </w:rPr>
            </w:pPr>
          </w:p>
          <w:p w14:paraId="7DEE117F" w14:textId="31222455"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terms of main public and/or television broadcasts providing instructions for voting and information on candidates, official information is not available.</w:t>
            </w:r>
            <w:r>
              <w:rPr>
                <w:rStyle w:val="FootnoteReference"/>
                <w:rFonts w:ascii="Verdana" w:eastAsia="Calibri" w:hAnsi="Verdana" w:cs="Times New Roman"/>
                <w:sz w:val="20"/>
                <w:szCs w:val="20"/>
                <w:lang w:val="en-GB"/>
              </w:rPr>
              <w:footnoteReference w:id="56"/>
            </w:r>
          </w:p>
          <w:p w14:paraId="618AC400"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75D558D1" w14:textId="77777777" w:rsidR="000309DC"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terms of the First program of the Croatian radio, there were programs providing election information, as follows:</w:t>
            </w:r>
          </w:p>
          <w:p w14:paraId="6021B59B"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14BD4E54" w14:textId="4BE1D49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u w:val="single"/>
                <w:lang w:val="en-GB"/>
              </w:rPr>
              <w:lastRenderedPageBreak/>
              <w:t>European elections:</w:t>
            </w:r>
            <w:r w:rsidRPr="00C531D7">
              <w:rPr>
                <w:rFonts w:ascii="Verdana" w:eastAsia="Calibri" w:hAnsi="Verdana" w:cs="Times New Roman"/>
                <w:sz w:val="20"/>
                <w:szCs w:val="20"/>
                <w:lang w:val="en-GB"/>
              </w:rPr>
              <w:t xml:space="preserve">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21</w:t>
            </w:r>
            <w:r w:rsidRPr="00B500B5">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March, summary lists of candidates were read. The program lasted 50 minutes (3.57% of the daily program). From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25</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March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12</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April, party lists and candidates were presented for 55 minutes each day (3.81%), with an additional 30 minute program on</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25</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March.</w:t>
            </w:r>
          </w:p>
          <w:p w14:paraId="3D729E7E" w14:textId="0C247C52" w:rsidR="000309DC"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the election night, programs totalling 185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14</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April (12.8%), and 60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after midnight,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15</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April (4.16%).</w:t>
            </w:r>
          </w:p>
          <w:p w14:paraId="6EC20F68"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71372787" w14:textId="1395E3D1"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u w:val="single"/>
                <w:lang w:val="en-GB"/>
              </w:rPr>
              <w:t xml:space="preserve">Local elections: </w:t>
            </w:r>
            <w:r w:rsidRPr="00C531D7">
              <w:rPr>
                <w:rFonts w:ascii="Verdana" w:eastAsia="Calibri" w:hAnsi="Verdana" w:cs="Times New Roman"/>
                <w:sz w:val="20"/>
                <w:szCs w:val="20"/>
                <w:lang w:val="en-GB"/>
              </w:rPr>
              <w:t>In the election night, programs totalling 240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19</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 (16.6%), and 60 minutes were broadcast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after midnight, on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20</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 (4.16%).</w:t>
            </w:r>
            <w:r w:rsidRPr="00C531D7">
              <w:rPr>
                <w:rStyle w:val="FootnoteReference"/>
                <w:rFonts w:ascii="Verdana" w:eastAsia="Calibri" w:hAnsi="Verdana" w:cs="Times New Roman"/>
                <w:sz w:val="20"/>
                <w:szCs w:val="20"/>
                <w:lang w:val="en-GB"/>
              </w:rPr>
              <w:footnoteReference w:id="57"/>
            </w:r>
          </w:p>
          <w:p w14:paraId="7851913A"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6BF46B7D" w14:textId="4E04CCD0" w:rsidR="000309DC" w:rsidRDefault="000309DC" w:rsidP="00C531D7">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Public TV program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devoted to election information w</w:t>
            </w:r>
            <w:r>
              <w:rPr>
                <w:rFonts w:ascii="Verdana" w:eastAsia="Calibri" w:hAnsi="Verdana" w:cs="Times New Roman"/>
                <w:sz w:val="20"/>
                <w:szCs w:val="20"/>
                <w:lang w:val="en-GB"/>
              </w:rPr>
              <w:t>ere</w:t>
            </w:r>
            <w:r w:rsidRPr="00C531D7">
              <w:rPr>
                <w:rFonts w:ascii="Verdana" w:eastAsia="Calibri" w:hAnsi="Verdana" w:cs="Times New Roman"/>
                <w:sz w:val="20"/>
                <w:szCs w:val="20"/>
                <w:lang w:val="en-GB"/>
              </w:rPr>
              <w:t xml:space="preserve"> not made accessible to persons with hearing impairments, that is, program</w:t>
            </w:r>
            <w:r>
              <w:rPr>
                <w:rFonts w:ascii="Verdana" w:eastAsia="Calibri" w:hAnsi="Verdana" w:cs="Times New Roman"/>
                <w:sz w:val="20"/>
                <w:szCs w:val="20"/>
                <w:lang w:val="en-GB"/>
              </w:rPr>
              <w:t>s</w:t>
            </w:r>
            <w:r w:rsidRPr="00C531D7">
              <w:rPr>
                <w:rFonts w:ascii="Verdana" w:eastAsia="Calibri" w:hAnsi="Verdana" w:cs="Times New Roman"/>
                <w:sz w:val="20"/>
                <w:szCs w:val="20"/>
                <w:lang w:val="en-GB"/>
              </w:rPr>
              <w:t xml:space="preserve"> w</w:t>
            </w:r>
            <w:r>
              <w:rPr>
                <w:rFonts w:ascii="Verdana" w:eastAsia="Calibri" w:hAnsi="Verdana" w:cs="Times New Roman"/>
                <w:sz w:val="20"/>
                <w:szCs w:val="20"/>
                <w:lang w:val="en-GB"/>
              </w:rPr>
              <w:t>ere</w:t>
            </w:r>
            <w:r w:rsidRPr="00C531D7">
              <w:rPr>
                <w:rFonts w:ascii="Verdana" w:eastAsia="Calibri" w:hAnsi="Verdana" w:cs="Times New Roman"/>
                <w:sz w:val="20"/>
                <w:szCs w:val="20"/>
                <w:lang w:val="en-GB"/>
              </w:rPr>
              <w:t xml:space="preserve"> not subtitled or translated to sign language.</w:t>
            </w:r>
          </w:p>
          <w:p w14:paraId="234F326F"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337A2BA2" w14:textId="728BABD9" w:rsidR="000309DC" w:rsidRPr="00C531D7"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Furthermore, following Nova TV, a private television broadcast, a</w:t>
            </w:r>
            <w:r w:rsidRPr="00C531D7">
              <w:rPr>
                <w:rFonts w:ascii="Verdana" w:eastAsia="Calibri" w:hAnsi="Verdana" w:cs="Times New Roman"/>
                <w:sz w:val="20"/>
                <w:szCs w:val="20"/>
                <w:lang w:val="en-GB"/>
              </w:rPr>
              <w:t>ll their news shows provide full audio description.</w:t>
            </w:r>
            <w:r w:rsidRPr="00C531D7">
              <w:rPr>
                <w:rStyle w:val="FootnoteReference"/>
                <w:rFonts w:ascii="Verdana" w:eastAsia="Calibri" w:hAnsi="Verdana" w:cs="Times New Roman"/>
                <w:sz w:val="20"/>
                <w:szCs w:val="20"/>
                <w:lang w:val="en-GB"/>
              </w:rPr>
              <w:footnoteReference w:id="58"/>
            </w:r>
          </w:p>
        </w:tc>
      </w:tr>
      <w:tr w:rsidR="000309DC" w:rsidRPr="00C531D7" w14:paraId="1C00534A" w14:textId="77777777" w:rsidTr="000309DC">
        <w:trPr>
          <w:trHeight w:val="454"/>
        </w:trPr>
        <w:tc>
          <w:tcPr>
            <w:tcW w:w="1443" w:type="pct"/>
            <w:shd w:val="clear" w:color="auto" w:fill="auto"/>
            <w:vAlign w:val="center"/>
          </w:tcPr>
          <w:p w14:paraId="1D6A546E"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sign language interpretation?</w:t>
            </w:r>
          </w:p>
        </w:tc>
        <w:tc>
          <w:tcPr>
            <w:tcW w:w="3557" w:type="pct"/>
            <w:vAlign w:val="center"/>
          </w:tcPr>
          <w:p w14:paraId="0F14B725" w14:textId="5B8629DA" w:rsidR="000309DC" w:rsidRDefault="000309DC" w:rsidP="00C531D7">
            <w:pPr>
              <w:spacing w:before="240" w:after="200" w:line="276" w:lineRule="auto"/>
              <w:contextualSpacing/>
              <w:jc w:val="both"/>
              <w:rPr>
                <w:rFonts w:ascii="Verdana" w:eastAsia="Calibri" w:hAnsi="Verdana" w:cs="Times New Roman"/>
                <w:sz w:val="20"/>
                <w:szCs w:val="20"/>
                <w:lang w:val="en-GB"/>
              </w:rPr>
            </w:pPr>
            <w:r>
              <w:rPr>
                <w:rFonts w:ascii="Verdana" w:hAnsi="Verdana" w:cs="Times New Roman"/>
                <w:sz w:val="20"/>
                <w:szCs w:val="20"/>
                <w:lang w:val="en-GB"/>
              </w:rPr>
              <w:t xml:space="preserve">The </w:t>
            </w:r>
            <w:r w:rsidRPr="00C531D7">
              <w:rPr>
                <w:rFonts w:ascii="Verdana" w:hAnsi="Verdana" w:cs="Times New Roman"/>
                <w:sz w:val="20"/>
                <w:szCs w:val="20"/>
                <w:lang w:val="en-GB"/>
              </w:rPr>
              <w:t>Ministry of Public Administration, in collaboration with the Public Relations Service of the Government of the Republic of Croatia (</w:t>
            </w:r>
            <w:proofErr w:type="spellStart"/>
            <w:r w:rsidRPr="00C531D7">
              <w:rPr>
                <w:rFonts w:ascii="Verdana" w:hAnsi="Verdana" w:cs="Times New Roman"/>
                <w:i/>
                <w:sz w:val="20"/>
                <w:szCs w:val="20"/>
                <w:lang w:val="en-GB"/>
              </w:rPr>
              <w:t>Služba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za</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odnose</w:t>
            </w:r>
            <w:proofErr w:type="spellEnd"/>
            <w:r w:rsidRPr="00C531D7">
              <w:rPr>
                <w:rFonts w:ascii="Verdana" w:hAnsi="Verdana" w:cs="Times New Roman"/>
                <w:i/>
                <w:sz w:val="20"/>
                <w:szCs w:val="20"/>
                <w:lang w:val="en-GB"/>
              </w:rPr>
              <w:t xml:space="preserve"> s </w:t>
            </w:r>
            <w:proofErr w:type="spellStart"/>
            <w:r w:rsidRPr="00C531D7">
              <w:rPr>
                <w:rFonts w:ascii="Verdana" w:hAnsi="Verdana" w:cs="Times New Roman"/>
                <w:i/>
                <w:sz w:val="20"/>
                <w:szCs w:val="20"/>
                <w:lang w:val="en-GB"/>
              </w:rPr>
              <w:t>javnošću</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Vlade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Republike</w:t>
            </w:r>
            <w:proofErr w:type="spellEnd"/>
            <w:r w:rsidRPr="00C531D7">
              <w:rPr>
                <w:rFonts w:ascii="Verdana" w:hAnsi="Verdana" w:cs="Times New Roman"/>
                <w:i/>
                <w:sz w:val="20"/>
                <w:szCs w:val="20"/>
                <w:lang w:val="en-GB"/>
              </w:rPr>
              <w:t xml:space="preserve"> </w:t>
            </w:r>
            <w:proofErr w:type="spellStart"/>
            <w:r w:rsidRPr="00C531D7">
              <w:rPr>
                <w:rFonts w:ascii="Verdana" w:hAnsi="Verdana" w:cs="Times New Roman"/>
                <w:i/>
                <w:sz w:val="20"/>
                <w:szCs w:val="20"/>
                <w:lang w:val="en-GB"/>
              </w:rPr>
              <w:t>Hrvatske</w:t>
            </w:r>
            <w:proofErr w:type="spellEnd"/>
            <w:r w:rsidRPr="00C531D7">
              <w:rPr>
                <w:rFonts w:ascii="Verdana" w:hAnsi="Verdana" w:cs="Times New Roman"/>
                <w:sz w:val="20"/>
                <w:szCs w:val="20"/>
                <w:lang w:val="en-GB"/>
              </w:rPr>
              <w:t xml:space="preserve">) and the NEC created </w:t>
            </w:r>
            <w:r>
              <w:rPr>
                <w:rFonts w:ascii="Verdana" w:hAnsi="Verdana" w:cs="Times New Roman"/>
                <w:sz w:val="20"/>
                <w:szCs w:val="20"/>
                <w:lang w:val="en-GB"/>
              </w:rPr>
              <w:t>an</w:t>
            </w:r>
            <w:r w:rsidRPr="00C531D7">
              <w:rPr>
                <w:rFonts w:ascii="Verdana" w:hAnsi="Verdana" w:cs="Times New Roman"/>
                <w:sz w:val="20"/>
                <w:szCs w:val="20"/>
                <w:lang w:val="en-GB"/>
              </w:rPr>
              <w:t xml:space="preserve"> informational video on the European parliament elections and </w:t>
            </w:r>
            <w:r>
              <w:rPr>
                <w:rFonts w:ascii="Verdana" w:hAnsi="Verdana" w:cs="Times New Roman"/>
                <w:sz w:val="20"/>
                <w:szCs w:val="20"/>
                <w:lang w:val="en-GB"/>
              </w:rPr>
              <w:t>an</w:t>
            </w:r>
            <w:r w:rsidRPr="00C531D7">
              <w:rPr>
                <w:rFonts w:ascii="Verdana" w:hAnsi="Verdana" w:cs="Times New Roman"/>
                <w:sz w:val="20"/>
                <w:szCs w:val="20"/>
                <w:lang w:val="en-GB"/>
              </w:rPr>
              <w:t xml:space="preserve"> additional video on voter lists</w:t>
            </w:r>
            <w:r w:rsidRPr="00C531D7">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59"/>
            </w:r>
          </w:p>
          <w:p w14:paraId="62E6B806" w14:textId="77777777" w:rsidR="000309DC" w:rsidRPr="00C531D7" w:rsidRDefault="000309DC" w:rsidP="00C531D7">
            <w:pPr>
              <w:spacing w:before="240" w:after="200" w:line="276" w:lineRule="auto"/>
              <w:contextualSpacing/>
              <w:jc w:val="both"/>
              <w:rPr>
                <w:rFonts w:ascii="Verdana" w:eastAsia="Calibri" w:hAnsi="Verdana" w:cs="Times New Roman"/>
                <w:sz w:val="20"/>
                <w:szCs w:val="20"/>
                <w:lang w:val="en-GB"/>
              </w:rPr>
            </w:pPr>
          </w:p>
          <w:p w14:paraId="0C144E5A" w14:textId="77777777" w:rsidR="000309DC" w:rsidRDefault="000309DC" w:rsidP="00E04E96">
            <w:pPr>
              <w:spacing w:before="240" w:after="200" w:line="276" w:lineRule="auto"/>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In terms of main public and/or television broadcasts providing instructions for voting and information on candidates, official information is not available.</w:t>
            </w:r>
            <w:r>
              <w:rPr>
                <w:rStyle w:val="FootnoteReference"/>
                <w:rFonts w:ascii="Verdana" w:eastAsia="Calibri" w:hAnsi="Verdana" w:cs="Times New Roman"/>
                <w:sz w:val="20"/>
                <w:szCs w:val="20"/>
                <w:lang w:val="en-GB"/>
              </w:rPr>
              <w:footnoteReference w:id="60"/>
            </w:r>
          </w:p>
          <w:p w14:paraId="304E9382" w14:textId="77777777" w:rsidR="000309DC" w:rsidRPr="00C531D7" w:rsidRDefault="000309DC" w:rsidP="00E04E96">
            <w:pPr>
              <w:spacing w:before="240" w:after="200" w:line="276" w:lineRule="auto"/>
              <w:contextualSpacing/>
              <w:jc w:val="both"/>
              <w:rPr>
                <w:rFonts w:ascii="Verdana" w:eastAsia="Calibri" w:hAnsi="Verdana" w:cs="Times New Roman"/>
                <w:sz w:val="20"/>
                <w:szCs w:val="20"/>
                <w:lang w:val="en-GB"/>
              </w:rPr>
            </w:pPr>
          </w:p>
          <w:p w14:paraId="28C2CD2D" w14:textId="2EE06BE1"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Election information in the context of news was not adapted to make it accessible to persons with disabilities, nor were the special election programs on the 4</w:t>
            </w:r>
            <w:r w:rsidRPr="00C531D7">
              <w:rPr>
                <w:rFonts w:ascii="Verdana" w:eastAsia="Calibri" w:hAnsi="Verdana" w:cs="Times New Roman"/>
                <w:sz w:val="20"/>
                <w:szCs w:val="20"/>
                <w:vertAlign w:val="superscript"/>
                <w:lang w:val="en-GB"/>
              </w:rPr>
              <w:t>th</w:t>
            </w:r>
            <w:r w:rsidRPr="00C531D7">
              <w:rPr>
                <w:rFonts w:ascii="Verdana" w:eastAsia="Calibri" w:hAnsi="Verdana" w:cs="Times New Roman"/>
                <w:sz w:val="20"/>
                <w:szCs w:val="20"/>
                <w:lang w:val="en-GB"/>
              </w:rPr>
              <w:t xml:space="preserve"> channel.</w:t>
            </w:r>
            <w:r w:rsidRPr="00C531D7">
              <w:rPr>
                <w:rStyle w:val="FootnoteReference"/>
                <w:rFonts w:ascii="Verdana" w:eastAsia="Calibri" w:hAnsi="Verdana" w:cs="Times New Roman"/>
                <w:sz w:val="20"/>
                <w:szCs w:val="20"/>
                <w:lang w:val="en-GB"/>
              </w:rPr>
              <w:footnoteReference w:id="61"/>
            </w:r>
          </w:p>
          <w:p w14:paraId="517DAB22" w14:textId="77777777" w:rsidR="000309DC" w:rsidRDefault="000309DC" w:rsidP="00C531D7">
            <w:pPr>
              <w:spacing w:before="240"/>
              <w:contextualSpacing/>
              <w:jc w:val="both"/>
              <w:rPr>
                <w:rFonts w:ascii="Verdana" w:eastAsia="Calibri" w:hAnsi="Verdana" w:cs="Times New Roman"/>
                <w:sz w:val="20"/>
                <w:szCs w:val="20"/>
                <w:lang w:val="en-GB"/>
              </w:rPr>
            </w:pPr>
          </w:p>
          <w:p w14:paraId="5445FCCE" w14:textId="0D33621C" w:rsidR="000309DC" w:rsidRPr="00C531D7"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Furthermore, </w:t>
            </w:r>
            <w:r w:rsidRPr="00C531D7">
              <w:rPr>
                <w:rFonts w:ascii="Verdana" w:eastAsia="Calibri" w:hAnsi="Verdana" w:cs="Times New Roman"/>
                <w:sz w:val="20"/>
                <w:szCs w:val="20"/>
                <w:lang w:val="en-GB"/>
              </w:rPr>
              <w:t>NOVA TV</w:t>
            </w:r>
            <w:r>
              <w:rPr>
                <w:rFonts w:ascii="Verdana" w:eastAsia="Calibri" w:hAnsi="Verdana" w:cs="Times New Roman"/>
                <w:sz w:val="20"/>
                <w:szCs w:val="20"/>
                <w:lang w:val="en-GB"/>
              </w:rPr>
              <w:t xml:space="preserve">, a private television broadcast, </w:t>
            </w:r>
            <w:r w:rsidRPr="00C531D7">
              <w:rPr>
                <w:rFonts w:ascii="Verdana" w:eastAsia="Calibri" w:hAnsi="Verdana" w:cs="Times New Roman"/>
                <w:sz w:val="20"/>
                <w:szCs w:val="20"/>
                <w:lang w:val="en-GB"/>
              </w:rPr>
              <w:t>does not provide sign language interpretation of any of their programs.</w:t>
            </w:r>
            <w:r w:rsidRPr="00C531D7">
              <w:rPr>
                <w:rStyle w:val="FootnoteReference"/>
                <w:rFonts w:ascii="Verdana" w:eastAsia="Calibri" w:hAnsi="Verdana" w:cs="Times New Roman"/>
                <w:sz w:val="20"/>
                <w:szCs w:val="20"/>
                <w:lang w:val="en-GB"/>
              </w:rPr>
              <w:footnoteReference w:id="62"/>
            </w:r>
          </w:p>
        </w:tc>
      </w:tr>
      <w:tr w:rsidR="000309DC" w:rsidRPr="00C531D7" w14:paraId="3C858BEC" w14:textId="77777777" w:rsidTr="000309DC">
        <w:trPr>
          <w:trHeight w:val="454"/>
        </w:trPr>
        <w:tc>
          <w:tcPr>
            <w:tcW w:w="1443" w:type="pct"/>
            <w:shd w:val="clear" w:color="auto" w:fill="auto"/>
            <w:vAlign w:val="center"/>
          </w:tcPr>
          <w:p w14:paraId="2273DA63"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 xml:space="preserve">How many political parties, out of the total who participated in the most recent European Parliament and municipal elections, made their manifesto/campaign material accessible to persons with disabilities (e.g. large print, braille, easy-to-read, audio versions </w:t>
            </w:r>
            <w:proofErr w:type="spellStart"/>
            <w:r w:rsidRPr="00C531D7">
              <w:rPr>
                <w:rFonts w:ascii="Verdana" w:eastAsia="Calibri" w:hAnsi="Verdana" w:cs="Times New Roman"/>
                <w:sz w:val="20"/>
                <w:szCs w:val="20"/>
                <w:lang w:val="en-GB"/>
              </w:rPr>
              <w:t>etc</w:t>
            </w:r>
            <w:proofErr w:type="spellEnd"/>
            <w:r w:rsidRPr="00C531D7">
              <w:rPr>
                <w:rFonts w:ascii="Verdana" w:eastAsia="Calibri" w:hAnsi="Verdana" w:cs="Times New Roman"/>
                <w:sz w:val="20"/>
                <w:szCs w:val="20"/>
                <w:lang w:val="en-GB"/>
              </w:rPr>
              <w:t>)?</w:t>
            </w:r>
          </w:p>
        </w:tc>
        <w:tc>
          <w:tcPr>
            <w:tcW w:w="3557" w:type="pct"/>
            <w:vAlign w:val="center"/>
          </w:tcPr>
          <w:p w14:paraId="48D207E4" w14:textId="2CA37B3C"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Official information is not available. For the purposes of this research</w:t>
            </w:r>
            <w:r>
              <w:rPr>
                <w:rFonts w:ascii="Verdana" w:eastAsia="Calibri" w:hAnsi="Verdana" w:cs="Times New Roman"/>
                <w:sz w:val="20"/>
                <w:szCs w:val="20"/>
                <w:lang w:val="en-GB"/>
              </w:rPr>
              <w:t>, i</w:t>
            </w:r>
            <w:r w:rsidRPr="00C531D7">
              <w:rPr>
                <w:rFonts w:ascii="Verdana" w:eastAsia="Calibri" w:hAnsi="Verdana" w:cs="Times New Roman"/>
                <w:sz w:val="20"/>
                <w:szCs w:val="20"/>
                <w:lang w:val="en-GB"/>
              </w:rPr>
              <w:t>nformation was requested from 16 parties, including all parliamentary parties and those who received 2% or more of votes in the European Parliament elections either by themselves or in coalitions. Of those 16 parties, 7 responded.</w:t>
            </w:r>
            <w:r>
              <w:rPr>
                <w:rStyle w:val="FootnoteReference"/>
                <w:rFonts w:ascii="Verdana" w:eastAsia="Calibri" w:hAnsi="Verdana" w:cs="Times New Roman"/>
                <w:sz w:val="20"/>
                <w:szCs w:val="20"/>
                <w:lang w:val="en-GB"/>
              </w:rPr>
              <w:footnoteReference w:id="63"/>
            </w:r>
            <w:r w:rsidRPr="00C531D7">
              <w:rPr>
                <w:rFonts w:ascii="Verdana" w:eastAsia="Calibri" w:hAnsi="Verdana" w:cs="Times New Roman"/>
                <w:sz w:val="20"/>
                <w:szCs w:val="20"/>
                <w:lang w:val="en-GB"/>
              </w:rPr>
              <w:t xml:space="preserve"> Of the 7 parties that responded, none made their manifesto/campaign material accessible to persons with disabilities</w:t>
            </w:r>
            <w:r>
              <w:rPr>
                <w:rFonts w:ascii="Verdana" w:eastAsia="Calibri" w:hAnsi="Verdana" w:cs="Times New Roman"/>
                <w:sz w:val="20"/>
                <w:szCs w:val="20"/>
                <w:lang w:val="en-GB"/>
              </w:rPr>
              <w:t>,</w:t>
            </w:r>
            <w:r w:rsidRPr="00C531D7">
              <w:rPr>
                <w:rFonts w:ascii="Verdana" w:eastAsia="Calibri" w:hAnsi="Verdana" w:cs="Times New Roman"/>
                <w:sz w:val="20"/>
                <w:szCs w:val="20"/>
                <w:lang w:val="en-GB"/>
              </w:rPr>
              <w:t xml:space="preserve"> either for European or for local elections.</w:t>
            </w:r>
            <w:r w:rsidRPr="00C531D7">
              <w:rPr>
                <w:rStyle w:val="FootnoteReference"/>
                <w:rFonts w:ascii="Verdana" w:eastAsia="Calibri" w:hAnsi="Verdana" w:cs="Times New Roman"/>
                <w:sz w:val="20"/>
                <w:szCs w:val="20"/>
                <w:lang w:val="en-GB"/>
              </w:rPr>
              <w:footnoteReference w:id="64"/>
            </w:r>
            <w:r w:rsidRPr="00C531D7">
              <w:rPr>
                <w:rFonts w:ascii="Verdana" w:eastAsia="Calibri" w:hAnsi="Verdana" w:cs="Times New Roman"/>
                <w:sz w:val="20"/>
                <w:szCs w:val="20"/>
                <w:lang w:val="en-GB"/>
              </w:rPr>
              <w:t xml:space="preserve"> </w:t>
            </w:r>
          </w:p>
        </w:tc>
      </w:tr>
      <w:tr w:rsidR="000309DC" w:rsidRPr="00C531D7" w14:paraId="67CA38BB" w14:textId="77777777" w:rsidTr="000309DC">
        <w:trPr>
          <w:trHeight w:val="454"/>
        </w:trPr>
        <w:tc>
          <w:tcPr>
            <w:tcW w:w="1443" w:type="pct"/>
            <w:shd w:val="clear" w:color="auto" w:fill="auto"/>
            <w:vAlign w:val="center"/>
          </w:tcPr>
          <w:p w14:paraId="7397EA99" w14:textId="77777777"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What proportion of public authority national and municipal buildings is accessible to persons with disabilities?</w:t>
            </w:r>
          </w:p>
        </w:tc>
        <w:tc>
          <w:tcPr>
            <w:tcW w:w="3557" w:type="pct"/>
            <w:vAlign w:val="center"/>
          </w:tcPr>
          <w:p w14:paraId="739CC482" w14:textId="0847ABFB" w:rsidR="000309DC"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Following the </w:t>
            </w:r>
            <w:r w:rsidRPr="00C531D7">
              <w:rPr>
                <w:rFonts w:ascii="Verdana" w:eastAsia="Calibri" w:hAnsi="Verdana" w:cs="Times New Roman"/>
                <w:sz w:val="20"/>
                <w:szCs w:val="20"/>
                <w:lang w:val="en-GB"/>
              </w:rPr>
              <w:t>Ministry of Public Administration</w:t>
            </w:r>
            <w:r>
              <w:rPr>
                <w:rFonts w:ascii="Verdana" w:eastAsia="Calibri" w:hAnsi="Verdana" w:cs="Times New Roman"/>
                <w:sz w:val="20"/>
                <w:szCs w:val="20"/>
                <w:lang w:val="en-GB"/>
              </w:rPr>
              <w:t>, there is no data available</w:t>
            </w:r>
            <w:r w:rsidRPr="00C531D7">
              <w:rPr>
                <w:rFonts w:ascii="Verdana" w:eastAsia="Calibri" w:hAnsi="Verdana" w:cs="Times New Roman"/>
                <w:sz w:val="20"/>
                <w:szCs w:val="20"/>
                <w:lang w:val="en-GB"/>
              </w:rPr>
              <w:t xml:space="preserve"> on what proportion of public authority national and municipal buildings </w:t>
            </w:r>
            <w:r>
              <w:rPr>
                <w:rFonts w:ascii="Verdana" w:eastAsia="Calibri" w:hAnsi="Verdana" w:cs="Times New Roman"/>
                <w:sz w:val="20"/>
                <w:szCs w:val="20"/>
                <w:lang w:val="en-GB"/>
              </w:rPr>
              <w:t>are</w:t>
            </w:r>
            <w:r w:rsidRPr="00C531D7">
              <w:rPr>
                <w:rFonts w:ascii="Verdana" w:eastAsia="Calibri" w:hAnsi="Verdana" w:cs="Times New Roman"/>
                <w:sz w:val="20"/>
                <w:szCs w:val="20"/>
                <w:lang w:val="en-GB"/>
              </w:rPr>
              <w:t xml:space="preserve"> accessible to persons with disabilities.</w:t>
            </w:r>
            <w:r w:rsidRPr="00C531D7">
              <w:rPr>
                <w:rStyle w:val="FootnoteReference"/>
                <w:rFonts w:ascii="Verdana" w:eastAsia="Calibri" w:hAnsi="Verdana" w:cs="Times New Roman"/>
                <w:sz w:val="20"/>
                <w:szCs w:val="20"/>
                <w:lang w:val="en-GB"/>
              </w:rPr>
              <w:footnoteReference w:id="65"/>
            </w:r>
            <w:r w:rsidRPr="00C531D7">
              <w:rPr>
                <w:rFonts w:ascii="Verdana" w:eastAsia="Calibri" w:hAnsi="Verdana" w:cs="Times New Roman"/>
                <w:sz w:val="20"/>
                <w:szCs w:val="20"/>
                <w:lang w:val="en-GB"/>
              </w:rPr>
              <w:t xml:space="preserve"> </w:t>
            </w:r>
          </w:p>
          <w:p w14:paraId="07478E56" w14:textId="77777777" w:rsidR="000309DC" w:rsidRDefault="000309DC" w:rsidP="00C531D7">
            <w:pPr>
              <w:spacing w:before="240"/>
              <w:contextualSpacing/>
              <w:jc w:val="both"/>
              <w:rPr>
                <w:rFonts w:ascii="Verdana" w:eastAsia="Calibri" w:hAnsi="Verdana" w:cs="Times New Roman"/>
                <w:sz w:val="20"/>
                <w:szCs w:val="20"/>
                <w:lang w:val="en-GB"/>
              </w:rPr>
            </w:pPr>
          </w:p>
          <w:p w14:paraId="7F01E288" w14:textId="77777777" w:rsidR="000309DC"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Croatian Union of Counties (</w:t>
            </w:r>
            <w:proofErr w:type="spellStart"/>
            <w:r w:rsidRPr="00C531D7">
              <w:rPr>
                <w:rFonts w:ascii="Verdana" w:eastAsia="Calibri" w:hAnsi="Verdana" w:cs="Times New Roman"/>
                <w:i/>
                <w:sz w:val="20"/>
                <w:szCs w:val="20"/>
                <w:lang w:val="en-GB"/>
              </w:rPr>
              <w:t>Hrvatska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zajednica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županija</w:t>
            </w:r>
            <w:proofErr w:type="spellEnd"/>
            <w:r w:rsidRPr="00C531D7">
              <w:rPr>
                <w:rFonts w:ascii="Verdana" w:eastAsia="Calibri" w:hAnsi="Verdana" w:cs="Times New Roman"/>
                <w:sz w:val="20"/>
                <w:szCs w:val="20"/>
                <w:lang w:val="en-GB"/>
              </w:rPr>
              <w:t>) does not have the data on what proportion of county buildings is accessible to persons with disabilities.</w:t>
            </w:r>
            <w:r w:rsidRPr="00C531D7">
              <w:rPr>
                <w:rStyle w:val="FootnoteReference"/>
                <w:rFonts w:ascii="Verdana" w:eastAsia="Calibri" w:hAnsi="Verdana" w:cs="Times New Roman"/>
                <w:sz w:val="20"/>
                <w:szCs w:val="20"/>
                <w:lang w:val="en-GB"/>
              </w:rPr>
              <w:footnoteReference w:id="66"/>
            </w:r>
            <w:r w:rsidRPr="00C531D7">
              <w:rPr>
                <w:rFonts w:ascii="Verdana" w:eastAsia="Calibri" w:hAnsi="Verdana" w:cs="Times New Roman"/>
                <w:sz w:val="20"/>
                <w:szCs w:val="20"/>
                <w:lang w:val="en-GB"/>
              </w:rPr>
              <w:t xml:space="preserve"> </w:t>
            </w:r>
          </w:p>
          <w:p w14:paraId="5F2C3BA1" w14:textId="77777777" w:rsidR="000309DC" w:rsidRDefault="000309DC" w:rsidP="00C531D7">
            <w:pPr>
              <w:spacing w:before="240"/>
              <w:contextualSpacing/>
              <w:jc w:val="both"/>
              <w:rPr>
                <w:rFonts w:ascii="Verdana" w:eastAsia="Calibri" w:hAnsi="Verdana" w:cs="Times New Roman"/>
                <w:sz w:val="20"/>
                <w:szCs w:val="20"/>
                <w:lang w:val="en-GB"/>
              </w:rPr>
            </w:pPr>
          </w:p>
          <w:p w14:paraId="747C0DCE" w14:textId="77777777" w:rsidR="000309DC"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 xml:space="preserve">Association of towns in the Republic of Croatia </w:t>
            </w:r>
            <w:r w:rsidRPr="00C531D7">
              <w:rPr>
                <w:rFonts w:ascii="Verdana" w:eastAsia="Calibri" w:hAnsi="Verdana" w:cs="Times New Roman"/>
                <w:i/>
                <w:sz w:val="20"/>
                <w:szCs w:val="20"/>
                <w:lang w:val="en-GB"/>
              </w:rPr>
              <w:t>(</w:t>
            </w:r>
            <w:proofErr w:type="spellStart"/>
            <w:r w:rsidRPr="00C531D7">
              <w:rPr>
                <w:rFonts w:ascii="Verdana" w:eastAsia="Calibri" w:hAnsi="Verdana" w:cs="Times New Roman"/>
                <w:i/>
                <w:sz w:val="20"/>
                <w:szCs w:val="20"/>
                <w:lang w:val="en-GB"/>
              </w:rPr>
              <w:t>Udruga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gradova</w:t>
            </w:r>
            <w:proofErr w:type="spellEnd"/>
            <w:r w:rsidRPr="00C531D7">
              <w:rPr>
                <w:rFonts w:ascii="Verdana" w:eastAsia="Calibri" w:hAnsi="Verdana" w:cs="Times New Roman"/>
                <w:i/>
                <w:sz w:val="20"/>
                <w:szCs w:val="20"/>
                <w:lang w:val="en-GB"/>
              </w:rPr>
              <w:t xml:space="preserve"> u </w:t>
            </w:r>
            <w:proofErr w:type="spellStart"/>
            <w:r w:rsidRPr="00C531D7">
              <w:rPr>
                <w:rFonts w:ascii="Verdana" w:eastAsia="Calibri" w:hAnsi="Verdana" w:cs="Times New Roman"/>
                <w:i/>
                <w:sz w:val="20"/>
                <w:szCs w:val="20"/>
                <w:lang w:val="en-GB"/>
              </w:rPr>
              <w:t>Republici</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Hrvatskoj</w:t>
            </w:r>
            <w:proofErr w:type="spellEnd"/>
            <w:r w:rsidRPr="00C531D7">
              <w:rPr>
                <w:rFonts w:ascii="Verdana" w:eastAsia="Calibri" w:hAnsi="Verdana" w:cs="Times New Roman"/>
                <w:sz w:val="20"/>
                <w:szCs w:val="20"/>
                <w:lang w:val="en-GB"/>
              </w:rPr>
              <w:t>) does not have the data on what proportion of town administration buildings is accessible to persons with disabilities.</w:t>
            </w:r>
            <w:r w:rsidRPr="00C531D7">
              <w:rPr>
                <w:rStyle w:val="FootnoteReference"/>
                <w:rFonts w:ascii="Verdana" w:eastAsia="Calibri" w:hAnsi="Verdana" w:cs="Times New Roman"/>
                <w:sz w:val="20"/>
                <w:szCs w:val="20"/>
                <w:lang w:val="en-GB"/>
              </w:rPr>
              <w:footnoteReference w:id="67"/>
            </w:r>
            <w:r w:rsidRPr="00C531D7">
              <w:rPr>
                <w:rFonts w:ascii="Verdana" w:eastAsia="Calibri" w:hAnsi="Verdana" w:cs="Times New Roman"/>
                <w:sz w:val="20"/>
                <w:szCs w:val="20"/>
                <w:lang w:val="en-GB"/>
              </w:rPr>
              <w:t xml:space="preserve"> </w:t>
            </w:r>
          </w:p>
          <w:p w14:paraId="3EF866C8" w14:textId="77777777" w:rsidR="000309DC" w:rsidRDefault="000309DC" w:rsidP="00C531D7">
            <w:pPr>
              <w:spacing w:before="240"/>
              <w:contextualSpacing/>
              <w:jc w:val="both"/>
              <w:rPr>
                <w:rFonts w:ascii="Verdana" w:eastAsia="Calibri" w:hAnsi="Verdana" w:cs="Times New Roman"/>
                <w:sz w:val="20"/>
                <w:szCs w:val="20"/>
                <w:lang w:val="en-GB"/>
              </w:rPr>
            </w:pPr>
          </w:p>
          <w:p w14:paraId="7DB06F87" w14:textId="674F53B7" w:rsidR="000309DC"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Association of Municipalities (</w:t>
            </w:r>
            <w:proofErr w:type="spellStart"/>
            <w:r w:rsidRPr="00C531D7">
              <w:rPr>
                <w:rFonts w:ascii="Verdana" w:eastAsia="Calibri" w:hAnsi="Verdana" w:cs="Times New Roman"/>
                <w:i/>
                <w:sz w:val="20"/>
                <w:szCs w:val="20"/>
                <w:lang w:val="en-GB"/>
              </w:rPr>
              <w:t>Udruga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općina</w:t>
            </w:r>
            <w:proofErr w:type="spellEnd"/>
            <w:r w:rsidRPr="00C531D7">
              <w:rPr>
                <w:rFonts w:ascii="Verdana" w:eastAsia="Calibri" w:hAnsi="Verdana" w:cs="Times New Roman"/>
                <w:sz w:val="20"/>
                <w:szCs w:val="20"/>
                <w:lang w:val="en-GB"/>
              </w:rPr>
              <w:t xml:space="preserve">)  does not collect </w:t>
            </w:r>
            <w:r>
              <w:rPr>
                <w:rFonts w:ascii="Verdana" w:eastAsia="Calibri" w:hAnsi="Verdana" w:cs="Times New Roman"/>
                <w:sz w:val="20"/>
                <w:szCs w:val="20"/>
                <w:lang w:val="en-GB"/>
              </w:rPr>
              <w:t xml:space="preserve"> this </w:t>
            </w:r>
            <w:r w:rsidRPr="00C531D7">
              <w:rPr>
                <w:rFonts w:ascii="Verdana" w:eastAsia="Calibri" w:hAnsi="Verdana" w:cs="Times New Roman"/>
                <w:sz w:val="20"/>
                <w:szCs w:val="20"/>
                <w:lang w:val="en-GB"/>
              </w:rPr>
              <w:t>data, but surveyed its members upon request for this report.</w:t>
            </w:r>
            <w:r w:rsidRPr="00C531D7">
              <w:rPr>
                <w:rStyle w:val="FootnoteReference"/>
                <w:rFonts w:ascii="Verdana" w:hAnsi="Verdana" w:cs="Times New Roman"/>
                <w:sz w:val="20"/>
                <w:szCs w:val="20"/>
                <w:lang w:val="en-GB"/>
              </w:rPr>
              <w:footnoteReference w:id="68"/>
            </w:r>
            <w:r w:rsidRPr="00C531D7">
              <w:rPr>
                <w:rFonts w:ascii="Verdana" w:eastAsia="Calibri" w:hAnsi="Verdana" w:cs="Times New Roman"/>
                <w:sz w:val="20"/>
                <w:szCs w:val="20"/>
                <w:lang w:val="en-GB"/>
              </w:rPr>
              <w:t xml:space="preserve"> </w:t>
            </w:r>
          </w:p>
          <w:p w14:paraId="297E6087" w14:textId="77777777" w:rsidR="000309DC" w:rsidRDefault="000309DC" w:rsidP="00C531D7">
            <w:pPr>
              <w:spacing w:before="240"/>
              <w:contextualSpacing/>
              <w:jc w:val="both"/>
              <w:rPr>
                <w:rFonts w:ascii="Verdana" w:eastAsia="Calibri" w:hAnsi="Verdana" w:cs="Times New Roman"/>
                <w:sz w:val="20"/>
                <w:szCs w:val="20"/>
                <w:lang w:val="en-GB"/>
              </w:rPr>
            </w:pPr>
          </w:p>
          <w:p w14:paraId="5A8BD195" w14:textId="77777777" w:rsidR="000309DC"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t>They received 54 responses, out of 428 municipalities</w:t>
            </w:r>
            <w:r w:rsidRPr="00C531D7">
              <w:rPr>
                <w:rStyle w:val="FootnoteReference"/>
                <w:rFonts w:ascii="Verdana" w:eastAsia="Calibri" w:hAnsi="Verdana" w:cs="Times New Roman"/>
                <w:sz w:val="20"/>
                <w:szCs w:val="20"/>
                <w:lang w:val="en-GB"/>
              </w:rPr>
              <w:footnoteReference w:id="69"/>
            </w:r>
            <w:r>
              <w:rPr>
                <w:rFonts w:ascii="Verdana" w:eastAsia="Calibri" w:hAnsi="Verdana" w:cs="Times New Roman"/>
                <w:sz w:val="20"/>
                <w:szCs w:val="20"/>
                <w:lang w:val="en-GB"/>
              </w:rPr>
              <w:t>which is a</w:t>
            </w:r>
            <w:r w:rsidRPr="00C531D7">
              <w:rPr>
                <w:rFonts w:ascii="Verdana" w:eastAsia="Calibri" w:hAnsi="Verdana" w:cs="Times New Roman"/>
                <w:sz w:val="20"/>
                <w:szCs w:val="20"/>
                <w:lang w:val="en-GB"/>
              </w:rPr>
              <w:t xml:space="preserve"> response rate of 12,61%.</w:t>
            </w:r>
          </w:p>
          <w:p w14:paraId="736A4358" w14:textId="77777777" w:rsidR="000309DC" w:rsidRDefault="000309DC" w:rsidP="00C531D7">
            <w:pPr>
              <w:spacing w:before="240"/>
              <w:contextualSpacing/>
              <w:jc w:val="both"/>
              <w:rPr>
                <w:rFonts w:ascii="Verdana" w:eastAsia="Calibri" w:hAnsi="Verdana" w:cs="Times New Roman"/>
                <w:sz w:val="20"/>
                <w:szCs w:val="20"/>
                <w:lang w:val="en-GB"/>
              </w:rPr>
            </w:pPr>
          </w:p>
          <w:p w14:paraId="4DA25601" w14:textId="3CBFA3A1" w:rsidR="000309DC" w:rsidRPr="00C531D7" w:rsidRDefault="000309DC" w:rsidP="00C531D7">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Among responding municipalities</w:t>
            </w:r>
            <w:r>
              <w:rPr>
                <w:rFonts w:ascii="Verdana" w:eastAsia="Calibri" w:hAnsi="Verdana" w:cs="Times New Roman"/>
                <w:sz w:val="20"/>
                <w:szCs w:val="20"/>
                <w:lang w:val="en-GB"/>
              </w:rPr>
              <w:t>:</w:t>
            </w:r>
            <w:r w:rsidRPr="00C531D7">
              <w:rPr>
                <w:rFonts w:ascii="Verdana" w:eastAsia="Calibri" w:hAnsi="Verdana" w:cs="Times New Roman"/>
                <w:sz w:val="20"/>
                <w:szCs w:val="20"/>
                <w:lang w:val="en-GB"/>
              </w:rPr>
              <w:t xml:space="preserve"> 14 report</w:t>
            </w:r>
            <w:r>
              <w:rPr>
                <w:rFonts w:ascii="Verdana" w:eastAsia="Calibri" w:hAnsi="Verdana" w:cs="Times New Roman"/>
                <w:sz w:val="20"/>
                <w:szCs w:val="20"/>
                <w:lang w:val="en-GB"/>
              </w:rPr>
              <w:t>ed</w:t>
            </w:r>
            <w:r w:rsidRPr="00C531D7">
              <w:rPr>
                <w:rFonts w:ascii="Verdana" w:eastAsia="Calibri" w:hAnsi="Verdana" w:cs="Times New Roman"/>
                <w:sz w:val="20"/>
                <w:szCs w:val="20"/>
                <w:lang w:val="en-GB"/>
              </w:rPr>
              <w:t xml:space="preserve"> municipal buildings being fully accessible</w:t>
            </w:r>
            <w:r>
              <w:rPr>
                <w:rFonts w:ascii="Verdana" w:eastAsia="Calibri" w:hAnsi="Verdana" w:cs="Times New Roman"/>
                <w:sz w:val="20"/>
                <w:szCs w:val="20"/>
                <w:lang w:val="en-GB"/>
              </w:rPr>
              <w:t>,</w:t>
            </w:r>
            <w:r w:rsidRPr="00C531D7">
              <w:rPr>
                <w:rStyle w:val="FootnoteReference"/>
                <w:rFonts w:ascii="Verdana" w:eastAsia="Calibri" w:hAnsi="Verdana" w:cs="Times New Roman"/>
                <w:sz w:val="20"/>
                <w:szCs w:val="20"/>
                <w:lang w:val="en-GB"/>
              </w:rPr>
              <w:footnoteReference w:id="70"/>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10</w:t>
            </w:r>
            <w:r w:rsidRPr="00C531D7">
              <w:rPr>
                <w:rFonts w:ascii="Verdana" w:eastAsia="Calibri" w:hAnsi="Verdana" w:cs="Times New Roman"/>
                <w:sz w:val="20"/>
                <w:szCs w:val="20"/>
                <w:lang w:val="en-GB"/>
              </w:rPr>
              <w:t xml:space="preserve"> reported buildings being partially accessible, with the percentage ranging from about 10% to 90%</w:t>
            </w:r>
            <w:r>
              <w:rPr>
                <w:rFonts w:ascii="Verdana" w:eastAsia="Calibri" w:hAnsi="Verdana" w:cs="Times New Roman"/>
                <w:sz w:val="20"/>
                <w:szCs w:val="20"/>
                <w:lang w:val="en-GB"/>
              </w:rPr>
              <w:t xml:space="preserve"> and</w:t>
            </w:r>
            <w:r w:rsidRPr="00C531D7">
              <w:rPr>
                <w:rFonts w:ascii="Verdana" w:eastAsia="Calibri" w:hAnsi="Verdana" w:cs="Times New Roman"/>
                <w:sz w:val="20"/>
                <w:szCs w:val="20"/>
                <w:lang w:val="en-GB"/>
              </w:rPr>
              <w:t xml:space="preserve"> </w:t>
            </w:r>
            <w:r>
              <w:rPr>
                <w:rFonts w:ascii="Verdana" w:eastAsia="Calibri" w:hAnsi="Verdana" w:cs="Times New Roman"/>
                <w:sz w:val="20"/>
                <w:szCs w:val="20"/>
                <w:lang w:val="en-GB"/>
              </w:rPr>
              <w:t>i</w:t>
            </w:r>
            <w:r w:rsidRPr="00C531D7">
              <w:rPr>
                <w:rFonts w:ascii="Verdana" w:eastAsia="Calibri" w:hAnsi="Verdana" w:cs="Times New Roman"/>
                <w:sz w:val="20"/>
                <w:szCs w:val="20"/>
                <w:lang w:val="en-GB"/>
              </w:rPr>
              <w:t xml:space="preserve">n the remaining municipalities, municipal buildings are not accessible at all. One municipality reported that upon phone request, municipal employees met persons with disabilities in the accessible municipal hall. </w:t>
            </w:r>
            <w:r>
              <w:rPr>
                <w:rFonts w:ascii="Verdana" w:eastAsia="Calibri" w:hAnsi="Verdana" w:cs="Times New Roman"/>
                <w:sz w:val="20"/>
                <w:szCs w:val="20"/>
                <w:lang w:val="en-GB"/>
              </w:rPr>
              <w:t>Another</w:t>
            </w:r>
            <w:r w:rsidRPr="00C531D7">
              <w:rPr>
                <w:rFonts w:ascii="Verdana" w:eastAsia="Calibri" w:hAnsi="Verdana" w:cs="Times New Roman"/>
                <w:sz w:val="20"/>
                <w:szCs w:val="20"/>
                <w:lang w:val="en-GB"/>
              </w:rPr>
              <w:t xml:space="preserve"> municipality reported that the public library, located in the same building, has a ramp. Finally, </w:t>
            </w:r>
            <w:r>
              <w:rPr>
                <w:rFonts w:ascii="Verdana" w:eastAsia="Calibri" w:hAnsi="Verdana" w:cs="Times New Roman"/>
                <w:sz w:val="20"/>
                <w:szCs w:val="20"/>
                <w:lang w:val="en-GB"/>
              </w:rPr>
              <w:t>a</w:t>
            </w:r>
            <w:r w:rsidRPr="00C531D7">
              <w:rPr>
                <w:rFonts w:ascii="Verdana" w:eastAsia="Calibri" w:hAnsi="Verdana" w:cs="Times New Roman"/>
                <w:sz w:val="20"/>
                <w:szCs w:val="20"/>
                <w:lang w:val="en-GB"/>
              </w:rPr>
              <w:t xml:space="preserve"> municipality responded that municipal employees assist persons with disabilities to enter the offices in absence of the proper access.</w:t>
            </w:r>
            <w:r w:rsidRPr="00C531D7">
              <w:rPr>
                <w:rStyle w:val="FootnoteReference"/>
                <w:rFonts w:ascii="Verdana" w:eastAsia="Calibri" w:hAnsi="Verdana" w:cs="Times New Roman"/>
                <w:sz w:val="20"/>
                <w:szCs w:val="20"/>
                <w:lang w:val="en-GB"/>
              </w:rPr>
              <w:footnoteReference w:id="71"/>
            </w:r>
          </w:p>
        </w:tc>
      </w:tr>
      <w:tr w:rsidR="000309DC" w:rsidRPr="00C531D7" w14:paraId="4D410449" w14:textId="77777777" w:rsidTr="000309DC">
        <w:trPr>
          <w:trHeight w:val="454"/>
        </w:trPr>
        <w:tc>
          <w:tcPr>
            <w:tcW w:w="1443" w:type="pct"/>
            <w:shd w:val="clear" w:color="auto" w:fill="auto"/>
            <w:vAlign w:val="center"/>
          </w:tcPr>
          <w:p w14:paraId="1E4395B0" w14:textId="46208B33" w:rsidR="000309DC" w:rsidRPr="00C531D7" w:rsidRDefault="000309DC" w:rsidP="000309DC">
            <w:pPr>
              <w:spacing w:before="240"/>
              <w:contextualSpacing/>
              <w:jc w:val="both"/>
              <w:rPr>
                <w:rFonts w:ascii="Verdana" w:eastAsia="Calibri" w:hAnsi="Verdana" w:cs="Times New Roman"/>
                <w:sz w:val="20"/>
                <w:szCs w:val="20"/>
                <w:lang w:val="en-GB"/>
              </w:rPr>
            </w:pPr>
            <w:r w:rsidRPr="00C531D7">
              <w:rPr>
                <w:rFonts w:ascii="Verdana" w:eastAsia="Calibri" w:hAnsi="Verdana" w:cs="Times New Roman"/>
                <w:sz w:val="20"/>
                <w:szCs w:val="20"/>
                <w:lang w:val="en-GB"/>
              </w:rPr>
              <w:lastRenderedPageBreak/>
              <w:t>How many complaints related to infringements of the right to political participation of persons with disabilities were recorded in 2012? What proportion of these complaints was successful?</w:t>
            </w:r>
          </w:p>
        </w:tc>
        <w:tc>
          <w:tcPr>
            <w:tcW w:w="3557" w:type="pct"/>
            <w:vAlign w:val="center"/>
          </w:tcPr>
          <w:p w14:paraId="52056492" w14:textId="40E7E460" w:rsidR="000309DC" w:rsidRDefault="000309DC" w:rsidP="0031425C">
            <w:pPr>
              <w:spacing w:before="240"/>
              <w:contextualSpacing/>
              <w:jc w:val="both"/>
              <w:rPr>
                <w:rFonts w:ascii="Verdana" w:hAnsi="Verdana" w:cs="Times New Roman"/>
                <w:sz w:val="20"/>
                <w:szCs w:val="20"/>
                <w:lang w:val="en-GB"/>
              </w:rPr>
            </w:pPr>
            <w:r>
              <w:rPr>
                <w:rFonts w:ascii="Verdana" w:eastAsia="Calibri" w:hAnsi="Verdana" w:cs="Times New Roman"/>
                <w:sz w:val="20"/>
                <w:szCs w:val="20"/>
                <w:lang w:val="en-GB"/>
              </w:rPr>
              <w:t>N</w:t>
            </w:r>
            <w:r w:rsidRPr="00C531D7">
              <w:rPr>
                <w:rFonts w:ascii="Verdana" w:eastAsia="Calibri" w:hAnsi="Verdana" w:cs="Times New Roman"/>
                <w:sz w:val="20"/>
                <w:szCs w:val="20"/>
                <w:lang w:val="en-GB"/>
              </w:rPr>
              <w:t xml:space="preserve">o complaints related to infringements of the right to political participation of persons with disabilities were recorded in 2012. In relation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 xml:space="preserve">local elections of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19</w:t>
            </w:r>
            <w:r w:rsidRPr="00B46A6B">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w:t>
            </w:r>
            <w:r>
              <w:rPr>
                <w:rFonts w:ascii="Verdana" w:eastAsia="Calibri" w:hAnsi="Verdana" w:cs="Times New Roman"/>
                <w:sz w:val="20"/>
                <w:szCs w:val="20"/>
                <w:lang w:val="en-GB"/>
              </w:rPr>
              <w:t xml:space="preserve"> 2013</w:t>
            </w:r>
            <w:r w:rsidRPr="00C531D7">
              <w:rPr>
                <w:rFonts w:ascii="Verdana" w:eastAsia="Calibri" w:hAnsi="Verdana" w:cs="Times New Roman"/>
                <w:sz w:val="20"/>
                <w:szCs w:val="20"/>
                <w:lang w:val="en-GB"/>
              </w:rPr>
              <w:t>, tw</w:t>
            </w:r>
            <w:r w:rsidRPr="00C531D7">
              <w:rPr>
                <w:rFonts w:ascii="Verdana" w:hAnsi="Verdana" w:cs="Times New Roman"/>
                <w:sz w:val="20"/>
                <w:szCs w:val="20"/>
                <w:lang w:val="en-GB"/>
              </w:rPr>
              <w:t>o such complaints were recorded but, a</w:t>
            </w:r>
            <w:r w:rsidRPr="00C531D7">
              <w:rPr>
                <w:rFonts w:ascii="Verdana" w:eastAsia="Calibri" w:hAnsi="Verdana" w:cs="Times New Roman"/>
                <w:sz w:val="20"/>
                <w:szCs w:val="20"/>
                <w:lang w:val="en-GB"/>
              </w:rPr>
              <w:t xml:space="preserve">ccording to the NEC,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complaints were not lodged in time for the problem to be redressed.</w:t>
            </w:r>
            <w:r w:rsidRPr="00C531D7">
              <w:rPr>
                <w:rFonts w:ascii="Verdana" w:hAnsi="Verdana" w:cs="Times New Roman"/>
                <w:sz w:val="20"/>
                <w:szCs w:val="20"/>
                <w:lang w:val="en-GB"/>
              </w:rPr>
              <w:t xml:space="preserve"> </w:t>
            </w:r>
          </w:p>
          <w:p w14:paraId="33F02462" w14:textId="77777777" w:rsidR="000309DC" w:rsidRDefault="000309DC" w:rsidP="0031425C">
            <w:pPr>
              <w:spacing w:before="240"/>
              <w:contextualSpacing/>
              <w:jc w:val="both"/>
              <w:rPr>
                <w:rFonts w:ascii="Verdana" w:hAnsi="Verdana" w:cs="Times New Roman"/>
                <w:sz w:val="20"/>
                <w:szCs w:val="20"/>
                <w:lang w:val="en-GB"/>
              </w:rPr>
            </w:pPr>
          </w:p>
          <w:p w14:paraId="3BCA2297" w14:textId="1B31119E" w:rsidR="000309DC" w:rsidRPr="000A2BD1" w:rsidRDefault="000309DC" w:rsidP="0031425C">
            <w:pPr>
              <w:spacing w:before="240"/>
              <w:contextualSpacing/>
              <w:jc w:val="both"/>
            </w:pPr>
            <w:r>
              <w:rPr>
                <w:rFonts w:ascii="Verdana" w:hAnsi="Verdana" w:cs="Times New Roman"/>
                <w:sz w:val="20"/>
                <w:szCs w:val="20"/>
                <w:lang w:val="en-GB"/>
              </w:rPr>
              <w:t xml:space="preserve">The </w:t>
            </w:r>
            <w:r w:rsidRPr="00C531D7">
              <w:rPr>
                <w:rFonts w:ascii="Verdana" w:eastAsia="Calibri" w:hAnsi="Verdana" w:cs="Times New Roman"/>
                <w:sz w:val="20"/>
                <w:szCs w:val="20"/>
                <w:lang w:val="en-GB"/>
              </w:rPr>
              <w:t xml:space="preserve">Office of the Ombudswoman for Persons with Disabilities received the same two complaints. The Office communicated its written recommendation </w:t>
            </w:r>
            <w:r>
              <w:rPr>
                <w:rFonts w:ascii="Verdana" w:eastAsia="Calibri" w:hAnsi="Verdana" w:cs="Times New Roman"/>
                <w:sz w:val="20"/>
                <w:szCs w:val="20"/>
                <w:lang w:val="en-GB"/>
              </w:rPr>
              <w:t xml:space="preserve">to the NEC </w:t>
            </w:r>
            <w:r w:rsidRPr="00C531D7">
              <w:rPr>
                <w:rFonts w:ascii="Verdana" w:eastAsia="Calibri" w:hAnsi="Verdana" w:cs="Times New Roman"/>
                <w:sz w:val="20"/>
                <w:szCs w:val="20"/>
                <w:lang w:val="en-GB"/>
              </w:rPr>
              <w:t>in order to prevent infringements in future elections.</w:t>
            </w:r>
          </w:p>
          <w:p w14:paraId="7AFF504A" w14:textId="77777777" w:rsidR="000309DC" w:rsidRPr="00C531D7" w:rsidRDefault="000309DC" w:rsidP="00C531D7">
            <w:pPr>
              <w:spacing w:before="240"/>
              <w:contextualSpacing/>
              <w:jc w:val="both"/>
              <w:rPr>
                <w:rFonts w:ascii="Verdana" w:eastAsia="Calibri" w:hAnsi="Verdana" w:cs="Times New Roman"/>
                <w:sz w:val="20"/>
                <w:szCs w:val="20"/>
                <w:lang w:val="en-GB"/>
              </w:rPr>
            </w:pPr>
          </w:p>
          <w:p w14:paraId="4936900C" w14:textId="447D8C9A" w:rsidR="000309DC" w:rsidRPr="00C531D7" w:rsidRDefault="000309DC" w:rsidP="00C531D7">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Furthermore, the </w:t>
            </w:r>
            <w:r w:rsidRPr="00C531D7">
              <w:rPr>
                <w:rFonts w:ascii="Verdana" w:eastAsia="Calibri" w:hAnsi="Verdana" w:cs="Times New Roman"/>
                <w:sz w:val="20"/>
                <w:szCs w:val="20"/>
                <w:lang w:val="en-GB"/>
              </w:rPr>
              <w:t>Croatian Union of Associations of Persons with Disabilities (</w:t>
            </w:r>
            <w:proofErr w:type="spellStart"/>
            <w:r w:rsidRPr="00C531D7">
              <w:rPr>
                <w:rFonts w:ascii="Verdana" w:eastAsia="Calibri" w:hAnsi="Verdana" w:cs="Times New Roman"/>
                <w:i/>
                <w:sz w:val="20"/>
                <w:szCs w:val="20"/>
                <w:lang w:val="en-GB"/>
              </w:rPr>
              <w:t>Zajednica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saveza</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osoba</w:t>
            </w:r>
            <w:proofErr w:type="spellEnd"/>
            <w:r w:rsidRPr="00C531D7">
              <w:rPr>
                <w:rFonts w:ascii="Verdana" w:eastAsia="Calibri" w:hAnsi="Verdana" w:cs="Times New Roman"/>
                <w:i/>
                <w:sz w:val="20"/>
                <w:szCs w:val="20"/>
                <w:lang w:val="en-GB"/>
              </w:rPr>
              <w:t xml:space="preserve"> s </w:t>
            </w:r>
            <w:proofErr w:type="spellStart"/>
            <w:r w:rsidRPr="00C531D7">
              <w:rPr>
                <w:rFonts w:ascii="Verdana" w:eastAsia="Calibri" w:hAnsi="Verdana" w:cs="Times New Roman"/>
                <w:i/>
                <w:sz w:val="20"/>
                <w:szCs w:val="20"/>
                <w:lang w:val="en-GB"/>
              </w:rPr>
              <w:t>invaliditetom</w:t>
            </w:r>
            <w:proofErr w:type="spellEnd"/>
            <w:r w:rsidRPr="00C531D7">
              <w:rPr>
                <w:rFonts w:ascii="Verdana" w:eastAsia="Calibri" w:hAnsi="Verdana" w:cs="Times New Roman"/>
                <w:i/>
                <w:sz w:val="20"/>
                <w:szCs w:val="20"/>
                <w:lang w:val="en-GB"/>
              </w:rPr>
              <w:t xml:space="preserve"> </w:t>
            </w:r>
            <w:proofErr w:type="spellStart"/>
            <w:r w:rsidRPr="00C531D7">
              <w:rPr>
                <w:rFonts w:ascii="Verdana" w:eastAsia="Calibri" w:hAnsi="Verdana" w:cs="Times New Roman"/>
                <w:i/>
                <w:sz w:val="20"/>
                <w:szCs w:val="20"/>
                <w:lang w:val="en-GB"/>
              </w:rPr>
              <w:t>Hrvatske</w:t>
            </w:r>
            <w:proofErr w:type="spellEnd"/>
            <w:r w:rsidRPr="00C531D7">
              <w:rPr>
                <w:rFonts w:ascii="Verdana" w:eastAsia="Calibri" w:hAnsi="Verdana" w:cs="Times New Roman"/>
                <w:i/>
                <w:sz w:val="20"/>
                <w:szCs w:val="20"/>
                <w:lang w:val="en-GB"/>
              </w:rPr>
              <w:t xml:space="preserve"> (SOIH)</w:t>
            </w:r>
            <w:r w:rsidRPr="00C531D7">
              <w:rPr>
                <w:rFonts w:ascii="Verdana" w:eastAsia="Calibri" w:hAnsi="Verdana" w:cs="Times New Roman"/>
                <w:sz w:val="20"/>
                <w:szCs w:val="20"/>
                <w:lang w:val="en-GB"/>
              </w:rPr>
              <w:t>) has not received any complaints in 2012, in relation to either 2013 European Parliament or local elections.</w:t>
            </w:r>
            <w:r w:rsidRPr="00C531D7">
              <w:rPr>
                <w:rStyle w:val="FootnoteReference"/>
                <w:rFonts w:ascii="Verdana" w:eastAsia="Calibri" w:hAnsi="Verdana" w:cs="Times New Roman"/>
                <w:sz w:val="20"/>
                <w:szCs w:val="20"/>
                <w:lang w:val="en-GB"/>
              </w:rPr>
              <w:footnoteReference w:id="72"/>
            </w:r>
          </w:p>
        </w:tc>
      </w:tr>
    </w:tbl>
    <w:p w14:paraId="4B24348C" w14:textId="77777777" w:rsidR="00D2526D" w:rsidRPr="006666E8" w:rsidRDefault="00D2526D" w:rsidP="00C531D7">
      <w:pPr>
        <w:spacing w:before="240" w:line="240" w:lineRule="auto"/>
        <w:jc w:val="both"/>
        <w:rPr>
          <w:rFonts w:ascii="Times New Roman" w:hAnsi="Times New Roman" w:cs="Times New Roman"/>
          <w:lang w:val="en-GB"/>
        </w:rPr>
      </w:pPr>
    </w:p>
    <w:sectPr w:rsidR="00D2526D" w:rsidRPr="006666E8" w:rsidSect="00C531D7">
      <w:headerReference w:type="default" r:id="rId14"/>
      <w:footerReference w:type="default" r:id="rId15"/>
      <w:footerReference w:type="first" r:id="rId16"/>
      <w:pgSz w:w="16838" w:h="11906" w:orient="landscape"/>
      <w:pgMar w:top="1134" w:right="1514" w:bottom="1416"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C2DE8" w14:textId="77777777" w:rsidR="003B5FF9" w:rsidRDefault="003B5FF9" w:rsidP="00912C69">
      <w:pPr>
        <w:spacing w:after="0" w:line="240" w:lineRule="auto"/>
      </w:pPr>
      <w:r>
        <w:separator/>
      </w:r>
    </w:p>
  </w:endnote>
  <w:endnote w:type="continuationSeparator" w:id="0">
    <w:p w14:paraId="13909551" w14:textId="77777777" w:rsidR="003B5FF9" w:rsidRDefault="003B5FF9"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493" w14:textId="77777777" w:rsidR="006D617A" w:rsidRDefault="006D617A">
    <w:pPr>
      <w:pStyle w:val="Footer"/>
      <w:ind w:left="1080"/>
      <w:jc w:val="right"/>
    </w:pPr>
    <w:r>
      <w:fldChar w:fldCharType="begin"/>
    </w:r>
    <w:r>
      <w:instrText xml:space="preserve"> PAGE   \* MERGEFORMAT </w:instrText>
    </w:r>
    <w:r>
      <w:fldChar w:fldCharType="separate"/>
    </w:r>
    <w:r w:rsidR="0075708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494" w14:textId="77777777" w:rsidR="006D617A" w:rsidRDefault="006D617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650DE" w14:textId="77777777" w:rsidR="003B5FF9" w:rsidRDefault="003B5FF9" w:rsidP="00912C69">
      <w:pPr>
        <w:spacing w:after="0" w:line="240" w:lineRule="auto"/>
      </w:pPr>
      <w:r>
        <w:separator/>
      </w:r>
    </w:p>
  </w:footnote>
  <w:footnote w:type="continuationSeparator" w:id="0">
    <w:p w14:paraId="3B0A3DBD" w14:textId="77777777" w:rsidR="003B5FF9" w:rsidRDefault="003B5FF9" w:rsidP="00912C69">
      <w:pPr>
        <w:spacing w:after="0" w:line="240" w:lineRule="auto"/>
      </w:pPr>
      <w:r>
        <w:continuationSeparator/>
      </w:r>
    </w:p>
  </w:footnote>
  <w:footnote w:id="1">
    <w:p w14:paraId="6002447B" w14:textId="6295CC8B" w:rsidR="000309DC" w:rsidRDefault="000309DC">
      <w:pPr>
        <w:pStyle w:val="FootnoteText"/>
      </w:pPr>
      <w:r>
        <w:rPr>
          <w:rStyle w:val="FootnoteReference"/>
        </w:rPr>
        <w:footnoteRef/>
      </w:r>
      <w:hyperlink r:id="rId1" w:history="1">
        <w:r w:rsidRPr="00C531D7">
          <w:rPr>
            <w:rStyle w:val="Hyperlink"/>
            <w:rFonts w:cstheme="minorHAnsi"/>
          </w:rPr>
          <w:t>http://www.un.org/disabilities/countries.asp?navid=12&amp;pid=166</w:t>
        </w:r>
      </w:hyperlink>
      <w:r w:rsidRPr="00C531D7">
        <w:rPr>
          <w:rStyle w:val="Hyperlink"/>
          <w:rFonts w:cstheme="minorHAnsi"/>
          <w:u w:val="none"/>
        </w:rPr>
        <w:t xml:space="preserve">; </w:t>
      </w:r>
      <w:hyperlink r:id="rId2" w:history="1">
        <w:r w:rsidRPr="00C531D7">
          <w:rPr>
            <w:rStyle w:val="Hyperlink"/>
            <w:rFonts w:cstheme="minorHAnsi"/>
          </w:rPr>
          <w:t>http://treaties.un.org/Pages/ViewDetails.aspx?src=TREATY&amp;mtdsg_no=IV-15&amp;chapter=4&amp;lang=en</w:t>
        </w:r>
      </w:hyperlink>
    </w:p>
  </w:footnote>
  <w:footnote w:id="2">
    <w:p w14:paraId="284852C9" w14:textId="77777777" w:rsidR="000309DC" w:rsidRDefault="000309DC" w:rsidP="00C531D7">
      <w:pPr>
        <w:pStyle w:val="FootnoteText"/>
      </w:pPr>
      <w:r>
        <w:rPr>
          <w:rStyle w:val="FootnoteReference"/>
        </w:rPr>
        <w:footnoteRef/>
      </w:r>
      <w:hyperlink r:id="rId3" w:history="1">
        <w:r w:rsidRPr="00C531D7">
          <w:rPr>
            <w:rStyle w:val="Hyperlink"/>
            <w:rFonts w:cstheme="minorHAnsi"/>
          </w:rPr>
          <w:t>http://www.un.org/disabilities/countries.asp?navid=12&amp;pid=166</w:t>
        </w:r>
      </w:hyperlink>
      <w:r w:rsidRPr="00C531D7">
        <w:rPr>
          <w:rStyle w:val="Hyperlink"/>
          <w:rFonts w:cstheme="minorHAnsi"/>
          <w:u w:val="none"/>
        </w:rPr>
        <w:t xml:space="preserve">; </w:t>
      </w:r>
      <w:hyperlink r:id="rId4" w:history="1">
        <w:r w:rsidRPr="00C531D7">
          <w:rPr>
            <w:rStyle w:val="Hyperlink"/>
            <w:rFonts w:cstheme="minorHAnsi"/>
          </w:rPr>
          <w:t>http://treaties.un.org/Pages/ViewDetails.aspx?src=TREATY&amp;mtdsg_no=IV-15&amp;chapter=4&amp;lang=en</w:t>
        </w:r>
      </w:hyperlink>
    </w:p>
  </w:footnote>
  <w:footnote w:id="3">
    <w:p w14:paraId="22CABBE4" w14:textId="77777777" w:rsidR="000309DC" w:rsidRDefault="000309DC" w:rsidP="00C531D7">
      <w:pPr>
        <w:pStyle w:val="FootnoteText"/>
      </w:pPr>
      <w:r>
        <w:rPr>
          <w:rStyle w:val="FootnoteReference"/>
        </w:rPr>
        <w:footnoteRef/>
      </w:r>
      <w:hyperlink r:id="rId5" w:history="1">
        <w:r w:rsidRPr="00C531D7">
          <w:rPr>
            <w:rStyle w:val="Hyperlink"/>
            <w:rFonts w:cstheme="minorHAnsi"/>
          </w:rPr>
          <w:t>http://www.un.org/disabilities/countries.asp?navid=12&amp;pid=166</w:t>
        </w:r>
      </w:hyperlink>
      <w:r w:rsidRPr="00C531D7">
        <w:rPr>
          <w:rStyle w:val="Hyperlink"/>
          <w:rFonts w:cstheme="minorHAnsi"/>
          <w:u w:val="none"/>
        </w:rPr>
        <w:t xml:space="preserve">; </w:t>
      </w:r>
      <w:hyperlink r:id="rId6" w:history="1">
        <w:r w:rsidRPr="00C531D7">
          <w:rPr>
            <w:rStyle w:val="Hyperlink"/>
            <w:rFonts w:cstheme="minorHAnsi"/>
          </w:rPr>
          <w:t>http://treaties.un.org/Pages/ViewDetails.aspx?src=TREATY&amp;mtdsg_no=IV-15&amp;chapter=4&amp;lang=en</w:t>
        </w:r>
      </w:hyperlink>
    </w:p>
  </w:footnote>
  <w:footnote w:id="4">
    <w:p w14:paraId="14B63A88" w14:textId="77777777" w:rsidR="000309DC" w:rsidRPr="00C531D7" w:rsidRDefault="000309DC" w:rsidP="00C531D7">
      <w:pPr>
        <w:pStyle w:val="FootnoteText"/>
        <w:jc w:val="both"/>
        <w:rPr>
          <w:rFonts w:cs="Times New Roman"/>
        </w:rPr>
      </w:pPr>
      <w:r w:rsidRPr="00C531D7">
        <w:rPr>
          <w:rStyle w:val="FootnoteReference"/>
          <w:rFonts w:cs="Times New Roman"/>
        </w:rPr>
        <w:footnoteRef/>
      </w:r>
      <w:r w:rsidRPr="00C531D7">
        <w:rPr>
          <w:rFonts w:cs="Times New Roman"/>
        </w:rPr>
        <w:t xml:space="preserve"> Croatia (2010), Act on the Elections of Representatives from the Republic of Croatia to the European Parliament (</w:t>
      </w:r>
      <w:proofErr w:type="spellStart"/>
      <w:r w:rsidRPr="00C531D7">
        <w:rPr>
          <w:rFonts w:cs="Times New Roman"/>
          <w:i/>
        </w:rPr>
        <w:t>Zakon</w:t>
      </w:r>
      <w:proofErr w:type="spellEnd"/>
      <w:r w:rsidRPr="00C531D7">
        <w:rPr>
          <w:rFonts w:cs="Times New Roman"/>
          <w:i/>
        </w:rPr>
        <w:t xml:space="preserve"> o </w:t>
      </w:r>
      <w:proofErr w:type="spellStart"/>
      <w:r w:rsidRPr="00C531D7">
        <w:rPr>
          <w:rFonts w:cs="Times New Roman"/>
          <w:i/>
        </w:rPr>
        <w:t>izborima</w:t>
      </w:r>
      <w:proofErr w:type="spellEnd"/>
      <w:r w:rsidRPr="00C531D7">
        <w:rPr>
          <w:rFonts w:cs="Times New Roman"/>
          <w:i/>
        </w:rPr>
        <w:t xml:space="preserve"> </w:t>
      </w:r>
      <w:proofErr w:type="spellStart"/>
      <w:r w:rsidRPr="00C531D7">
        <w:rPr>
          <w:rFonts w:cs="Times New Roman"/>
          <w:i/>
        </w:rPr>
        <w:t>zastupnika</w:t>
      </w:r>
      <w:proofErr w:type="spellEnd"/>
      <w:r w:rsidRPr="00C531D7">
        <w:rPr>
          <w:rFonts w:cs="Times New Roman"/>
          <w:i/>
        </w:rPr>
        <w:t xml:space="preserve"> </w:t>
      </w:r>
      <w:proofErr w:type="spellStart"/>
      <w:r w:rsidRPr="00C531D7">
        <w:rPr>
          <w:rFonts w:cs="Times New Roman"/>
          <w:i/>
        </w:rPr>
        <w:t>iz</w:t>
      </w:r>
      <w:proofErr w:type="spellEnd"/>
      <w:r w:rsidRPr="00C531D7">
        <w:rPr>
          <w:rFonts w:cs="Times New Roman"/>
          <w:i/>
        </w:rPr>
        <w:t xml:space="preserve"> </w:t>
      </w:r>
      <w:proofErr w:type="spellStart"/>
      <w:r w:rsidRPr="00C531D7">
        <w:rPr>
          <w:rFonts w:cs="Times New Roman"/>
          <w:i/>
        </w:rPr>
        <w:t>Republike</w:t>
      </w:r>
      <w:proofErr w:type="spellEnd"/>
      <w:r w:rsidRPr="00C531D7">
        <w:rPr>
          <w:rFonts w:cs="Times New Roman"/>
          <w:i/>
        </w:rPr>
        <w:t xml:space="preserve"> </w:t>
      </w:r>
      <w:proofErr w:type="spellStart"/>
      <w:r w:rsidRPr="00C531D7">
        <w:rPr>
          <w:rFonts w:cs="Times New Roman"/>
          <w:i/>
        </w:rPr>
        <w:t>Hrvatske</w:t>
      </w:r>
      <w:proofErr w:type="spellEnd"/>
      <w:r w:rsidRPr="00C531D7">
        <w:rPr>
          <w:rFonts w:cs="Times New Roman"/>
          <w:i/>
        </w:rPr>
        <w:t xml:space="preserve"> u </w:t>
      </w:r>
      <w:proofErr w:type="spellStart"/>
      <w:r w:rsidRPr="00C531D7">
        <w:rPr>
          <w:rFonts w:cs="Times New Roman"/>
          <w:i/>
        </w:rPr>
        <w:t>Europski</w:t>
      </w:r>
      <w:proofErr w:type="spellEnd"/>
      <w:r w:rsidRPr="00C531D7">
        <w:rPr>
          <w:rFonts w:cs="Times New Roman"/>
          <w:i/>
        </w:rPr>
        <w:t xml:space="preserve"> </w:t>
      </w:r>
      <w:proofErr w:type="spellStart"/>
      <w:r w:rsidRPr="00C531D7">
        <w:rPr>
          <w:rFonts w:cs="Times New Roman"/>
          <w:i/>
        </w:rPr>
        <w:t>parlament</w:t>
      </w:r>
      <w:proofErr w:type="spellEnd"/>
      <w:r w:rsidRPr="00C531D7">
        <w:rPr>
          <w:rFonts w:cs="Times New Roman"/>
        </w:rPr>
        <w:t>), 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xml:space="preserve">) No. 92/10; No. 23/13. Available in Croatian at: </w:t>
      </w:r>
      <w:hyperlink r:id="rId7" w:history="1">
        <w:r w:rsidRPr="00C531D7">
          <w:rPr>
            <w:rStyle w:val="Hyperlink"/>
            <w:rFonts w:cs="Times New Roman"/>
          </w:rPr>
          <w:t>http://narodne-novine.nn.hr/clanci/sluzbeni/2010_07_92_2591.html</w:t>
        </w:r>
      </w:hyperlink>
      <w:r w:rsidRPr="00C531D7">
        <w:rPr>
          <w:rFonts w:cs="Times New Roman"/>
        </w:rPr>
        <w:t xml:space="preserve"> and </w:t>
      </w:r>
      <w:hyperlink r:id="rId8" w:history="1">
        <w:r w:rsidRPr="00C531D7">
          <w:rPr>
            <w:rStyle w:val="Hyperlink"/>
            <w:rFonts w:cs="Times New Roman"/>
          </w:rPr>
          <w:t>http://narodne-novine.nn.hr/clanci/sluzbeni/2013_02_23_382.html</w:t>
        </w:r>
      </w:hyperlink>
      <w:r w:rsidRPr="00C531D7">
        <w:rPr>
          <w:rFonts w:cs="Times New Roman"/>
        </w:rPr>
        <w:t xml:space="preserve"> (all links last accessed on 2 August 2013).</w:t>
      </w:r>
    </w:p>
  </w:footnote>
  <w:footnote w:id="5">
    <w:p w14:paraId="349824F4" w14:textId="77777777" w:rsidR="000309DC" w:rsidRPr="00C531D7" w:rsidRDefault="000309DC" w:rsidP="00F466E0">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w:t>
      </w:r>
      <w:r w:rsidRPr="00C531D7">
        <w:rPr>
          <w:rFonts w:asciiTheme="minorHAnsi" w:hAnsiTheme="minorHAnsi" w:cs="Times New Roman"/>
          <w:sz w:val="20"/>
          <w:szCs w:val="20"/>
          <w:lang w:val="en-GB"/>
        </w:rPr>
        <w:t xml:space="preserve">Proposal of the Act on Amendments to the Act </w:t>
      </w:r>
      <w:r w:rsidRPr="00C531D7">
        <w:rPr>
          <w:rFonts w:asciiTheme="minorHAnsi" w:hAnsiTheme="minorHAnsi" w:cs="Times New Roman"/>
          <w:sz w:val="20"/>
          <w:szCs w:val="20"/>
        </w:rPr>
        <w:t>on the Elections of Representatives from the Republic of Croatia to the European Parliament (</w:t>
      </w:r>
      <w:proofErr w:type="spellStart"/>
      <w:r w:rsidRPr="00C531D7">
        <w:rPr>
          <w:rFonts w:asciiTheme="minorHAnsi" w:hAnsiTheme="minorHAnsi" w:cs="Times New Roman"/>
          <w:i/>
          <w:sz w:val="20"/>
          <w:szCs w:val="20"/>
        </w:rPr>
        <w:t>Prijedlog</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zakona</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izmjenama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dopunama</w:t>
      </w:r>
      <w:proofErr w:type="spellEnd"/>
      <w:r w:rsidRPr="00C531D7">
        <w:rPr>
          <w:rFonts w:asciiTheme="minorHAnsi" w:hAnsiTheme="minorHAnsi" w:cs="Times New Roman"/>
          <w:sz w:val="20"/>
          <w:szCs w:val="20"/>
        </w:rPr>
        <w:t xml:space="preserve"> </w:t>
      </w:r>
      <w:proofErr w:type="spellStart"/>
      <w:r w:rsidRPr="00C531D7">
        <w:rPr>
          <w:rFonts w:asciiTheme="minorHAnsi" w:hAnsiTheme="minorHAnsi" w:cs="Times New Roman"/>
          <w:i/>
          <w:sz w:val="20"/>
          <w:szCs w:val="20"/>
        </w:rPr>
        <w:t>Zakona</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izborima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zastupnika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iz</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Republike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Hrvatske</w:t>
      </w:r>
      <w:proofErr w:type="spellEnd"/>
      <w:r w:rsidRPr="00C531D7">
        <w:rPr>
          <w:rFonts w:asciiTheme="minorHAnsi" w:hAnsiTheme="minorHAnsi" w:cs="Times New Roman"/>
          <w:i/>
          <w:sz w:val="20"/>
          <w:szCs w:val="20"/>
        </w:rPr>
        <w:t xml:space="preserve"> u </w:t>
      </w:r>
      <w:proofErr w:type="spellStart"/>
      <w:r w:rsidRPr="00C531D7">
        <w:rPr>
          <w:rFonts w:asciiTheme="minorHAnsi" w:hAnsiTheme="minorHAnsi" w:cs="Times New Roman"/>
          <w:i/>
          <w:sz w:val="20"/>
          <w:szCs w:val="20"/>
        </w:rPr>
        <w:t>Europski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parlament</w:t>
      </w:r>
      <w:proofErr w:type="spellEnd"/>
      <w:r w:rsidRPr="00C531D7">
        <w:rPr>
          <w:rFonts w:asciiTheme="minorHAnsi" w:hAnsiTheme="minorHAnsi" w:cs="Times New Roman"/>
          <w:sz w:val="20"/>
          <w:szCs w:val="20"/>
        </w:rPr>
        <w:t>) (2013) available at: www.sabor.hr/prijedlog-zakona-o-izmjenama-i-dopunama-zakona-o-i.</w:t>
      </w:r>
    </w:p>
  </w:footnote>
  <w:footnote w:id="6">
    <w:p w14:paraId="2DF03C03" w14:textId="77777777" w:rsidR="000309DC" w:rsidRPr="00C531D7" w:rsidRDefault="000309DC" w:rsidP="00C531D7">
      <w:pPr>
        <w:spacing w:after="0"/>
        <w:jc w:val="both"/>
        <w:rPr>
          <w:rFonts w:cs="Times New Roman"/>
          <w:sz w:val="20"/>
          <w:szCs w:val="20"/>
        </w:rPr>
      </w:pPr>
      <w:r w:rsidRPr="00C531D7">
        <w:rPr>
          <w:rStyle w:val="FootnoteReference"/>
          <w:rFonts w:cs="Times New Roman"/>
          <w:sz w:val="20"/>
          <w:szCs w:val="20"/>
        </w:rPr>
        <w:footnoteRef/>
      </w:r>
      <w:r w:rsidRPr="00C531D7">
        <w:rPr>
          <w:rFonts w:cs="Times New Roman"/>
          <w:sz w:val="20"/>
          <w:szCs w:val="20"/>
        </w:rPr>
        <w:t xml:space="preserve"> </w:t>
      </w:r>
      <w:proofErr w:type="gramStart"/>
      <w:r w:rsidRPr="00C531D7">
        <w:rPr>
          <w:rFonts w:cs="Times New Roman"/>
          <w:sz w:val="20"/>
          <w:szCs w:val="20"/>
        </w:rPr>
        <w:t>Croatia (2012) Act on Local Elections (</w:t>
      </w:r>
      <w:r w:rsidRPr="00C531D7">
        <w:rPr>
          <w:rFonts w:cs="Times New Roman"/>
          <w:i/>
          <w:sz w:val="20"/>
          <w:szCs w:val="20"/>
          <w:lang w:val="hr-HR"/>
        </w:rPr>
        <w:t>Zakon o lokalnim izborima</w:t>
      </w:r>
      <w:r w:rsidRPr="00C531D7">
        <w:rPr>
          <w:rFonts w:cs="Times New Roman"/>
          <w:sz w:val="20"/>
          <w:szCs w:val="20"/>
          <w:lang w:val="hr-HR"/>
        </w:rPr>
        <w:t xml:space="preserve">), </w:t>
      </w:r>
      <w:r w:rsidRPr="00C531D7">
        <w:rPr>
          <w:rFonts w:cs="Times New Roman"/>
          <w:sz w:val="20"/>
          <w:szCs w:val="20"/>
        </w:rPr>
        <w:t>Official Gazette (</w:t>
      </w:r>
      <w:proofErr w:type="spellStart"/>
      <w:r w:rsidRPr="00C531D7">
        <w:rPr>
          <w:rFonts w:cs="Times New Roman"/>
          <w:i/>
          <w:sz w:val="20"/>
          <w:szCs w:val="20"/>
        </w:rPr>
        <w:t>Narodne</w:t>
      </w:r>
      <w:proofErr w:type="spellEnd"/>
      <w:r w:rsidRPr="00C531D7">
        <w:rPr>
          <w:rFonts w:cs="Times New Roman"/>
          <w:i/>
          <w:sz w:val="20"/>
          <w:szCs w:val="20"/>
        </w:rPr>
        <w:t xml:space="preserve"> </w:t>
      </w:r>
      <w:proofErr w:type="spellStart"/>
      <w:r w:rsidRPr="00C531D7">
        <w:rPr>
          <w:rFonts w:cs="Times New Roman"/>
          <w:i/>
          <w:sz w:val="20"/>
          <w:szCs w:val="20"/>
        </w:rPr>
        <w:t>novine</w:t>
      </w:r>
      <w:proofErr w:type="spellEnd"/>
      <w:r w:rsidRPr="00C531D7">
        <w:rPr>
          <w:rFonts w:cs="Times New Roman"/>
          <w:sz w:val="20"/>
          <w:szCs w:val="20"/>
        </w:rPr>
        <w:t>) No. 1</w:t>
      </w:r>
      <w:r w:rsidRPr="00C531D7">
        <w:rPr>
          <w:rFonts w:cs="Times New Roman"/>
          <w:sz w:val="20"/>
          <w:szCs w:val="20"/>
          <w:lang w:val="hr-HR"/>
        </w:rPr>
        <w:t>44/12.</w:t>
      </w:r>
      <w:proofErr w:type="gramEnd"/>
    </w:p>
  </w:footnote>
  <w:footnote w:id="7">
    <w:p w14:paraId="5731397E" w14:textId="77777777" w:rsidR="000309DC" w:rsidRPr="00C531D7" w:rsidRDefault="000309DC" w:rsidP="0060749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Croatia (2011), Act on the Elections of Representatives to the Croatian Parliament (consolidated text) (</w:t>
      </w:r>
      <w:proofErr w:type="spellStart"/>
      <w:r w:rsidRPr="00C531D7">
        <w:rPr>
          <w:rFonts w:cs="Times New Roman"/>
          <w:i/>
        </w:rPr>
        <w:t>Zakon</w:t>
      </w:r>
      <w:proofErr w:type="spellEnd"/>
      <w:r w:rsidRPr="00C531D7">
        <w:rPr>
          <w:rFonts w:cs="Times New Roman"/>
          <w:i/>
        </w:rPr>
        <w:t xml:space="preserve"> o </w:t>
      </w:r>
      <w:proofErr w:type="spellStart"/>
      <w:r w:rsidRPr="00C531D7">
        <w:rPr>
          <w:rFonts w:cs="Times New Roman"/>
          <w:i/>
        </w:rPr>
        <w:t>izborima</w:t>
      </w:r>
      <w:proofErr w:type="spellEnd"/>
      <w:r w:rsidRPr="00C531D7">
        <w:rPr>
          <w:rFonts w:cs="Times New Roman"/>
          <w:i/>
        </w:rPr>
        <w:t xml:space="preserve"> </w:t>
      </w:r>
      <w:proofErr w:type="spellStart"/>
      <w:r w:rsidRPr="00C531D7">
        <w:rPr>
          <w:rFonts w:cs="Times New Roman"/>
          <w:i/>
        </w:rPr>
        <w:t>zastupnika</w:t>
      </w:r>
      <w:proofErr w:type="spellEnd"/>
      <w:r w:rsidRPr="00C531D7">
        <w:rPr>
          <w:rFonts w:cs="Times New Roman"/>
          <w:i/>
        </w:rPr>
        <w:t xml:space="preserve"> u </w:t>
      </w:r>
      <w:proofErr w:type="spellStart"/>
      <w:r w:rsidRPr="00C531D7">
        <w:rPr>
          <w:rFonts w:cs="Times New Roman"/>
          <w:i/>
        </w:rPr>
        <w:t>Hrvatski</w:t>
      </w:r>
      <w:proofErr w:type="spellEnd"/>
      <w:r w:rsidRPr="00C531D7">
        <w:rPr>
          <w:rFonts w:cs="Times New Roman"/>
          <w:i/>
        </w:rPr>
        <w:t xml:space="preserve"> </w:t>
      </w:r>
      <w:proofErr w:type="spellStart"/>
      <w:r w:rsidRPr="00C531D7">
        <w:rPr>
          <w:rFonts w:cs="Times New Roman"/>
          <w:i/>
        </w:rPr>
        <w:t>sabor</w:t>
      </w:r>
      <w:proofErr w:type="spellEnd"/>
      <w:r w:rsidRPr="00C531D7">
        <w:rPr>
          <w:rFonts w:cs="Times New Roman"/>
          <w:i/>
        </w:rPr>
        <w:t xml:space="preserve"> (</w:t>
      </w:r>
      <w:proofErr w:type="spellStart"/>
      <w:r w:rsidRPr="00C531D7">
        <w:rPr>
          <w:rFonts w:cs="Times New Roman"/>
          <w:i/>
        </w:rPr>
        <w:t>pročišćeni</w:t>
      </w:r>
      <w:proofErr w:type="spellEnd"/>
      <w:r w:rsidRPr="00C531D7">
        <w:rPr>
          <w:rFonts w:cs="Times New Roman"/>
          <w:i/>
        </w:rPr>
        <w:t xml:space="preserve"> </w:t>
      </w:r>
      <w:proofErr w:type="spellStart"/>
      <w:r w:rsidRPr="00C531D7">
        <w:rPr>
          <w:rFonts w:cs="Times New Roman"/>
          <w:i/>
        </w:rPr>
        <w:t>tekst</w:t>
      </w:r>
      <w:proofErr w:type="spellEnd"/>
      <w:r w:rsidRPr="00C531D7">
        <w:rPr>
          <w:rFonts w:cs="Times New Roman"/>
          <w:i/>
        </w:rPr>
        <w:t>)</w:t>
      </w:r>
      <w:r w:rsidRPr="00C531D7">
        <w:rPr>
          <w:rFonts w:cs="Times New Roman"/>
        </w:rPr>
        <w:t>), 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xml:space="preserve">) No. 120/11, 26 October 2011. Available in Croatian at: </w:t>
      </w:r>
      <w:hyperlink r:id="rId9" w:history="1">
        <w:r w:rsidRPr="00C531D7">
          <w:rPr>
            <w:rStyle w:val="Hyperlink"/>
            <w:rFonts w:cs="Times New Roman"/>
          </w:rPr>
          <w:t>http://narodne-novine.nn.hr/clanci/sluzbeni/2011_10_120_2357.html</w:t>
        </w:r>
      </w:hyperlink>
      <w:r w:rsidRPr="00C531D7">
        <w:rPr>
          <w:rFonts w:cs="Times New Roman"/>
        </w:rPr>
        <w:t>.</w:t>
      </w:r>
    </w:p>
  </w:footnote>
  <w:footnote w:id="8">
    <w:p w14:paraId="19EE70DB" w14:textId="77777777" w:rsidR="000309DC" w:rsidRPr="00C531D7" w:rsidRDefault="000309DC" w:rsidP="0060749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proofErr w:type="gramStart"/>
      <w:r w:rsidRPr="00C531D7">
        <w:rPr>
          <w:rFonts w:cs="Times New Roman"/>
        </w:rPr>
        <w:t>Croatia (1992), Act on Presidential Elections (</w:t>
      </w:r>
      <w:proofErr w:type="spellStart"/>
      <w:r w:rsidRPr="00C531D7">
        <w:rPr>
          <w:rFonts w:cs="Times New Roman"/>
          <w:i/>
        </w:rPr>
        <w:t>Zakon</w:t>
      </w:r>
      <w:proofErr w:type="spellEnd"/>
      <w:r w:rsidRPr="00C531D7">
        <w:rPr>
          <w:rFonts w:cs="Times New Roman"/>
          <w:i/>
        </w:rPr>
        <w:t xml:space="preserve"> o </w:t>
      </w:r>
      <w:proofErr w:type="spellStart"/>
      <w:r w:rsidRPr="00C531D7">
        <w:rPr>
          <w:rFonts w:cs="Times New Roman"/>
          <w:i/>
        </w:rPr>
        <w:t>izboru</w:t>
      </w:r>
      <w:proofErr w:type="spellEnd"/>
      <w:r w:rsidRPr="00C531D7">
        <w:rPr>
          <w:rFonts w:cs="Times New Roman"/>
          <w:i/>
        </w:rPr>
        <w:t xml:space="preserve"> </w:t>
      </w:r>
      <w:proofErr w:type="spellStart"/>
      <w:r w:rsidRPr="00C531D7">
        <w:rPr>
          <w:rFonts w:cs="Times New Roman"/>
          <w:i/>
        </w:rPr>
        <w:t>predsjednika</w:t>
      </w:r>
      <w:proofErr w:type="spellEnd"/>
      <w:r w:rsidRPr="00C531D7">
        <w:rPr>
          <w:rFonts w:cs="Times New Roman"/>
          <w:i/>
        </w:rPr>
        <w:t xml:space="preserve"> </w:t>
      </w:r>
      <w:proofErr w:type="spellStart"/>
      <w:r w:rsidRPr="00C531D7">
        <w:rPr>
          <w:rFonts w:cs="Times New Roman"/>
          <w:i/>
        </w:rPr>
        <w:t>Republike</w:t>
      </w:r>
      <w:proofErr w:type="spellEnd"/>
      <w:r w:rsidRPr="00C531D7">
        <w:rPr>
          <w:rFonts w:cs="Times New Roman"/>
          <w:i/>
        </w:rPr>
        <w:t xml:space="preserve"> </w:t>
      </w:r>
      <w:proofErr w:type="spellStart"/>
      <w:r w:rsidRPr="00C531D7">
        <w:rPr>
          <w:rFonts w:cs="Times New Roman"/>
          <w:i/>
        </w:rPr>
        <w:t>Hrvatske</w:t>
      </w:r>
      <w:proofErr w:type="spellEnd"/>
      <w:r w:rsidRPr="00C531D7">
        <w:rPr>
          <w:rFonts w:cs="Times New Roman"/>
        </w:rPr>
        <w:t>), 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xml:space="preserve">) Nos. 22/92, </w:t>
      </w:r>
      <w:r w:rsidRPr="00C531D7">
        <w:rPr>
          <w:rFonts w:cs="Times New Roman"/>
          <w:lang w:val="hr-HR"/>
        </w:rPr>
        <w:t>42/92, 71/97, 69/04, 99/04, 44/06, 24/11</w:t>
      </w:r>
      <w:r w:rsidRPr="00C531D7">
        <w:rPr>
          <w:rFonts w:cs="Times New Roman"/>
        </w:rPr>
        <w:t>.</w:t>
      </w:r>
      <w:proofErr w:type="gramEnd"/>
    </w:p>
  </w:footnote>
  <w:footnote w:id="9">
    <w:p w14:paraId="58B5A3FA" w14:textId="77777777" w:rsidR="000309DC" w:rsidRPr="00C531D7" w:rsidRDefault="000309DC" w:rsidP="0060749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Croatia (1996), Act on the Referendum and Other Forms of Personal Participation in Government and Local and Regional Self-Government (</w:t>
      </w:r>
      <w:r w:rsidRPr="00C531D7">
        <w:rPr>
          <w:rFonts w:cs="Times New Roman"/>
          <w:i/>
          <w:lang w:val="hr-HR"/>
        </w:rPr>
        <w:t>Zakon o referendumu i drugim oblicima osobnog sudjelovanja u obavljanju državne vlasti i lokalne i područne (regionalne) samouprave</w:t>
      </w:r>
      <w:r w:rsidRPr="00C531D7">
        <w:rPr>
          <w:rFonts w:cs="Times New Roman"/>
          <w:lang w:val="hr-HR"/>
        </w:rPr>
        <w:t xml:space="preserve">), </w:t>
      </w:r>
      <w:r w:rsidRPr="00C531D7">
        <w:rPr>
          <w:rFonts w:cs="Times New Roman"/>
        </w:rPr>
        <w:t>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xml:space="preserve">) Nos. </w:t>
      </w:r>
      <w:r w:rsidRPr="00C531D7">
        <w:rPr>
          <w:rFonts w:cs="Times New Roman"/>
          <w:lang w:val="hr-HR"/>
        </w:rPr>
        <w:t>33/96, 92/01, 44/06, 58/06, 69/07, 38/09</w:t>
      </w:r>
      <w:r w:rsidRPr="00C531D7">
        <w:rPr>
          <w:rFonts w:cs="Times New Roman"/>
        </w:rPr>
        <w:t>.</w:t>
      </w:r>
    </w:p>
  </w:footnote>
  <w:footnote w:id="10">
    <w:p w14:paraId="0B791923" w14:textId="77777777" w:rsidR="000309DC" w:rsidRPr="00C531D7" w:rsidRDefault="000309DC" w:rsidP="00C531D7">
      <w:pPr>
        <w:spacing w:after="0"/>
        <w:jc w:val="both"/>
        <w:rPr>
          <w:rFonts w:cs="Times New Roman"/>
          <w:sz w:val="20"/>
          <w:szCs w:val="20"/>
          <w:lang w:val="en-GB"/>
        </w:rPr>
      </w:pPr>
      <w:r w:rsidRPr="00C531D7">
        <w:rPr>
          <w:rStyle w:val="FootnoteReference"/>
          <w:rFonts w:cs="Times New Roman"/>
          <w:sz w:val="20"/>
          <w:szCs w:val="20"/>
        </w:rPr>
        <w:footnoteRef/>
      </w:r>
      <w:r w:rsidRPr="00C531D7">
        <w:rPr>
          <w:rFonts w:cs="Times New Roman"/>
          <w:sz w:val="20"/>
          <w:szCs w:val="20"/>
        </w:rPr>
        <w:t xml:space="preserve"> </w:t>
      </w:r>
      <w:proofErr w:type="gramStart"/>
      <w:r w:rsidRPr="00C531D7">
        <w:rPr>
          <w:rFonts w:cs="Times New Roman"/>
          <w:sz w:val="20"/>
          <w:szCs w:val="20"/>
        </w:rPr>
        <w:t>Croatia (2012) Act on Voter Registry (</w:t>
      </w:r>
      <w:proofErr w:type="spellStart"/>
      <w:r w:rsidRPr="00C531D7">
        <w:rPr>
          <w:rFonts w:cs="Times New Roman"/>
          <w:i/>
          <w:sz w:val="20"/>
          <w:szCs w:val="20"/>
        </w:rPr>
        <w:t>Zakon</w:t>
      </w:r>
      <w:proofErr w:type="spellEnd"/>
      <w:r w:rsidRPr="00C531D7">
        <w:rPr>
          <w:rFonts w:cs="Times New Roman"/>
          <w:i/>
          <w:sz w:val="20"/>
          <w:szCs w:val="20"/>
        </w:rPr>
        <w:t xml:space="preserve"> o </w:t>
      </w:r>
      <w:proofErr w:type="spellStart"/>
      <w:r w:rsidRPr="00C531D7">
        <w:rPr>
          <w:rFonts w:cs="Times New Roman"/>
          <w:i/>
          <w:sz w:val="20"/>
          <w:szCs w:val="20"/>
        </w:rPr>
        <w:t>registru</w:t>
      </w:r>
      <w:proofErr w:type="spellEnd"/>
      <w:r w:rsidRPr="00C531D7">
        <w:rPr>
          <w:rFonts w:cs="Times New Roman"/>
          <w:i/>
          <w:sz w:val="20"/>
          <w:szCs w:val="20"/>
        </w:rPr>
        <w:t xml:space="preserve"> </w:t>
      </w:r>
      <w:proofErr w:type="spellStart"/>
      <w:r w:rsidRPr="00C531D7">
        <w:rPr>
          <w:rFonts w:cs="Times New Roman"/>
          <w:i/>
          <w:sz w:val="20"/>
          <w:szCs w:val="20"/>
        </w:rPr>
        <w:t>birača</w:t>
      </w:r>
      <w:proofErr w:type="spellEnd"/>
      <w:r w:rsidRPr="00C531D7">
        <w:rPr>
          <w:rFonts w:cs="Times New Roman"/>
          <w:sz w:val="20"/>
          <w:szCs w:val="20"/>
        </w:rPr>
        <w:t>), Official Gazette (</w:t>
      </w:r>
      <w:proofErr w:type="spellStart"/>
      <w:r w:rsidRPr="00C531D7">
        <w:rPr>
          <w:rFonts w:cs="Times New Roman"/>
          <w:i/>
          <w:sz w:val="20"/>
          <w:szCs w:val="20"/>
        </w:rPr>
        <w:t>Narodne</w:t>
      </w:r>
      <w:proofErr w:type="spellEnd"/>
      <w:r w:rsidRPr="00C531D7">
        <w:rPr>
          <w:rFonts w:cs="Times New Roman"/>
          <w:i/>
          <w:sz w:val="20"/>
          <w:szCs w:val="20"/>
        </w:rPr>
        <w:t xml:space="preserve"> </w:t>
      </w:r>
      <w:proofErr w:type="spellStart"/>
      <w:r w:rsidRPr="00C531D7">
        <w:rPr>
          <w:rFonts w:cs="Times New Roman"/>
          <w:i/>
          <w:sz w:val="20"/>
          <w:szCs w:val="20"/>
        </w:rPr>
        <w:t>novine</w:t>
      </w:r>
      <w:proofErr w:type="spellEnd"/>
      <w:r w:rsidRPr="00C531D7">
        <w:rPr>
          <w:rFonts w:cs="Times New Roman"/>
          <w:sz w:val="20"/>
          <w:szCs w:val="20"/>
        </w:rPr>
        <w:t>) No. 144/12.</w:t>
      </w:r>
      <w:proofErr w:type="gramEnd"/>
    </w:p>
  </w:footnote>
  <w:footnote w:id="11">
    <w:p w14:paraId="021D4AD2" w14:textId="77777777" w:rsidR="000309DC" w:rsidRPr="00C531D7" w:rsidRDefault="000309DC" w:rsidP="00C531D7">
      <w:pPr>
        <w:pStyle w:val="FRAFootnoteText"/>
        <w:rPr>
          <w:rFonts w:asciiTheme="minorHAnsi" w:hAnsiTheme="minorHAnsi" w:cs="Times New Roman"/>
          <w:sz w:val="20"/>
          <w:szCs w:val="20"/>
          <w:lang w:val="hr-HR"/>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Voter Lists (</w:t>
      </w:r>
      <w:proofErr w:type="spellStart"/>
      <w:r w:rsidRPr="00C531D7">
        <w:rPr>
          <w:rFonts w:asciiTheme="minorHAnsi" w:hAnsiTheme="minorHAnsi" w:cs="Times New Roman"/>
          <w:i/>
          <w:sz w:val="20"/>
          <w:szCs w:val="20"/>
        </w:rPr>
        <w:t>Zakon</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popisima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birača</w:t>
      </w:r>
      <w:proofErr w:type="spellEnd"/>
      <w:r w:rsidRPr="00C531D7">
        <w:rPr>
          <w:rFonts w:asciiTheme="minorHAnsi" w:hAnsiTheme="minorHAnsi" w:cs="Times New Roman"/>
          <w:sz w:val="20"/>
          <w:szCs w:val="20"/>
        </w:rPr>
        <w:t>)</w:t>
      </w:r>
      <w:r w:rsidRPr="00C531D7">
        <w:rPr>
          <w:rFonts w:asciiTheme="minorHAnsi" w:hAnsiTheme="minorHAnsi" w:cs="Times New Roman"/>
          <w:sz w:val="20"/>
          <w:szCs w:val="20"/>
          <w:lang w:val="hr-HR"/>
        </w:rPr>
        <w:t xml:space="preserve"> (2007)</w:t>
      </w:r>
      <w:r w:rsidRPr="00C531D7">
        <w:rPr>
          <w:rFonts w:asciiTheme="minorHAnsi" w:hAnsiTheme="minorHAnsi" w:cs="Times New Roman"/>
          <w:sz w:val="20"/>
          <w:szCs w:val="20"/>
        </w:rPr>
        <w:t xml:space="preserve"> Official Gazette (</w:t>
      </w:r>
      <w:proofErr w:type="spellStart"/>
      <w:r w:rsidRPr="00C531D7">
        <w:rPr>
          <w:rFonts w:asciiTheme="minorHAnsi" w:hAnsiTheme="minorHAnsi" w:cs="Times New Roman"/>
          <w:i/>
          <w:sz w:val="20"/>
          <w:szCs w:val="20"/>
        </w:rPr>
        <w:t>Narodne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novine</w:t>
      </w:r>
      <w:proofErr w:type="spellEnd"/>
      <w:r w:rsidRPr="00C531D7">
        <w:rPr>
          <w:rFonts w:asciiTheme="minorHAnsi" w:hAnsiTheme="minorHAnsi" w:cs="Times New Roman"/>
          <w:sz w:val="20"/>
          <w:szCs w:val="20"/>
        </w:rPr>
        <w:t>) No. 19/07</w:t>
      </w:r>
      <w:r w:rsidRPr="00C531D7">
        <w:rPr>
          <w:rFonts w:asciiTheme="minorHAnsi" w:hAnsiTheme="minorHAnsi" w:cs="Times New Roman"/>
          <w:sz w:val="20"/>
          <w:szCs w:val="20"/>
          <w:lang w:val="hr-HR"/>
        </w:rPr>
        <w:t>, available at: http://narodne-novine.nn.hr/clanci/sluzbeni/2007_02_19_772.html</w:t>
      </w:r>
      <w:r w:rsidRPr="00C531D7">
        <w:rPr>
          <w:rFonts w:asciiTheme="minorHAnsi" w:hAnsiTheme="minorHAnsi" w:cs="Times New Roman"/>
          <w:sz w:val="20"/>
          <w:szCs w:val="20"/>
        </w:rPr>
        <w:t>.</w:t>
      </w:r>
    </w:p>
  </w:footnote>
  <w:footnote w:id="12">
    <w:p w14:paraId="3D0D0D96" w14:textId="77777777" w:rsidR="000309DC" w:rsidRPr="00C531D7" w:rsidRDefault="000309DC" w:rsidP="00C531D7">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w:t>
      </w:r>
      <w:proofErr w:type="gramStart"/>
      <w:r w:rsidRPr="00C531D7">
        <w:rPr>
          <w:rFonts w:cs="Times New Roman"/>
        </w:rPr>
        <w:t xml:space="preserve">Croatia, Government of the Republic of Croatia (2012) </w:t>
      </w:r>
      <w:r w:rsidRPr="00C531D7">
        <w:rPr>
          <w:rFonts w:cs="Times New Roman"/>
          <w:lang w:val="hr-HR"/>
        </w:rPr>
        <w:t>Final Draft of the Voters' Register Act (</w:t>
      </w:r>
      <w:r w:rsidRPr="00C531D7">
        <w:rPr>
          <w:rFonts w:cs="Times New Roman"/>
          <w:i/>
          <w:lang w:val="hr-HR"/>
        </w:rPr>
        <w:t>Konačni prijedlog zakona o registru birača</w:t>
      </w:r>
      <w:r w:rsidRPr="00C531D7">
        <w:rPr>
          <w:rFonts w:cs="Times New Roman"/>
          <w:lang w:val="hr-HR"/>
        </w:rPr>
        <w:t>), available at:/www.sabor.hr/Default.aspx?art=51788.</w:t>
      </w:r>
      <w:proofErr w:type="gramEnd"/>
    </w:p>
  </w:footnote>
  <w:footnote w:id="13">
    <w:p w14:paraId="38CF0C48" w14:textId="77777777" w:rsidR="000309DC" w:rsidRPr="00C531D7" w:rsidRDefault="000309DC" w:rsidP="00C531D7">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Croatia, Ombudsman for Persons with Disabilities (</w:t>
      </w:r>
      <w:proofErr w:type="spellStart"/>
      <w:r w:rsidRPr="00C531D7">
        <w:rPr>
          <w:rFonts w:cs="Times New Roman"/>
          <w:i/>
        </w:rPr>
        <w:t>Pravobraniteljica</w:t>
      </w:r>
      <w:proofErr w:type="spellEnd"/>
      <w:r w:rsidRPr="00C531D7">
        <w:rPr>
          <w:rFonts w:cs="Times New Roman"/>
          <w:i/>
        </w:rPr>
        <w:t xml:space="preserve"> </w:t>
      </w:r>
      <w:proofErr w:type="spellStart"/>
      <w:r w:rsidRPr="00C531D7">
        <w:rPr>
          <w:rFonts w:cs="Times New Roman"/>
          <w:i/>
        </w:rPr>
        <w:t>za</w:t>
      </w:r>
      <w:proofErr w:type="spellEnd"/>
      <w:r w:rsidRPr="00C531D7">
        <w:rPr>
          <w:rFonts w:cs="Times New Roman"/>
          <w:i/>
        </w:rPr>
        <w:t xml:space="preserve"> </w:t>
      </w:r>
      <w:proofErr w:type="spellStart"/>
      <w:r w:rsidRPr="00C531D7">
        <w:rPr>
          <w:rFonts w:cs="Times New Roman"/>
          <w:i/>
        </w:rPr>
        <w:t>osobe</w:t>
      </w:r>
      <w:proofErr w:type="spellEnd"/>
      <w:r w:rsidRPr="00C531D7">
        <w:rPr>
          <w:rFonts w:cs="Times New Roman"/>
          <w:i/>
        </w:rPr>
        <w:t xml:space="preserve"> s </w:t>
      </w:r>
      <w:proofErr w:type="spellStart"/>
      <w:r w:rsidRPr="00C531D7">
        <w:rPr>
          <w:rFonts w:cs="Times New Roman"/>
          <w:i/>
        </w:rPr>
        <w:t>invaliditetom</w:t>
      </w:r>
      <w:proofErr w:type="spellEnd"/>
      <w:r w:rsidRPr="00C531D7">
        <w:rPr>
          <w:rFonts w:cs="Times New Roman"/>
        </w:rPr>
        <w:t>), Letter to the Ministry of Public Administration – Opinions and suggestions regarding the Draft of the Voters’ Register Act, available at: www.posi.hr/index.php?option=com_content&amp;view=article&amp;id=395:birako-pravo-osoba-s-invaliditetom-pod-skrbnitvom-&amp;catid=72:novosti.</w:t>
      </w:r>
    </w:p>
  </w:footnote>
  <w:footnote w:id="14">
    <w:p w14:paraId="7A17095C" w14:textId="77777777" w:rsidR="000309DC" w:rsidRPr="00C531D7" w:rsidRDefault="000309DC" w:rsidP="00C531D7">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Croatia, Ombudsman for Persons with Disabilities (</w:t>
      </w:r>
      <w:proofErr w:type="spellStart"/>
      <w:r w:rsidRPr="00C531D7">
        <w:rPr>
          <w:rFonts w:cs="Times New Roman"/>
          <w:i/>
        </w:rPr>
        <w:t>Pravobraniteljica</w:t>
      </w:r>
      <w:proofErr w:type="spellEnd"/>
      <w:r w:rsidRPr="00C531D7">
        <w:rPr>
          <w:rFonts w:cs="Times New Roman"/>
          <w:i/>
        </w:rPr>
        <w:t xml:space="preserve"> </w:t>
      </w:r>
      <w:proofErr w:type="spellStart"/>
      <w:r w:rsidRPr="00C531D7">
        <w:rPr>
          <w:rFonts w:cs="Times New Roman"/>
          <w:i/>
        </w:rPr>
        <w:t>za</w:t>
      </w:r>
      <w:proofErr w:type="spellEnd"/>
      <w:r w:rsidRPr="00C531D7">
        <w:rPr>
          <w:rFonts w:cs="Times New Roman"/>
          <w:i/>
        </w:rPr>
        <w:t xml:space="preserve"> </w:t>
      </w:r>
      <w:proofErr w:type="spellStart"/>
      <w:r w:rsidRPr="00C531D7">
        <w:rPr>
          <w:rFonts w:cs="Times New Roman"/>
          <w:i/>
        </w:rPr>
        <w:t>osobe</w:t>
      </w:r>
      <w:proofErr w:type="spellEnd"/>
      <w:r w:rsidRPr="00C531D7">
        <w:rPr>
          <w:rFonts w:cs="Times New Roman"/>
          <w:i/>
        </w:rPr>
        <w:t xml:space="preserve"> s </w:t>
      </w:r>
      <w:proofErr w:type="spellStart"/>
      <w:r w:rsidRPr="00C531D7">
        <w:rPr>
          <w:rFonts w:cs="Times New Roman"/>
          <w:i/>
        </w:rPr>
        <w:t>invaliditetom</w:t>
      </w:r>
      <w:proofErr w:type="spellEnd"/>
      <w:r w:rsidRPr="00C531D7">
        <w:rPr>
          <w:rFonts w:cs="Times New Roman"/>
        </w:rPr>
        <w:t>), Warning regarding the Draft Voters’ Register Act, available at: www.posi.hr/index.php?option=com_content&amp;view=article&amp;id=395:birako-pravo-osoba-s-invaliditetom-pod-skrbnitvom-&amp;catid=72:novosti.</w:t>
      </w:r>
    </w:p>
  </w:footnote>
  <w:footnote w:id="15">
    <w:p w14:paraId="60CEFB24" w14:textId="77777777" w:rsidR="000309DC" w:rsidRPr="00C531D7" w:rsidRDefault="000309DC" w:rsidP="00C531D7">
      <w:pPr>
        <w:spacing w:after="0" w:line="240" w:lineRule="auto"/>
        <w:jc w:val="both"/>
        <w:rPr>
          <w:rFonts w:cs="Times New Roman"/>
          <w:sz w:val="20"/>
          <w:szCs w:val="20"/>
        </w:rPr>
      </w:pPr>
      <w:r w:rsidRPr="00C531D7">
        <w:rPr>
          <w:rStyle w:val="FootnoteReference"/>
          <w:rFonts w:cs="Times New Roman"/>
          <w:sz w:val="20"/>
          <w:szCs w:val="20"/>
        </w:rPr>
        <w:footnoteRef/>
      </w:r>
      <w:r w:rsidRPr="00C531D7">
        <w:rPr>
          <w:rFonts w:cs="Times New Roman"/>
          <w:sz w:val="20"/>
          <w:szCs w:val="20"/>
        </w:rPr>
        <w:t xml:space="preserve"> </w:t>
      </w:r>
      <w:proofErr w:type="gramStart"/>
      <w:r w:rsidRPr="00C531D7">
        <w:rPr>
          <w:rFonts w:cs="Times New Roman"/>
          <w:sz w:val="20"/>
          <w:szCs w:val="20"/>
        </w:rPr>
        <w:t>Croatia (2011), Act on the Elections of Representatives to the Croatian Parliament (</w:t>
      </w:r>
      <w:proofErr w:type="spellStart"/>
      <w:r w:rsidRPr="00C531D7">
        <w:rPr>
          <w:rFonts w:cs="Times New Roman"/>
          <w:sz w:val="20"/>
          <w:szCs w:val="20"/>
        </w:rPr>
        <w:t>Zakon</w:t>
      </w:r>
      <w:proofErr w:type="spellEnd"/>
      <w:r w:rsidRPr="00C531D7">
        <w:rPr>
          <w:rFonts w:cs="Times New Roman"/>
          <w:sz w:val="20"/>
          <w:szCs w:val="20"/>
        </w:rPr>
        <w:t xml:space="preserve"> o </w:t>
      </w:r>
      <w:proofErr w:type="spellStart"/>
      <w:r w:rsidRPr="00C531D7">
        <w:rPr>
          <w:rFonts w:cs="Times New Roman"/>
          <w:sz w:val="20"/>
          <w:szCs w:val="20"/>
        </w:rPr>
        <w:t>izborima</w:t>
      </w:r>
      <w:proofErr w:type="spellEnd"/>
      <w:r w:rsidRPr="00C531D7">
        <w:rPr>
          <w:rFonts w:cs="Times New Roman"/>
          <w:sz w:val="20"/>
          <w:szCs w:val="20"/>
        </w:rPr>
        <w:t xml:space="preserve"> </w:t>
      </w:r>
      <w:proofErr w:type="spellStart"/>
      <w:r w:rsidRPr="00C531D7">
        <w:rPr>
          <w:rFonts w:cs="Times New Roman"/>
          <w:sz w:val="20"/>
          <w:szCs w:val="20"/>
        </w:rPr>
        <w:t>zastupnika</w:t>
      </w:r>
      <w:proofErr w:type="spellEnd"/>
      <w:r w:rsidRPr="00C531D7">
        <w:rPr>
          <w:rFonts w:cs="Times New Roman"/>
          <w:sz w:val="20"/>
          <w:szCs w:val="20"/>
        </w:rPr>
        <w:t xml:space="preserve"> u </w:t>
      </w:r>
      <w:proofErr w:type="spellStart"/>
      <w:r w:rsidRPr="00C531D7">
        <w:rPr>
          <w:rFonts w:cs="Times New Roman"/>
          <w:sz w:val="20"/>
          <w:szCs w:val="20"/>
        </w:rPr>
        <w:t>Hrvatski</w:t>
      </w:r>
      <w:proofErr w:type="spellEnd"/>
      <w:r w:rsidRPr="00C531D7">
        <w:rPr>
          <w:rFonts w:cs="Times New Roman"/>
          <w:sz w:val="20"/>
          <w:szCs w:val="20"/>
        </w:rPr>
        <w:t xml:space="preserve"> </w:t>
      </w:r>
      <w:proofErr w:type="spellStart"/>
      <w:r w:rsidRPr="00C531D7">
        <w:rPr>
          <w:rFonts w:cs="Times New Roman"/>
          <w:sz w:val="20"/>
          <w:szCs w:val="20"/>
        </w:rPr>
        <w:t>sabor</w:t>
      </w:r>
      <w:proofErr w:type="spellEnd"/>
      <w:r w:rsidRPr="00C531D7">
        <w:rPr>
          <w:rFonts w:cs="Times New Roman"/>
          <w:sz w:val="20"/>
          <w:szCs w:val="20"/>
        </w:rPr>
        <w:t xml:space="preserve"> (</w:t>
      </w:r>
      <w:proofErr w:type="spellStart"/>
      <w:r w:rsidRPr="00C531D7">
        <w:rPr>
          <w:rFonts w:cs="Times New Roman"/>
          <w:sz w:val="20"/>
          <w:szCs w:val="20"/>
        </w:rPr>
        <w:t>pročišćeni</w:t>
      </w:r>
      <w:proofErr w:type="spellEnd"/>
      <w:r w:rsidRPr="00C531D7">
        <w:rPr>
          <w:rFonts w:cs="Times New Roman"/>
          <w:sz w:val="20"/>
          <w:szCs w:val="20"/>
        </w:rPr>
        <w:t xml:space="preserve"> </w:t>
      </w:r>
      <w:proofErr w:type="spellStart"/>
      <w:r w:rsidRPr="00C531D7">
        <w:rPr>
          <w:rFonts w:cs="Times New Roman"/>
          <w:sz w:val="20"/>
          <w:szCs w:val="20"/>
        </w:rPr>
        <w:t>tekst</w:t>
      </w:r>
      <w:proofErr w:type="spellEnd"/>
      <w:r w:rsidRPr="00C531D7">
        <w:rPr>
          <w:rFonts w:cs="Times New Roman"/>
          <w:sz w:val="20"/>
          <w:szCs w:val="20"/>
        </w:rPr>
        <w:t>)), Official Gazette (</w:t>
      </w:r>
      <w:proofErr w:type="spellStart"/>
      <w:r w:rsidRPr="00C531D7">
        <w:rPr>
          <w:rFonts w:cs="Times New Roman"/>
          <w:sz w:val="20"/>
          <w:szCs w:val="20"/>
        </w:rPr>
        <w:t>Narodne</w:t>
      </w:r>
      <w:proofErr w:type="spellEnd"/>
      <w:r w:rsidRPr="00C531D7">
        <w:rPr>
          <w:rFonts w:cs="Times New Roman"/>
          <w:sz w:val="20"/>
          <w:szCs w:val="20"/>
        </w:rPr>
        <w:t xml:space="preserve"> </w:t>
      </w:r>
      <w:proofErr w:type="spellStart"/>
      <w:r w:rsidRPr="00C531D7">
        <w:rPr>
          <w:rFonts w:cs="Times New Roman"/>
          <w:sz w:val="20"/>
          <w:szCs w:val="20"/>
        </w:rPr>
        <w:t>novine</w:t>
      </w:r>
      <w:proofErr w:type="spellEnd"/>
      <w:r w:rsidRPr="00C531D7">
        <w:rPr>
          <w:rFonts w:cs="Times New Roman"/>
          <w:sz w:val="20"/>
          <w:szCs w:val="20"/>
        </w:rPr>
        <w:t>) No. 120/11, 26 October 2011.</w:t>
      </w:r>
      <w:proofErr w:type="gramEnd"/>
    </w:p>
  </w:footnote>
  <w:footnote w:id="16">
    <w:p w14:paraId="7F85837E" w14:textId="77777777" w:rsidR="000309DC" w:rsidRPr="00C531D7" w:rsidRDefault="000309DC" w:rsidP="00C531D7">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Information available at: www.sjaj.hr/biracko-pravo-povijesna-odluka-hrvatskog-sabora/</w:t>
      </w:r>
    </w:p>
  </w:footnote>
  <w:footnote w:id="17">
    <w:p w14:paraId="7080F90E" w14:textId="197F4D08" w:rsidR="000309DC" w:rsidRPr="00CF0728" w:rsidRDefault="000309DC" w:rsidP="00CF0728">
      <w:pPr>
        <w:spacing w:after="0"/>
        <w:jc w:val="both"/>
        <w:rPr>
          <w:rFonts w:cs="Times New Roman"/>
          <w:sz w:val="20"/>
          <w:szCs w:val="20"/>
          <w:lang w:val="en-GB"/>
        </w:rPr>
      </w:pPr>
      <w:r w:rsidRPr="00B500B5">
        <w:rPr>
          <w:rStyle w:val="FootnoteReference"/>
          <w:sz w:val="20"/>
          <w:szCs w:val="20"/>
        </w:rPr>
        <w:footnoteRef/>
      </w:r>
      <w:r w:rsidRPr="00B500B5">
        <w:rPr>
          <w:sz w:val="20"/>
          <w:szCs w:val="20"/>
        </w:rPr>
        <w:t xml:space="preserve"> </w:t>
      </w:r>
      <w:r w:rsidRPr="00B500B5">
        <w:rPr>
          <w:rFonts w:cs="Times New Roman"/>
          <w:sz w:val="20"/>
          <w:szCs w:val="20"/>
        </w:rPr>
        <w:t>Croatia (2010), Act on the Elections of Representatives from the Republic of Croatia to the European Parliament (</w:t>
      </w:r>
      <w:proofErr w:type="spellStart"/>
      <w:r w:rsidRPr="00B500B5">
        <w:rPr>
          <w:rFonts w:cs="Times New Roman"/>
          <w:i/>
          <w:sz w:val="20"/>
          <w:szCs w:val="20"/>
        </w:rPr>
        <w:t>Zakon</w:t>
      </w:r>
      <w:proofErr w:type="spellEnd"/>
      <w:r w:rsidRPr="00B500B5">
        <w:rPr>
          <w:rFonts w:cs="Times New Roman"/>
          <w:i/>
          <w:sz w:val="20"/>
          <w:szCs w:val="20"/>
        </w:rPr>
        <w:t xml:space="preserve"> o </w:t>
      </w:r>
      <w:proofErr w:type="spellStart"/>
      <w:r w:rsidRPr="00B500B5">
        <w:rPr>
          <w:rFonts w:cs="Times New Roman"/>
          <w:i/>
          <w:sz w:val="20"/>
          <w:szCs w:val="20"/>
        </w:rPr>
        <w:t>izborima</w:t>
      </w:r>
      <w:proofErr w:type="spellEnd"/>
      <w:r w:rsidRPr="00B500B5">
        <w:rPr>
          <w:rFonts w:cs="Times New Roman"/>
          <w:i/>
          <w:sz w:val="20"/>
          <w:szCs w:val="20"/>
        </w:rPr>
        <w:t xml:space="preserve"> </w:t>
      </w:r>
      <w:proofErr w:type="spellStart"/>
      <w:r w:rsidRPr="00B500B5">
        <w:rPr>
          <w:rFonts w:cs="Times New Roman"/>
          <w:i/>
          <w:sz w:val="20"/>
          <w:szCs w:val="20"/>
        </w:rPr>
        <w:t>zastupnika</w:t>
      </w:r>
      <w:proofErr w:type="spellEnd"/>
      <w:r w:rsidRPr="00B500B5">
        <w:rPr>
          <w:rFonts w:cs="Times New Roman"/>
          <w:i/>
          <w:sz w:val="20"/>
          <w:szCs w:val="20"/>
        </w:rPr>
        <w:t xml:space="preserve"> </w:t>
      </w:r>
      <w:proofErr w:type="spellStart"/>
      <w:r w:rsidRPr="00B500B5">
        <w:rPr>
          <w:rFonts w:cs="Times New Roman"/>
          <w:i/>
          <w:sz w:val="20"/>
          <w:szCs w:val="20"/>
        </w:rPr>
        <w:t>iz</w:t>
      </w:r>
      <w:proofErr w:type="spellEnd"/>
      <w:r w:rsidRPr="00B500B5">
        <w:rPr>
          <w:rFonts w:cs="Times New Roman"/>
          <w:i/>
          <w:sz w:val="20"/>
          <w:szCs w:val="20"/>
        </w:rPr>
        <w:t xml:space="preserve"> </w:t>
      </w:r>
      <w:proofErr w:type="spellStart"/>
      <w:r w:rsidRPr="00B500B5">
        <w:rPr>
          <w:rFonts w:cs="Times New Roman"/>
          <w:i/>
          <w:sz w:val="20"/>
          <w:szCs w:val="20"/>
        </w:rPr>
        <w:t>Republike</w:t>
      </w:r>
      <w:proofErr w:type="spellEnd"/>
      <w:r w:rsidRPr="00B500B5">
        <w:rPr>
          <w:rFonts w:cs="Times New Roman"/>
          <w:i/>
          <w:sz w:val="20"/>
          <w:szCs w:val="20"/>
        </w:rPr>
        <w:t xml:space="preserve"> </w:t>
      </w:r>
      <w:proofErr w:type="spellStart"/>
      <w:r w:rsidRPr="00B500B5">
        <w:rPr>
          <w:rFonts w:cs="Times New Roman"/>
          <w:i/>
          <w:sz w:val="20"/>
          <w:szCs w:val="20"/>
        </w:rPr>
        <w:t>Hrvatske</w:t>
      </w:r>
      <w:proofErr w:type="spellEnd"/>
      <w:r w:rsidRPr="00B500B5">
        <w:rPr>
          <w:rFonts w:cs="Times New Roman"/>
          <w:i/>
          <w:sz w:val="20"/>
          <w:szCs w:val="20"/>
        </w:rPr>
        <w:t xml:space="preserve"> u </w:t>
      </w:r>
      <w:proofErr w:type="spellStart"/>
      <w:r w:rsidRPr="00B500B5">
        <w:rPr>
          <w:rFonts w:cs="Times New Roman"/>
          <w:i/>
          <w:sz w:val="20"/>
          <w:szCs w:val="20"/>
        </w:rPr>
        <w:t>Europski</w:t>
      </w:r>
      <w:proofErr w:type="spellEnd"/>
      <w:r w:rsidRPr="00B500B5">
        <w:rPr>
          <w:rFonts w:cs="Times New Roman"/>
          <w:i/>
          <w:sz w:val="20"/>
          <w:szCs w:val="20"/>
        </w:rPr>
        <w:t xml:space="preserve"> </w:t>
      </w:r>
      <w:proofErr w:type="spellStart"/>
      <w:r w:rsidRPr="00B500B5">
        <w:rPr>
          <w:rFonts w:cs="Times New Roman"/>
          <w:i/>
          <w:sz w:val="20"/>
          <w:szCs w:val="20"/>
        </w:rPr>
        <w:t>parlament</w:t>
      </w:r>
      <w:proofErr w:type="spellEnd"/>
      <w:r w:rsidRPr="00B500B5">
        <w:rPr>
          <w:rFonts w:cs="Times New Roman"/>
          <w:sz w:val="20"/>
          <w:szCs w:val="20"/>
        </w:rPr>
        <w:t>), Official Gazette (</w:t>
      </w:r>
      <w:proofErr w:type="spellStart"/>
      <w:r w:rsidRPr="00B500B5">
        <w:rPr>
          <w:rFonts w:cs="Times New Roman"/>
          <w:i/>
          <w:sz w:val="20"/>
          <w:szCs w:val="20"/>
        </w:rPr>
        <w:t>Narodne</w:t>
      </w:r>
      <w:proofErr w:type="spellEnd"/>
      <w:r w:rsidRPr="00B500B5">
        <w:rPr>
          <w:rFonts w:cs="Times New Roman"/>
          <w:i/>
          <w:sz w:val="20"/>
          <w:szCs w:val="20"/>
        </w:rPr>
        <w:t xml:space="preserve"> </w:t>
      </w:r>
      <w:proofErr w:type="spellStart"/>
      <w:r w:rsidRPr="00B500B5">
        <w:rPr>
          <w:rFonts w:cs="Times New Roman"/>
          <w:i/>
          <w:sz w:val="20"/>
          <w:szCs w:val="20"/>
        </w:rPr>
        <w:t>novine</w:t>
      </w:r>
      <w:proofErr w:type="spellEnd"/>
      <w:r w:rsidRPr="00B500B5">
        <w:rPr>
          <w:rFonts w:cs="Times New Roman"/>
          <w:sz w:val="20"/>
          <w:szCs w:val="20"/>
        </w:rPr>
        <w:t xml:space="preserve">) No. 92/10; No. 23/13. Available in Croatian at: </w:t>
      </w:r>
      <w:hyperlink r:id="rId10" w:history="1">
        <w:r w:rsidRPr="00B500B5">
          <w:rPr>
            <w:rStyle w:val="Hyperlink"/>
            <w:rFonts w:cs="Times New Roman"/>
            <w:sz w:val="20"/>
            <w:szCs w:val="20"/>
          </w:rPr>
          <w:t>http://narodne-novine.nn.hr/clanci/sluzbeni/2010_07_92_2591.html</w:t>
        </w:r>
      </w:hyperlink>
      <w:r w:rsidRPr="00B500B5">
        <w:rPr>
          <w:rFonts w:cs="Times New Roman"/>
          <w:sz w:val="20"/>
          <w:szCs w:val="20"/>
        </w:rPr>
        <w:t xml:space="preserve"> and </w:t>
      </w:r>
      <w:hyperlink r:id="rId11" w:history="1">
        <w:r w:rsidRPr="00B500B5">
          <w:rPr>
            <w:rStyle w:val="Hyperlink"/>
            <w:rFonts w:cs="Times New Roman"/>
            <w:sz w:val="20"/>
            <w:szCs w:val="20"/>
          </w:rPr>
          <w:t>http://narodne-novine.nn.hr/clanci/sluzbeni/2013_02_23_382.html</w:t>
        </w:r>
      </w:hyperlink>
      <w:r w:rsidRPr="00B500B5">
        <w:rPr>
          <w:rFonts w:cs="Times New Roman"/>
          <w:sz w:val="20"/>
          <w:szCs w:val="20"/>
        </w:rPr>
        <w:t xml:space="preserve"> (all links last accessed on 2 August 2013), Art. </w:t>
      </w:r>
      <w:proofErr w:type="gramStart"/>
      <w:r w:rsidRPr="00B500B5">
        <w:rPr>
          <w:rFonts w:cs="Times New Roman"/>
          <w:sz w:val="20"/>
          <w:szCs w:val="20"/>
        </w:rPr>
        <w:t xml:space="preserve">49; </w:t>
      </w:r>
      <w:r w:rsidRPr="008B75B1">
        <w:rPr>
          <w:rFonts w:cs="Times New Roman"/>
          <w:sz w:val="20"/>
          <w:szCs w:val="20"/>
        </w:rPr>
        <w:t>Croatia (2012) Act on Local Elections (</w:t>
      </w:r>
      <w:r w:rsidRPr="00F466E0">
        <w:rPr>
          <w:rFonts w:cs="Times New Roman"/>
          <w:i/>
          <w:sz w:val="20"/>
          <w:szCs w:val="20"/>
          <w:lang w:val="hr-HR"/>
        </w:rPr>
        <w:t>Zakon o lokalnim izborima</w:t>
      </w:r>
      <w:r w:rsidRPr="00F466E0">
        <w:rPr>
          <w:rFonts w:cs="Times New Roman"/>
          <w:sz w:val="20"/>
          <w:szCs w:val="20"/>
          <w:lang w:val="hr-HR"/>
        </w:rPr>
        <w:t xml:space="preserve">), </w:t>
      </w:r>
      <w:r w:rsidRPr="00F466E0">
        <w:rPr>
          <w:rFonts w:cs="Times New Roman"/>
          <w:sz w:val="20"/>
          <w:szCs w:val="20"/>
        </w:rPr>
        <w:t>Official Gazette (</w:t>
      </w:r>
      <w:proofErr w:type="spellStart"/>
      <w:r w:rsidRPr="00D92BA8">
        <w:rPr>
          <w:rFonts w:cs="Times New Roman"/>
          <w:i/>
          <w:sz w:val="20"/>
          <w:szCs w:val="20"/>
        </w:rPr>
        <w:t>Narodne</w:t>
      </w:r>
      <w:proofErr w:type="spellEnd"/>
      <w:r w:rsidRPr="00D92BA8">
        <w:rPr>
          <w:rFonts w:cs="Times New Roman"/>
          <w:i/>
          <w:sz w:val="20"/>
          <w:szCs w:val="20"/>
        </w:rPr>
        <w:t xml:space="preserve"> </w:t>
      </w:r>
      <w:proofErr w:type="spellStart"/>
      <w:r w:rsidRPr="00D92BA8">
        <w:rPr>
          <w:rFonts w:cs="Times New Roman"/>
          <w:i/>
          <w:sz w:val="20"/>
          <w:szCs w:val="20"/>
        </w:rPr>
        <w:t>novine</w:t>
      </w:r>
      <w:proofErr w:type="spellEnd"/>
      <w:r w:rsidRPr="0074148B">
        <w:rPr>
          <w:rFonts w:cs="Times New Roman"/>
          <w:sz w:val="20"/>
          <w:szCs w:val="20"/>
        </w:rPr>
        <w:t>) No. 1</w:t>
      </w:r>
      <w:r w:rsidRPr="00172FE0">
        <w:rPr>
          <w:rFonts w:cs="Times New Roman"/>
          <w:sz w:val="20"/>
          <w:szCs w:val="20"/>
          <w:lang w:val="hr-HR"/>
        </w:rPr>
        <w:t>44/12, Art.</w:t>
      </w:r>
      <w:proofErr w:type="gramEnd"/>
      <w:r w:rsidRPr="00172FE0">
        <w:rPr>
          <w:rFonts w:cs="Times New Roman"/>
          <w:sz w:val="20"/>
          <w:szCs w:val="20"/>
          <w:lang w:val="hr-HR"/>
        </w:rPr>
        <w:t xml:space="preserve"> 61.</w:t>
      </w:r>
    </w:p>
  </w:footnote>
  <w:footnote w:id="18">
    <w:p w14:paraId="3FC609BD"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Croatia (2010), Act on the Elections of Representatives from the Republic of Croatia to the European Parliament (</w:t>
      </w:r>
      <w:proofErr w:type="spellStart"/>
      <w:r w:rsidRPr="00C531D7">
        <w:rPr>
          <w:rFonts w:cs="Times New Roman"/>
          <w:i/>
        </w:rPr>
        <w:t>Zakon</w:t>
      </w:r>
      <w:proofErr w:type="spellEnd"/>
      <w:r w:rsidRPr="00C531D7">
        <w:rPr>
          <w:rFonts w:cs="Times New Roman"/>
          <w:i/>
        </w:rPr>
        <w:t xml:space="preserve"> o </w:t>
      </w:r>
      <w:proofErr w:type="spellStart"/>
      <w:r w:rsidRPr="00C531D7">
        <w:rPr>
          <w:rFonts w:cs="Times New Roman"/>
          <w:i/>
        </w:rPr>
        <w:t>izborima</w:t>
      </w:r>
      <w:proofErr w:type="spellEnd"/>
      <w:r w:rsidRPr="00C531D7">
        <w:rPr>
          <w:rFonts w:cs="Times New Roman"/>
          <w:i/>
        </w:rPr>
        <w:t xml:space="preserve"> </w:t>
      </w:r>
      <w:proofErr w:type="spellStart"/>
      <w:r w:rsidRPr="00C531D7">
        <w:rPr>
          <w:rFonts w:cs="Times New Roman"/>
          <w:i/>
        </w:rPr>
        <w:t>zastupnika</w:t>
      </w:r>
      <w:proofErr w:type="spellEnd"/>
      <w:r w:rsidRPr="00C531D7">
        <w:rPr>
          <w:rFonts w:cs="Times New Roman"/>
          <w:i/>
        </w:rPr>
        <w:t xml:space="preserve"> </w:t>
      </w:r>
      <w:proofErr w:type="spellStart"/>
      <w:r w:rsidRPr="00C531D7">
        <w:rPr>
          <w:rFonts w:cs="Times New Roman"/>
          <w:i/>
        </w:rPr>
        <w:t>iz</w:t>
      </w:r>
      <w:proofErr w:type="spellEnd"/>
      <w:r w:rsidRPr="00C531D7">
        <w:rPr>
          <w:rFonts w:cs="Times New Roman"/>
          <w:i/>
        </w:rPr>
        <w:t xml:space="preserve"> </w:t>
      </w:r>
      <w:proofErr w:type="spellStart"/>
      <w:r w:rsidRPr="00C531D7">
        <w:rPr>
          <w:rFonts w:cs="Times New Roman"/>
          <w:i/>
        </w:rPr>
        <w:t>Republike</w:t>
      </w:r>
      <w:proofErr w:type="spellEnd"/>
      <w:r w:rsidRPr="00C531D7">
        <w:rPr>
          <w:rFonts w:cs="Times New Roman"/>
          <w:i/>
        </w:rPr>
        <w:t xml:space="preserve"> </w:t>
      </w:r>
      <w:proofErr w:type="spellStart"/>
      <w:r w:rsidRPr="00C531D7">
        <w:rPr>
          <w:rFonts w:cs="Times New Roman"/>
          <w:i/>
        </w:rPr>
        <w:t>Hrvatske</w:t>
      </w:r>
      <w:proofErr w:type="spellEnd"/>
      <w:r w:rsidRPr="00C531D7">
        <w:rPr>
          <w:rFonts w:cs="Times New Roman"/>
          <w:i/>
        </w:rPr>
        <w:t xml:space="preserve"> u </w:t>
      </w:r>
      <w:proofErr w:type="spellStart"/>
      <w:r w:rsidRPr="00C531D7">
        <w:rPr>
          <w:rFonts w:cs="Times New Roman"/>
          <w:i/>
        </w:rPr>
        <w:t>Europski</w:t>
      </w:r>
      <w:proofErr w:type="spellEnd"/>
      <w:r w:rsidRPr="00C531D7">
        <w:rPr>
          <w:rFonts w:cs="Times New Roman"/>
          <w:i/>
        </w:rPr>
        <w:t xml:space="preserve"> </w:t>
      </w:r>
      <w:proofErr w:type="spellStart"/>
      <w:r w:rsidRPr="00C531D7">
        <w:rPr>
          <w:rFonts w:cs="Times New Roman"/>
          <w:i/>
        </w:rPr>
        <w:t>parlament</w:t>
      </w:r>
      <w:proofErr w:type="spellEnd"/>
      <w:r w:rsidRPr="00C531D7">
        <w:rPr>
          <w:rFonts w:cs="Times New Roman"/>
        </w:rPr>
        <w:t>), 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xml:space="preserve">) No. 92/10; No. 23/13. Available in Croatian at: </w:t>
      </w:r>
      <w:hyperlink r:id="rId12" w:history="1">
        <w:r w:rsidRPr="00C531D7">
          <w:rPr>
            <w:rStyle w:val="Hyperlink"/>
            <w:rFonts w:cs="Times New Roman"/>
          </w:rPr>
          <w:t>http://narodne-novine.nn.hr/clanci/sluzbeni/2010_07_92_2591.html</w:t>
        </w:r>
      </w:hyperlink>
      <w:r w:rsidRPr="00C531D7">
        <w:rPr>
          <w:rFonts w:cs="Times New Roman"/>
        </w:rPr>
        <w:t xml:space="preserve"> and </w:t>
      </w:r>
      <w:hyperlink r:id="rId13" w:history="1">
        <w:r w:rsidRPr="00C531D7">
          <w:rPr>
            <w:rStyle w:val="Hyperlink"/>
            <w:rFonts w:cs="Times New Roman"/>
          </w:rPr>
          <w:t>http://narodne-novine.nn.hr/clanci/sluzbeni/2013_02_23_382.html</w:t>
        </w:r>
      </w:hyperlink>
      <w:r w:rsidRPr="00C531D7">
        <w:rPr>
          <w:rFonts w:cs="Times New Roman"/>
        </w:rPr>
        <w:t>.</w:t>
      </w:r>
    </w:p>
  </w:footnote>
  <w:footnote w:id="19">
    <w:p w14:paraId="2B707014" w14:textId="3EF67749"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proofErr w:type="gramStart"/>
      <w:r w:rsidRPr="00C531D7">
        <w:rPr>
          <w:rFonts w:cs="Times New Roman"/>
          <w:lang w:val="en-GB"/>
        </w:rPr>
        <w:t>Ministry of Social Policy and Youth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socijalne</w:t>
      </w:r>
      <w:proofErr w:type="spellEnd"/>
      <w:r w:rsidRPr="00C531D7">
        <w:rPr>
          <w:rFonts w:cs="Times New Roman"/>
          <w:i/>
          <w:lang w:val="en-GB"/>
        </w:rPr>
        <w:t xml:space="preserve"> </w:t>
      </w:r>
      <w:proofErr w:type="spellStart"/>
      <w:r w:rsidRPr="00C531D7">
        <w:rPr>
          <w:rFonts w:cs="Times New Roman"/>
          <w:i/>
          <w:lang w:val="en-GB"/>
        </w:rPr>
        <w:t>politike</w:t>
      </w:r>
      <w:proofErr w:type="spellEnd"/>
      <w:r w:rsidRPr="00C531D7">
        <w:rPr>
          <w:rFonts w:cs="Times New Roman"/>
          <w:i/>
          <w:lang w:val="en-GB"/>
        </w:rPr>
        <w:t xml:space="preserve"> </w:t>
      </w:r>
      <w:proofErr w:type="spellStart"/>
      <w:r w:rsidRPr="00C531D7">
        <w:rPr>
          <w:rFonts w:cs="Times New Roman"/>
          <w:i/>
          <w:lang w:val="en-GB"/>
        </w:rPr>
        <w:t>i</w:t>
      </w:r>
      <w:proofErr w:type="spellEnd"/>
      <w:r w:rsidRPr="00C531D7">
        <w:rPr>
          <w:rFonts w:cs="Times New Roman"/>
          <w:i/>
          <w:lang w:val="en-GB"/>
        </w:rPr>
        <w:t xml:space="preserve"> </w:t>
      </w:r>
      <w:proofErr w:type="spellStart"/>
      <w:r w:rsidRPr="00C531D7">
        <w:rPr>
          <w:rFonts w:cs="Times New Roman"/>
          <w:i/>
          <w:lang w:val="en-GB"/>
        </w:rPr>
        <w:t>mladih</w:t>
      </w:r>
      <w:proofErr w:type="spellEnd"/>
      <w:r w:rsidRPr="00C531D7">
        <w:rPr>
          <w:rFonts w:cs="Times New Roman"/>
          <w:lang w:val="en-GB"/>
        </w:rPr>
        <w:t>) (2013).</w:t>
      </w:r>
      <w:proofErr w:type="gramEnd"/>
      <w:r w:rsidRPr="00C531D7">
        <w:rPr>
          <w:rFonts w:cs="Times New Roman"/>
          <w:lang w:val="en-GB"/>
        </w:rPr>
        <w:t xml:space="preserve"> </w:t>
      </w:r>
    </w:p>
  </w:footnote>
  <w:footnote w:id="20">
    <w:p w14:paraId="46DB7C43" w14:textId="77777777" w:rsidR="000309DC" w:rsidRPr="00C531D7" w:rsidRDefault="000309DC" w:rsidP="00C531D7">
      <w:pPr>
        <w:spacing w:after="0"/>
        <w:jc w:val="both"/>
        <w:rPr>
          <w:rFonts w:cs="Times New Roman"/>
          <w:sz w:val="20"/>
          <w:szCs w:val="20"/>
          <w:lang w:val="en-GB"/>
        </w:rPr>
      </w:pPr>
      <w:r w:rsidRPr="00C531D7">
        <w:rPr>
          <w:rStyle w:val="FootnoteReference"/>
          <w:rFonts w:cs="Times New Roman"/>
          <w:sz w:val="20"/>
          <w:szCs w:val="20"/>
        </w:rPr>
        <w:footnoteRef/>
      </w:r>
      <w:r w:rsidRPr="00C531D7">
        <w:rPr>
          <w:rFonts w:cs="Times New Roman"/>
          <w:sz w:val="20"/>
          <w:szCs w:val="20"/>
        </w:rPr>
        <w:t xml:space="preserve"> </w:t>
      </w:r>
      <w:proofErr w:type="gramStart"/>
      <w:r w:rsidRPr="00C531D7">
        <w:rPr>
          <w:rFonts w:cs="Times New Roman"/>
          <w:sz w:val="20"/>
          <w:szCs w:val="20"/>
        </w:rPr>
        <w:t>Croatia (2012) Act on Local Elections (</w:t>
      </w:r>
      <w:r w:rsidRPr="00C531D7">
        <w:rPr>
          <w:rFonts w:cs="Times New Roman"/>
          <w:i/>
          <w:sz w:val="20"/>
          <w:szCs w:val="20"/>
          <w:lang w:val="hr-HR"/>
        </w:rPr>
        <w:t>Zakon o lokalnim izborima</w:t>
      </w:r>
      <w:r w:rsidRPr="00C531D7">
        <w:rPr>
          <w:rFonts w:cs="Times New Roman"/>
          <w:sz w:val="20"/>
          <w:szCs w:val="20"/>
          <w:lang w:val="hr-HR"/>
        </w:rPr>
        <w:t xml:space="preserve">), </w:t>
      </w:r>
      <w:r w:rsidRPr="00C531D7">
        <w:rPr>
          <w:rFonts w:cs="Times New Roman"/>
          <w:sz w:val="20"/>
          <w:szCs w:val="20"/>
        </w:rPr>
        <w:t>Official Gazette (</w:t>
      </w:r>
      <w:proofErr w:type="spellStart"/>
      <w:r w:rsidRPr="00C531D7">
        <w:rPr>
          <w:rFonts w:cs="Times New Roman"/>
          <w:i/>
          <w:sz w:val="20"/>
          <w:szCs w:val="20"/>
        </w:rPr>
        <w:t>Narodne</w:t>
      </w:r>
      <w:proofErr w:type="spellEnd"/>
      <w:r w:rsidRPr="00C531D7">
        <w:rPr>
          <w:rFonts w:cs="Times New Roman"/>
          <w:i/>
          <w:sz w:val="20"/>
          <w:szCs w:val="20"/>
        </w:rPr>
        <w:t xml:space="preserve"> </w:t>
      </w:r>
      <w:proofErr w:type="spellStart"/>
      <w:r w:rsidRPr="00C531D7">
        <w:rPr>
          <w:rFonts w:cs="Times New Roman"/>
          <w:i/>
          <w:sz w:val="20"/>
          <w:szCs w:val="20"/>
        </w:rPr>
        <w:t>novine</w:t>
      </w:r>
      <w:proofErr w:type="spellEnd"/>
      <w:r w:rsidRPr="00C531D7">
        <w:rPr>
          <w:rFonts w:cs="Times New Roman"/>
          <w:sz w:val="20"/>
          <w:szCs w:val="20"/>
        </w:rPr>
        <w:t>) No. 1</w:t>
      </w:r>
      <w:r w:rsidRPr="00C531D7">
        <w:rPr>
          <w:rFonts w:cs="Times New Roman"/>
          <w:sz w:val="20"/>
          <w:szCs w:val="20"/>
          <w:lang w:val="hr-HR"/>
        </w:rPr>
        <w:t>44/12.</w:t>
      </w:r>
      <w:proofErr w:type="gramEnd"/>
    </w:p>
  </w:footnote>
  <w:footnote w:id="21">
    <w:p w14:paraId="57FB2191" w14:textId="77777777" w:rsidR="000309DC" w:rsidRPr="00C531D7" w:rsidRDefault="000309DC" w:rsidP="00C531D7">
      <w:pPr>
        <w:pStyle w:val="FRAFootnoteText"/>
        <w:rPr>
          <w:rFonts w:asciiTheme="minorHAnsi" w:hAnsiTheme="minorHAnsi" w:cs="Times New Roman"/>
          <w:sz w:val="20"/>
          <w:szCs w:val="20"/>
          <w:lang w:val="hr-HR"/>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National Elections Committee (</w:t>
      </w:r>
      <w:proofErr w:type="spellStart"/>
      <w:r w:rsidRPr="00C531D7">
        <w:rPr>
          <w:rFonts w:asciiTheme="minorHAnsi" w:hAnsiTheme="minorHAnsi" w:cs="Times New Roman"/>
          <w:i/>
          <w:sz w:val="20"/>
          <w:szCs w:val="20"/>
        </w:rPr>
        <w:t>Državno</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izborno</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povjerenstvo</w:t>
      </w:r>
      <w:proofErr w:type="spellEnd"/>
      <w:r w:rsidRPr="00C531D7">
        <w:rPr>
          <w:rFonts w:asciiTheme="minorHAnsi" w:hAnsiTheme="minorHAnsi" w:cs="Times New Roman"/>
          <w:sz w:val="20"/>
          <w:szCs w:val="20"/>
        </w:rPr>
        <w:t>)  Mandatory instructions No VI on the manner of voting of voters with disabilities, illiterate voters and voters who cannot access the polling place (</w:t>
      </w:r>
      <w:proofErr w:type="spellStart"/>
      <w:r w:rsidRPr="00C531D7">
        <w:rPr>
          <w:rFonts w:asciiTheme="minorHAnsi" w:hAnsiTheme="minorHAnsi" w:cs="Times New Roman"/>
          <w:i/>
          <w:sz w:val="20"/>
          <w:szCs w:val="20"/>
        </w:rPr>
        <w:t>Obvezatne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upute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broj</w:t>
      </w:r>
      <w:proofErr w:type="spellEnd"/>
      <w:r w:rsidRPr="00C531D7">
        <w:rPr>
          <w:rFonts w:asciiTheme="minorHAnsi" w:hAnsiTheme="minorHAnsi" w:cs="Times New Roman"/>
          <w:i/>
          <w:sz w:val="20"/>
          <w:szCs w:val="20"/>
        </w:rPr>
        <w:t xml:space="preserve"> VI - O </w:t>
      </w:r>
      <w:proofErr w:type="spellStart"/>
      <w:r w:rsidRPr="00C531D7">
        <w:rPr>
          <w:rFonts w:asciiTheme="minorHAnsi" w:hAnsiTheme="minorHAnsi" w:cs="Times New Roman"/>
          <w:i/>
          <w:sz w:val="20"/>
          <w:szCs w:val="20"/>
        </w:rPr>
        <w:t>načinu</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glasovanja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birača</w:t>
      </w:r>
      <w:proofErr w:type="spellEnd"/>
      <w:r w:rsidRPr="00C531D7">
        <w:rPr>
          <w:rFonts w:asciiTheme="minorHAnsi" w:hAnsiTheme="minorHAnsi" w:cs="Times New Roman"/>
          <w:i/>
          <w:sz w:val="20"/>
          <w:szCs w:val="20"/>
        </w:rPr>
        <w:t xml:space="preserve"> - </w:t>
      </w:r>
      <w:proofErr w:type="spellStart"/>
      <w:r w:rsidRPr="00C531D7">
        <w:rPr>
          <w:rFonts w:asciiTheme="minorHAnsi" w:hAnsiTheme="minorHAnsi" w:cs="Times New Roman"/>
          <w:i/>
          <w:sz w:val="20"/>
          <w:szCs w:val="20"/>
        </w:rPr>
        <w:t>osoba</w:t>
      </w:r>
      <w:proofErr w:type="spellEnd"/>
      <w:r w:rsidRPr="00C531D7">
        <w:rPr>
          <w:rFonts w:asciiTheme="minorHAnsi" w:hAnsiTheme="minorHAnsi" w:cs="Times New Roman"/>
          <w:i/>
          <w:sz w:val="20"/>
          <w:szCs w:val="20"/>
        </w:rPr>
        <w:t xml:space="preserve"> s </w:t>
      </w:r>
      <w:proofErr w:type="spellStart"/>
      <w:r w:rsidRPr="00C531D7">
        <w:rPr>
          <w:rFonts w:asciiTheme="minorHAnsi" w:hAnsiTheme="minorHAnsi" w:cs="Times New Roman"/>
          <w:i/>
          <w:sz w:val="20"/>
          <w:szCs w:val="20"/>
        </w:rPr>
        <w:t>invaliditetom</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nepismenih</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birača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te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birača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koji</w:t>
      </w:r>
      <w:proofErr w:type="spellEnd"/>
      <w:r w:rsidRPr="00C531D7">
        <w:rPr>
          <w:rFonts w:asciiTheme="minorHAnsi" w:hAnsiTheme="minorHAnsi" w:cs="Times New Roman"/>
          <w:i/>
          <w:sz w:val="20"/>
          <w:szCs w:val="20"/>
        </w:rPr>
        <w:t xml:space="preserve"> ne </w:t>
      </w:r>
      <w:proofErr w:type="spellStart"/>
      <w:r w:rsidRPr="00C531D7">
        <w:rPr>
          <w:rFonts w:asciiTheme="minorHAnsi" w:hAnsiTheme="minorHAnsi" w:cs="Times New Roman"/>
          <w:i/>
          <w:sz w:val="20"/>
          <w:szCs w:val="20"/>
        </w:rPr>
        <w:t>mogu</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pristupiti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na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biračko</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mjesto</w:t>
      </w:r>
      <w:proofErr w:type="spellEnd"/>
      <w:r w:rsidRPr="00C531D7">
        <w:rPr>
          <w:rFonts w:asciiTheme="minorHAnsi" w:hAnsiTheme="minorHAnsi" w:cs="Times New Roman"/>
          <w:sz w:val="20"/>
          <w:szCs w:val="20"/>
        </w:rPr>
        <w:t xml:space="preserve">) (2013) available at: </w:t>
      </w:r>
      <w:hyperlink r:id="rId14" w:history="1">
        <w:r w:rsidRPr="00C531D7">
          <w:rPr>
            <w:rStyle w:val="Hyperlink"/>
            <w:rFonts w:asciiTheme="minorHAnsi" w:hAnsiTheme="minorHAnsi" w:cs="Times New Roman"/>
            <w:sz w:val="20"/>
            <w:szCs w:val="20"/>
          </w:rPr>
          <w:t>www.izbori.hr/izbori/dip_ws.nsf/public/index?open&amp;id=B9BA&amp;</w:t>
        </w:r>
      </w:hyperlink>
      <w:r w:rsidRPr="00C531D7">
        <w:rPr>
          <w:rFonts w:asciiTheme="minorHAnsi" w:hAnsiTheme="minorHAnsi" w:cs="Times New Roman"/>
          <w:sz w:val="20"/>
          <w:szCs w:val="20"/>
        </w:rPr>
        <w:t>.</w:t>
      </w:r>
    </w:p>
  </w:footnote>
  <w:footnote w:id="22">
    <w:p w14:paraId="1D1C9EA7" w14:textId="77777777" w:rsidR="000309DC" w:rsidRPr="00C531D7" w:rsidRDefault="000309DC" w:rsidP="00F466E0">
      <w:pPr>
        <w:pStyle w:val="FRAFootnoteText"/>
        <w:rPr>
          <w:rFonts w:asciiTheme="minorHAnsi" w:hAnsiTheme="minorHAnsi" w:cs="Times New Roman"/>
          <w:sz w:val="20"/>
          <w:szCs w:val="20"/>
          <w:lang w:val="en-GB"/>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w:t>
      </w:r>
      <w:r>
        <w:rPr>
          <w:rFonts w:asciiTheme="minorHAnsi" w:hAnsiTheme="minorHAnsi" w:cs="Times New Roman"/>
          <w:sz w:val="20"/>
          <w:szCs w:val="20"/>
        </w:rPr>
        <w:t xml:space="preserve">Information obtained from the </w:t>
      </w:r>
      <w:r w:rsidRPr="00C531D7">
        <w:rPr>
          <w:rFonts w:asciiTheme="minorHAnsi" w:hAnsiTheme="minorHAnsi" w:cs="Times New Roman"/>
          <w:sz w:val="20"/>
          <w:szCs w:val="20"/>
          <w:lang w:val="en-GB"/>
        </w:rPr>
        <w:t>Ministry of Public Administration (</w:t>
      </w:r>
      <w:proofErr w:type="spellStart"/>
      <w:r w:rsidRPr="00C531D7">
        <w:rPr>
          <w:rFonts w:asciiTheme="minorHAnsi" w:hAnsiTheme="minorHAnsi" w:cs="Times New Roman"/>
          <w:i/>
          <w:sz w:val="20"/>
          <w:szCs w:val="20"/>
          <w:lang w:val="en-GB"/>
        </w:rPr>
        <w:t>Ministarstvo</w:t>
      </w:r>
      <w:proofErr w:type="spellEnd"/>
      <w:r w:rsidRPr="00C531D7">
        <w:rPr>
          <w:rFonts w:asciiTheme="minorHAnsi" w:hAnsiTheme="minorHAnsi" w:cs="Times New Roman"/>
          <w:i/>
          <w:sz w:val="20"/>
          <w:szCs w:val="20"/>
          <w:lang w:val="en-GB"/>
        </w:rPr>
        <w:t xml:space="preserve"> </w:t>
      </w:r>
      <w:proofErr w:type="spellStart"/>
      <w:r w:rsidRPr="00C531D7">
        <w:rPr>
          <w:rFonts w:asciiTheme="minorHAnsi" w:hAnsiTheme="minorHAnsi" w:cs="Times New Roman"/>
          <w:i/>
          <w:sz w:val="20"/>
          <w:szCs w:val="20"/>
          <w:lang w:val="en-GB"/>
        </w:rPr>
        <w:t>javne</w:t>
      </w:r>
      <w:proofErr w:type="spellEnd"/>
      <w:r w:rsidRPr="00C531D7">
        <w:rPr>
          <w:rFonts w:asciiTheme="minorHAnsi" w:hAnsiTheme="minorHAnsi" w:cs="Times New Roman"/>
          <w:i/>
          <w:sz w:val="20"/>
          <w:szCs w:val="20"/>
          <w:lang w:val="en-GB"/>
        </w:rPr>
        <w:t xml:space="preserve"> </w:t>
      </w:r>
      <w:proofErr w:type="spellStart"/>
      <w:r w:rsidRPr="00C531D7">
        <w:rPr>
          <w:rFonts w:asciiTheme="minorHAnsi" w:hAnsiTheme="minorHAnsi" w:cs="Times New Roman"/>
          <w:i/>
          <w:sz w:val="20"/>
          <w:szCs w:val="20"/>
          <w:lang w:val="en-GB"/>
        </w:rPr>
        <w:t>uprave</w:t>
      </w:r>
      <w:proofErr w:type="spellEnd"/>
      <w:r w:rsidRPr="00C531D7">
        <w:rPr>
          <w:rFonts w:asciiTheme="minorHAnsi" w:hAnsiTheme="minorHAnsi" w:cs="Times New Roman"/>
          <w:sz w:val="20"/>
          <w:szCs w:val="20"/>
          <w:lang w:val="en-GB"/>
        </w:rPr>
        <w:t>) (2013)</w:t>
      </w:r>
      <w:r>
        <w:rPr>
          <w:rFonts w:asciiTheme="minorHAnsi" w:hAnsiTheme="minorHAnsi" w:cs="Times New Roman"/>
          <w:sz w:val="20"/>
          <w:szCs w:val="20"/>
          <w:lang w:val="en-GB"/>
        </w:rPr>
        <w:t xml:space="preserve">and from the </w:t>
      </w:r>
      <w:r w:rsidRPr="00C531D7">
        <w:rPr>
          <w:rFonts w:asciiTheme="minorHAnsi" w:hAnsiTheme="minorHAnsi" w:cs="Times New Roman"/>
          <w:sz w:val="20"/>
          <w:szCs w:val="20"/>
          <w:lang w:val="en-GB"/>
        </w:rPr>
        <w:t>National Election Committee of the Republic of Croatia (</w:t>
      </w:r>
      <w:proofErr w:type="spellStart"/>
      <w:r w:rsidRPr="00C531D7">
        <w:rPr>
          <w:rFonts w:asciiTheme="minorHAnsi" w:hAnsiTheme="minorHAnsi" w:cs="Times New Roman"/>
          <w:i/>
          <w:sz w:val="20"/>
          <w:szCs w:val="20"/>
          <w:lang w:val="en-GB"/>
        </w:rPr>
        <w:t>Državno</w:t>
      </w:r>
      <w:proofErr w:type="spellEnd"/>
      <w:r w:rsidRPr="00C531D7">
        <w:rPr>
          <w:rFonts w:asciiTheme="minorHAnsi" w:hAnsiTheme="minorHAnsi" w:cs="Times New Roman"/>
          <w:i/>
          <w:sz w:val="20"/>
          <w:szCs w:val="20"/>
          <w:lang w:val="en-GB"/>
        </w:rPr>
        <w:t xml:space="preserve"> </w:t>
      </w:r>
      <w:proofErr w:type="spellStart"/>
      <w:r w:rsidRPr="00C531D7">
        <w:rPr>
          <w:rFonts w:asciiTheme="minorHAnsi" w:hAnsiTheme="minorHAnsi" w:cs="Times New Roman"/>
          <w:i/>
          <w:sz w:val="20"/>
          <w:szCs w:val="20"/>
          <w:lang w:val="en-GB"/>
        </w:rPr>
        <w:t>izborno</w:t>
      </w:r>
      <w:proofErr w:type="spellEnd"/>
      <w:r w:rsidRPr="00C531D7">
        <w:rPr>
          <w:rFonts w:asciiTheme="minorHAnsi" w:hAnsiTheme="minorHAnsi" w:cs="Times New Roman"/>
          <w:i/>
          <w:sz w:val="20"/>
          <w:szCs w:val="20"/>
          <w:lang w:val="en-GB"/>
        </w:rPr>
        <w:t xml:space="preserve"> </w:t>
      </w:r>
      <w:proofErr w:type="spellStart"/>
      <w:r w:rsidRPr="00C531D7">
        <w:rPr>
          <w:rFonts w:asciiTheme="minorHAnsi" w:hAnsiTheme="minorHAnsi" w:cs="Times New Roman"/>
          <w:i/>
          <w:sz w:val="20"/>
          <w:szCs w:val="20"/>
          <w:lang w:val="en-GB"/>
        </w:rPr>
        <w:t>povjerenstvo</w:t>
      </w:r>
      <w:proofErr w:type="spellEnd"/>
      <w:r w:rsidRPr="00C531D7">
        <w:rPr>
          <w:rFonts w:asciiTheme="minorHAnsi" w:hAnsiTheme="minorHAnsi" w:cs="Times New Roman"/>
          <w:sz w:val="20"/>
          <w:szCs w:val="20"/>
          <w:lang w:val="en-GB"/>
        </w:rPr>
        <w:t xml:space="preserve">) (2013) </w:t>
      </w:r>
    </w:p>
  </w:footnote>
  <w:footnote w:id="23">
    <w:p w14:paraId="5843A897" w14:textId="77777777" w:rsidR="000309DC" w:rsidRPr="00C531D7" w:rsidRDefault="000309DC" w:rsidP="00C531D7">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the Elections of Representatives from the Republic of Croatia to the European Parliament (</w:t>
      </w:r>
      <w:proofErr w:type="spellStart"/>
      <w:r w:rsidRPr="00C531D7">
        <w:rPr>
          <w:rFonts w:asciiTheme="minorHAnsi" w:hAnsiTheme="minorHAnsi" w:cs="Times New Roman"/>
          <w:i/>
          <w:sz w:val="20"/>
          <w:szCs w:val="20"/>
        </w:rPr>
        <w:t>Zakon</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izborima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zastupnika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iz</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Republike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Hrvatske</w:t>
      </w:r>
      <w:proofErr w:type="spellEnd"/>
      <w:r w:rsidRPr="00C531D7">
        <w:rPr>
          <w:rFonts w:asciiTheme="minorHAnsi" w:hAnsiTheme="minorHAnsi" w:cs="Times New Roman"/>
          <w:i/>
          <w:sz w:val="20"/>
          <w:szCs w:val="20"/>
        </w:rPr>
        <w:t xml:space="preserve"> u </w:t>
      </w:r>
      <w:proofErr w:type="spellStart"/>
      <w:r w:rsidRPr="00C531D7">
        <w:rPr>
          <w:rFonts w:asciiTheme="minorHAnsi" w:hAnsiTheme="minorHAnsi" w:cs="Times New Roman"/>
          <w:i/>
          <w:sz w:val="20"/>
          <w:szCs w:val="20"/>
        </w:rPr>
        <w:t>Europski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parlament</w:t>
      </w:r>
      <w:proofErr w:type="spellEnd"/>
      <w:r w:rsidRPr="00C531D7">
        <w:rPr>
          <w:rFonts w:asciiTheme="minorHAnsi" w:hAnsiTheme="minorHAnsi" w:cs="Times New Roman"/>
          <w:sz w:val="20"/>
          <w:szCs w:val="20"/>
        </w:rPr>
        <w:t>) (2010) Official Gazette (</w:t>
      </w:r>
      <w:proofErr w:type="spellStart"/>
      <w:r w:rsidRPr="00C531D7">
        <w:rPr>
          <w:rFonts w:asciiTheme="minorHAnsi" w:hAnsiTheme="minorHAnsi" w:cs="Times New Roman"/>
          <w:i/>
          <w:sz w:val="20"/>
          <w:szCs w:val="20"/>
        </w:rPr>
        <w:t>Narodne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novine</w:t>
      </w:r>
      <w:proofErr w:type="spellEnd"/>
      <w:r w:rsidRPr="00C531D7">
        <w:rPr>
          <w:rFonts w:asciiTheme="minorHAnsi" w:hAnsiTheme="minorHAnsi" w:cs="Times New Roman"/>
          <w:sz w:val="20"/>
          <w:szCs w:val="20"/>
        </w:rPr>
        <w:t xml:space="preserve">) Nos. 92/10 and No. 23/13. Available at: </w:t>
      </w:r>
      <w:hyperlink r:id="rId15" w:history="1">
        <w:r w:rsidRPr="00C531D7">
          <w:rPr>
            <w:rStyle w:val="Hyperlink"/>
            <w:rFonts w:asciiTheme="minorHAnsi" w:hAnsiTheme="minorHAnsi" w:cs="Times New Roman"/>
            <w:sz w:val="20"/>
            <w:szCs w:val="20"/>
          </w:rPr>
          <w:t>http://narodne-novine.nn.hr/clanci/sluzbeni/2010_07_92_2591.html</w:t>
        </w:r>
      </w:hyperlink>
      <w:r w:rsidRPr="00C531D7">
        <w:rPr>
          <w:rFonts w:asciiTheme="minorHAnsi" w:hAnsiTheme="minorHAnsi" w:cs="Times New Roman"/>
          <w:sz w:val="20"/>
          <w:szCs w:val="20"/>
        </w:rPr>
        <w:t xml:space="preserve"> and </w:t>
      </w:r>
      <w:hyperlink r:id="rId16" w:history="1">
        <w:r w:rsidRPr="00C531D7">
          <w:rPr>
            <w:rStyle w:val="Hyperlink"/>
            <w:rFonts w:asciiTheme="minorHAnsi" w:hAnsiTheme="minorHAnsi" w:cs="Times New Roman"/>
            <w:sz w:val="20"/>
            <w:szCs w:val="20"/>
          </w:rPr>
          <w:t>http://narodne-novine.nn.hr/clanci/sluzbeni/2013_02_23_382.html</w:t>
        </w:r>
      </w:hyperlink>
      <w:r w:rsidRPr="00C531D7">
        <w:rPr>
          <w:rFonts w:asciiTheme="minorHAnsi" w:hAnsiTheme="minorHAnsi" w:cs="Times New Roman"/>
          <w:sz w:val="20"/>
          <w:szCs w:val="20"/>
        </w:rPr>
        <w:t>.</w:t>
      </w:r>
    </w:p>
  </w:footnote>
  <w:footnote w:id="24">
    <w:p w14:paraId="36A79ECB" w14:textId="77777777" w:rsidR="000309DC" w:rsidRPr="00C531D7" w:rsidRDefault="000309DC" w:rsidP="00C531D7">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the Amendments to the Act on the Elections of Representatives from the Republic of Croatia to the European Parliament (</w:t>
      </w:r>
      <w:proofErr w:type="spellStart"/>
      <w:r w:rsidRPr="00C531D7">
        <w:rPr>
          <w:rFonts w:asciiTheme="minorHAnsi" w:hAnsiTheme="minorHAnsi" w:cs="Times New Roman"/>
          <w:i/>
          <w:sz w:val="20"/>
          <w:szCs w:val="20"/>
        </w:rPr>
        <w:t>Zakon</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izmjenama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dopunama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Zakona</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izborima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zastupnika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iz</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Republike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Hrvatske</w:t>
      </w:r>
      <w:proofErr w:type="spellEnd"/>
      <w:r w:rsidRPr="00C531D7">
        <w:rPr>
          <w:rFonts w:asciiTheme="minorHAnsi" w:hAnsiTheme="minorHAnsi" w:cs="Times New Roman"/>
          <w:i/>
          <w:sz w:val="20"/>
          <w:szCs w:val="20"/>
        </w:rPr>
        <w:t xml:space="preserve"> u </w:t>
      </w:r>
      <w:proofErr w:type="spellStart"/>
      <w:r w:rsidRPr="00C531D7">
        <w:rPr>
          <w:rFonts w:asciiTheme="minorHAnsi" w:hAnsiTheme="minorHAnsi" w:cs="Times New Roman"/>
          <w:i/>
          <w:sz w:val="20"/>
          <w:szCs w:val="20"/>
        </w:rPr>
        <w:t>Europski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parlament</w:t>
      </w:r>
      <w:proofErr w:type="spellEnd"/>
      <w:r w:rsidRPr="00C531D7">
        <w:rPr>
          <w:rFonts w:asciiTheme="minorHAnsi" w:hAnsiTheme="minorHAnsi" w:cs="Times New Roman"/>
          <w:sz w:val="20"/>
          <w:szCs w:val="20"/>
        </w:rPr>
        <w:t>) (2013) Official Gazette (</w:t>
      </w:r>
      <w:proofErr w:type="spellStart"/>
      <w:r w:rsidRPr="00C531D7">
        <w:rPr>
          <w:rFonts w:asciiTheme="minorHAnsi" w:hAnsiTheme="minorHAnsi" w:cs="Times New Roman"/>
          <w:i/>
          <w:sz w:val="20"/>
          <w:szCs w:val="20"/>
        </w:rPr>
        <w:t>Narodne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novine</w:t>
      </w:r>
      <w:proofErr w:type="spellEnd"/>
      <w:r w:rsidRPr="00C531D7">
        <w:rPr>
          <w:rFonts w:asciiTheme="minorHAnsi" w:hAnsiTheme="minorHAnsi" w:cs="Times New Roman"/>
          <w:sz w:val="20"/>
          <w:szCs w:val="20"/>
        </w:rPr>
        <w:t xml:space="preserve">) No. 23/13. Available at: </w:t>
      </w:r>
      <w:hyperlink r:id="rId17" w:history="1">
        <w:r w:rsidRPr="00C531D7">
          <w:rPr>
            <w:rStyle w:val="Hyperlink"/>
            <w:rFonts w:asciiTheme="minorHAnsi" w:hAnsiTheme="minorHAnsi" w:cs="Times New Roman"/>
            <w:sz w:val="20"/>
            <w:szCs w:val="20"/>
          </w:rPr>
          <w:t>http://narodne-novine.nn.hr/clanci/sluzbeni/2013_02_23_382.html</w:t>
        </w:r>
      </w:hyperlink>
      <w:r w:rsidRPr="00C531D7">
        <w:rPr>
          <w:rFonts w:asciiTheme="minorHAnsi" w:hAnsiTheme="minorHAnsi" w:cs="Times New Roman"/>
          <w:sz w:val="20"/>
          <w:szCs w:val="20"/>
        </w:rPr>
        <w:t>.</w:t>
      </w:r>
    </w:p>
  </w:footnote>
  <w:footnote w:id="25">
    <w:p w14:paraId="5783A7D6" w14:textId="77777777" w:rsidR="000309DC" w:rsidRPr="00C531D7" w:rsidRDefault="000309DC" w:rsidP="00C531D7">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w:t>
      </w:r>
      <w:r w:rsidRPr="00C531D7">
        <w:rPr>
          <w:rFonts w:asciiTheme="minorHAnsi" w:hAnsiTheme="minorHAnsi" w:cs="Times New Roman"/>
          <w:sz w:val="20"/>
          <w:szCs w:val="20"/>
          <w:lang w:val="en-GB"/>
        </w:rPr>
        <w:t xml:space="preserve">Proposal of the Act on Amendments to the Act </w:t>
      </w:r>
      <w:r w:rsidRPr="00C531D7">
        <w:rPr>
          <w:rFonts w:asciiTheme="minorHAnsi" w:hAnsiTheme="minorHAnsi" w:cs="Times New Roman"/>
          <w:sz w:val="20"/>
          <w:szCs w:val="20"/>
        </w:rPr>
        <w:t>on the Elections of Representatives from the Republic of Croatia to the European Parliament (</w:t>
      </w:r>
      <w:proofErr w:type="spellStart"/>
      <w:r w:rsidRPr="00C531D7">
        <w:rPr>
          <w:rFonts w:asciiTheme="minorHAnsi" w:hAnsiTheme="minorHAnsi" w:cs="Times New Roman"/>
          <w:i/>
          <w:sz w:val="20"/>
          <w:szCs w:val="20"/>
        </w:rPr>
        <w:t>Prijedlog</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zakona</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izmjenama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dopunama</w:t>
      </w:r>
      <w:proofErr w:type="spellEnd"/>
      <w:r w:rsidRPr="00C531D7">
        <w:rPr>
          <w:rFonts w:asciiTheme="minorHAnsi" w:hAnsiTheme="minorHAnsi" w:cs="Times New Roman"/>
          <w:sz w:val="20"/>
          <w:szCs w:val="20"/>
        </w:rPr>
        <w:t xml:space="preserve"> </w:t>
      </w:r>
      <w:proofErr w:type="spellStart"/>
      <w:r w:rsidRPr="00C531D7">
        <w:rPr>
          <w:rFonts w:asciiTheme="minorHAnsi" w:hAnsiTheme="minorHAnsi" w:cs="Times New Roman"/>
          <w:i/>
          <w:sz w:val="20"/>
          <w:szCs w:val="20"/>
        </w:rPr>
        <w:t>Zakona</w:t>
      </w:r>
      <w:proofErr w:type="spellEnd"/>
      <w:r w:rsidRPr="00C531D7">
        <w:rPr>
          <w:rFonts w:asciiTheme="minorHAnsi" w:hAnsiTheme="minorHAnsi" w:cs="Times New Roman"/>
          <w:i/>
          <w:sz w:val="20"/>
          <w:szCs w:val="20"/>
        </w:rPr>
        <w:t xml:space="preserve"> o </w:t>
      </w:r>
      <w:proofErr w:type="spellStart"/>
      <w:r w:rsidRPr="00C531D7">
        <w:rPr>
          <w:rFonts w:asciiTheme="minorHAnsi" w:hAnsiTheme="minorHAnsi" w:cs="Times New Roman"/>
          <w:i/>
          <w:sz w:val="20"/>
          <w:szCs w:val="20"/>
        </w:rPr>
        <w:t>izborima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zastupnika</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iz</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Republike</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Hrvatske</w:t>
      </w:r>
      <w:proofErr w:type="spellEnd"/>
      <w:r w:rsidRPr="00C531D7">
        <w:rPr>
          <w:rFonts w:asciiTheme="minorHAnsi" w:hAnsiTheme="minorHAnsi" w:cs="Times New Roman"/>
          <w:i/>
          <w:sz w:val="20"/>
          <w:szCs w:val="20"/>
        </w:rPr>
        <w:t xml:space="preserve"> u </w:t>
      </w:r>
      <w:proofErr w:type="spellStart"/>
      <w:r w:rsidRPr="00C531D7">
        <w:rPr>
          <w:rFonts w:asciiTheme="minorHAnsi" w:hAnsiTheme="minorHAnsi" w:cs="Times New Roman"/>
          <w:i/>
          <w:sz w:val="20"/>
          <w:szCs w:val="20"/>
        </w:rPr>
        <w:t>Europski</w:t>
      </w:r>
      <w:proofErr w:type="spellEnd"/>
      <w:r w:rsidRPr="00C531D7">
        <w:rPr>
          <w:rFonts w:asciiTheme="minorHAnsi" w:hAnsiTheme="minorHAnsi" w:cs="Times New Roman"/>
          <w:i/>
          <w:sz w:val="20"/>
          <w:szCs w:val="20"/>
        </w:rPr>
        <w:t xml:space="preserve"> </w:t>
      </w:r>
      <w:proofErr w:type="spellStart"/>
      <w:r w:rsidRPr="00C531D7">
        <w:rPr>
          <w:rFonts w:asciiTheme="minorHAnsi" w:hAnsiTheme="minorHAnsi" w:cs="Times New Roman"/>
          <w:i/>
          <w:sz w:val="20"/>
          <w:szCs w:val="20"/>
        </w:rPr>
        <w:t>parlament</w:t>
      </w:r>
      <w:proofErr w:type="spellEnd"/>
      <w:r w:rsidRPr="00C531D7">
        <w:rPr>
          <w:rFonts w:asciiTheme="minorHAnsi" w:hAnsiTheme="minorHAnsi" w:cs="Times New Roman"/>
          <w:sz w:val="20"/>
          <w:szCs w:val="20"/>
        </w:rPr>
        <w:t>) (2013) available at: www.sabor.hr/prijedlog-zakona-o-izmjenama-i-dopunama-zakona-o-i.</w:t>
      </w:r>
    </w:p>
  </w:footnote>
  <w:footnote w:id="26">
    <w:p w14:paraId="6D3AF127"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proofErr w:type="gramStart"/>
      <w:r w:rsidRPr="00C531D7">
        <w:rPr>
          <w:rFonts w:cs="Times New Roman"/>
          <w:lang w:val="en-GB"/>
        </w:rPr>
        <w:t>Croatia (2008) Act on Electronic Communications (</w:t>
      </w:r>
      <w:proofErr w:type="spellStart"/>
      <w:r w:rsidRPr="00C531D7">
        <w:rPr>
          <w:rFonts w:cs="Times New Roman"/>
          <w:i/>
          <w:lang w:val="en-GB"/>
        </w:rPr>
        <w:t>Zakon</w:t>
      </w:r>
      <w:proofErr w:type="spellEnd"/>
      <w:r w:rsidRPr="00C531D7">
        <w:rPr>
          <w:rFonts w:cs="Times New Roman"/>
          <w:i/>
          <w:lang w:val="en-GB"/>
        </w:rPr>
        <w:t xml:space="preserve"> o </w:t>
      </w:r>
      <w:proofErr w:type="spellStart"/>
      <w:r w:rsidRPr="00C531D7">
        <w:rPr>
          <w:rFonts w:cs="Times New Roman"/>
          <w:i/>
          <w:lang w:val="en-GB"/>
        </w:rPr>
        <w:t>elektroničkim</w:t>
      </w:r>
      <w:proofErr w:type="spellEnd"/>
      <w:r w:rsidRPr="00C531D7">
        <w:rPr>
          <w:rFonts w:cs="Times New Roman"/>
          <w:i/>
          <w:lang w:val="en-GB"/>
        </w:rPr>
        <w:t xml:space="preserve"> </w:t>
      </w:r>
      <w:proofErr w:type="spellStart"/>
      <w:r w:rsidRPr="00C531D7">
        <w:rPr>
          <w:rFonts w:cs="Times New Roman"/>
          <w:i/>
          <w:lang w:val="en-GB"/>
        </w:rPr>
        <w:t>komunikacijama</w:t>
      </w:r>
      <w:proofErr w:type="spellEnd"/>
      <w:r w:rsidRPr="00C531D7">
        <w:rPr>
          <w:rFonts w:cs="Times New Roman"/>
          <w:lang w:val="en-GB"/>
        </w:rPr>
        <w:t xml:space="preserve">), </w:t>
      </w:r>
      <w:r w:rsidRPr="00C531D7">
        <w:rPr>
          <w:rFonts w:cs="Times New Roman"/>
        </w:rPr>
        <w:t>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Nos. 73/08, 90/11, 133/12, 80/13.</w:t>
      </w:r>
      <w:proofErr w:type="gramEnd"/>
    </w:p>
  </w:footnote>
  <w:footnote w:id="27">
    <w:p w14:paraId="094244B5" w14:textId="2A473E84"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lang w:val="en-GB"/>
        </w:rPr>
        <w:t>Information obtained from the n</w:t>
      </w:r>
      <w:r w:rsidRPr="00C531D7">
        <w:rPr>
          <w:rFonts w:cs="Times New Roman"/>
          <w:lang w:val="en-GB"/>
        </w:rPr>
        <w:t>ational Election Committee of the Republic of Croatia (</w:t>
      </w:r>
      <w:proofErr w:type="spellStart"/>
      <w:r w:rsidRPr="00C531D7">
        <w:rPr>
          <w:rFonts w:cs="Times New Roman"/>
          <w:i/>
          <w:lang w:val="en-GB"/>
        </w:rPr>
        <w:t>Državno</w:t>
      </w:r>
      <w:proofErr w:type="spellEnd"/>
      <w:r w:rsidRPr="00C531D7">
        <w:rPr>
          <w:rFonts w:cs="Times New Roman"/>
          <w:i/>
          <w:lang w:val="en-GB"/>
        </w:rPr>
        <w:t xml:space="preserve"> </w:t>
      </w:r>
      <w:proofErr w:type="spellStart"/>
      <w:r w:rsidRPr="00C531D7">
        <w:rPr>
          <w:rFonts w:cs="Times New Roman"/>
          <w:i/>
          <w:lang w:val="en-GB"/>
        </w:rPr>
        <w:t>izborno</w:t>
      </w:r>
      <w:proofErr w:type="spellEnd"/>
      <w:r w:rsidRPr="00C531D7">
        <w:rPr>
          <w:rFonts w:cs="Times New Roman"/>
          <w:i/>
          <w:lang w:val="en-GB"/>
        </w:rPr>
        <w:t xml:space="preserve"> </w:t>
      </w:r>
      <w:proofErr w:type="spellStart"/>
      <w:r w:rsidRPr="00C531D7">
        <w:rPr>
          <w:rFonts w:cs="Times New Roman"/>
          <w:i/>
          <w:lang w:val="en-GB"/>
        </w:rPr>
        <w:t>povjerenstvo</w:t>
      </w:r>
      <w:proofErr w:type="spellEnd"/>
      <w:r w:rsidRPr="00C531D7">
        <w:rPr>
          <w:rFonts w:cs="Times New Roman"/>
          <w:lang w:val="en-GB"/>
        </w:rPr>
        <w:t xml:space="preserve">) (2013) </w:t>
      </w:r>
    </w:p>
  </w:footnote>
  <w:footnote w:id="28">
    <w:p w14:paraId="4E5277A5" w14:textId="77777777" w:rsidR="000309DC" w:rsidRPr="0075708B" w:rsidRDefault="000309DC" w:rsidP="00C531D7">
      <w:pPr>
        <w:pStyle w:val="FootnoteText"/>
        <w:jc w:val="both"/>
        <w:rPr>
          <w:rFonts w:cs="Times New Roman"/>
          <w:lang w:val="it-IT"/>
        </w:rPr>
      </w:pPr>
      <w:r w:rsidRPr="00C531D7">
        <w:rPr>
          <w:rStyle w:val="FootnoteReference"/>
          <w:rFonts w:cs="Times New Roman"/>
        </w:rPr>
        <w:footnoteRef/>
      </w:r>
      <w:r w:rsidRPr="0075708B">
        <w:rPr>
          <w:rFonts w:cs="Times New Roman"/>
          <w:lang w:val="it-IT"/>
        </w:rPr>
        <w:t xml:space="preserve"> </w:t>
      </w:r>
      <w:proofErr w:type="spellStart"/>
      <w:r w:rsidRPr="0075708B">
        <w:rPr>
          <w:rFonts w:cs="Times New Roman"/>
          <w:lang w:val="it-IT"/>
        </w:rPr>
        <w:t>Croatia</w:t>
      </w:r>
      <w:proofErr w:type="spellEnd"/>
      <w:r w:rsidRPr="0075708B">
        <w:rPr>
          <w:rFonts w:cs="Times New Roman"/>
          <w:lang w:val="it-IT"/>
        </w:rPr>
        <w:t xml:space="preserve"> (2009) Electronic Media </w:t>
      </w:r>
      <w:proofErr w:type="spellStart"/>
      <w:r w:rsidRPr="0075708B">
        <w:rPr>
          <w:rFonts w:cs="Times New Roman"/>
          <w:lang w:val="it-IT"/>
        </w:rPr>
        <w:t>Act</w:t>
      </w:r>
      <w:proofErr w:type="spellEnd"/>
      <w:r w:rsidRPr="0075708B">
        <w:rPr>
          <w:rFonts w:cs="Times New Roman"/>
          <w:lang w:val="it-IT"/>
        </w:rPr>
        <w:t xml:space="preserve"> (</w:t>
      </w:r>
      <w:proofErr w:type="spellStart"/>
      <w:r w:rsidRPr="0075708B">
        <w:rPr>
          <w:rFonts w:cs="Times New Roman"/>
          <w:i/>
          <w:lang w:val="it-IT"/>
        </w:rPr>
        <w:t>Zakon</w:t>
      </w:r>
      <w:proofErr w:type="spellEnd"/>
      <w:r w:rsidRPr="0075708B">
        <w:rPr>
          <w:rFonts w:cs="Times New Roman"/>
          <w:i/>
          <w:lang w:val="it-IT"/>
        </w:rPr>
        <w:t xml:space="preserve"> o </w:t>
      </w:r>
      <w:proofErr w:type="spellStart"/>
      <w:r w:rsidRPr="0075708B">
        <w:rPr>
          <w:rFonts w:cs="Times New Roman"/>
          <w:i/>
          <w:lang w:val="it-IT"/>
        </w:rPr>
        <w:t>elektroničkim</w:t>
      </w:r>
      <w:proofErr w:type="spellEnd"/>
      <w:r w:rsidRPr="0075708B">
        <w:rPr>
          <w:rFonts w:cs="Times New Roman"/>
          <w:i/>
          <w:lang w:val="it-IT"/>
        </w:rPr>
        <w:t xml:space="preserve"> </w:t>
      </w:r>
      <w:proofErr w:type="spellStart"/>
      <w:r w:rsidRPr="0075708B">
        <w:rPr>
          <w:rFonts w:cs="Times New Roman"/>
          <w:i/>
          <w:lang w:val="it-IT"/>
        </w:rPr>
        <w:t>medijima</w:t>
      </w:r>
      <w:proofErr w:type="spellEnd"/>
      <w:r w:rsidRPr="0075708B">
        <w:rPr>
          <w:rFonts w:cs="Times New Roman"/>
          <w:lang w:val="it-IT"/>
        </w:rPr>
        <w:t xml:space="preserve">), </w:t>
      </w:r>
      <w:proofErr w:type="spellStart"/>
      <w:r w:rsidRPr="0075708B">
        <w:rPr>
          <w:rFonts w:cs="Times New Roman"/>
          <w:lang w:val="it-IT"/>
        </w:rPr>
        <w:t>Official</w:t>
      </w:r>
      <w:proofErr w:type="spellEnd"/>
      <w:r w:rsidRPr="0075708B">
        <w:rPr>
          <w:rFonts w:cs="Times New Roman"/>
          <w:lang w:val="it-IT"/>
        </w:rPr>
        <w:t xml:space="preserve"> </w:t>
      </w:r>
      <w:proofErr w:type="spellStart"/>
      <w:r w:rsidRPr="0075708B">
        <w:rPr>
          <w:rFonts w:cs="Times New Roman"/>
          <w:lang w:val="it-IT"/>
        </w:rPr>
        <w:t>Gazette</w:t>
      </w:r>
      <w:proofErr w:type="spellEnd"/>
      <w:r w:rsidRPr="0075708B">
        <w:rPr>
          <w:rFonts w:cs="Times New Roman"/>
          <w:lang w:val="it-IT"/>
        </w:rPr>
        <w:t xml:space="preserve"> (</w:t>
      </w:r>
      <w:proofErr w:type="spellStart"/>
      <w:r w:rsidRPr="0075708B">
        <w:rPr>
          <w:rFonts w:cs="Times New Roman"/>
          <w:i/>
          <w:lang w:val="it-IT"/>
        </w:rPr>
        <w:t>Narodne</w:t>
      </w:r>
      <w:proofErr w:type="spellEnd"/>
      <w:r w:rsidRPr="0075708B">
        <w:rPr>
          <w:rFonts w:cs="Times New Roman"/>
          <w:i/>
          <w:lang w:val="it-IT"/>
        </w:rPr>
        <w:t xml:space="preserve"> </w:t>
      </w:r>
      <w:proofErr w:type="spellStart"/>
      <w:r w:rsidRPr="0075708B">
        <w:rPr>
          <w:rFonts w:cs="Times New Roman"/>
          <w:i/>
          <w:lang w:val="it-IT"/>
        </w:rPr>
        <w:t>novine</w:t>
      </w:r>
      <w:proofErr w:type="spellEnd"/>
      <w:r w:rsidRPr="0075708B">
        <w:rPr>
          <w:rFonts w:cs="Times New Roman"/>
          <w:lang w:val="it-IT"/>
        </w:rPr>
        <w:t>) Nos. 153/09, 84/11, 94/13.</w:t>
      </w:r>
    </w:p>
  </w:footnote>
  <w:footnote w:id="29">
    <w:p w14:paraId="4CC4CF01"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proofErr w:type="gramStart"/>
      <w:r w:rsidRPr="00C531D7">
        <w:rPr>
          <w:rFonts w:cs="Times New Roman"/>
        </w:rPr>
        <w:t>Croatia (2010).</w:t>
      </w:r>
      <w:proofErr w:type="gramEnd"/>
      <w:r w:rsidRPr="00C531D7">
        <w:rPr>
          <w:rFonts w:cs="Times New Roman"/>
        </w:rPr>
        <w:t xml:space="preserve"> </w:t>
      </w:r>
      <w:r w:rsidRPr="00C531D7">
        <w:rPr>
          <w:rFonts w:cs="Times New Roman"/>
          <w:lang w:val="hr-HR"/>
        </w:rPr>
        <w:t>Act on Croatian Radio-Television (</w:t>
      </w:r>
      <w:r w:rsidRPr="00C531D7">
        <w:rPr>
          <w:rFonts w:cs="Times New Roman"/>
          <w:i/>
          <w:lang w:val="hr-HR"/>
        </w:rPr>
        <w:t>Zakon o Hrvatskoj radioteleviziji).</w:t>
      </w:r>
      <w:r w:rsidRPr="00C531D7">
        <w:rPr>
          <w:rFonts w:cs="Times New Roman"/>
        </w:rPr>
        <w:t xml:space="preserve"> 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Nos. 137/10, 76/12.</w:t>
      </w:r>
    </w:p>
  </w:footnote>
  <w:footnote w:id="30">
    <w:p w14:paraId="35463FF1" w14:textId="77777777" w:rsidR="000309DC" w:rsidRPr="00C531D7" w:rsidRDefault="000309DC" w:rsidP="00C531D7">
      <w:pPr>
        <w:pStyle w:val="FootnoteText"/>
        <w:jc w:val="both"/>
      </w:pPr>
      <w:r w:rsidRPr="00C531D7">
        <w:rPr>
          <w:rStyle w:val="FootnoteReference"/>
        </w:rPr>
        <w:footnoteRef/>
      </w:r>
      <w:r w:rsidRPr="00C531D7">
        <w:t xml:space="preserve"> </w:t>
      </w:r>
      <w:r w:rsidRPr="00C531D7">
        <w:rPr>
          <w:rFonts w:eastAsia="Calibri" w:cs="Times New Roman"/>
          <w:lang w:val="en-GB"/>
        </w:rPr>
        <w:t>Contract between Croatian radio-television and the Government of the Republic of Croatia for the period from 1 January 2013 to 31 December 2017 (</w:t>
      </w:r>
      <w:proofErr w:type="spellStart"/>
      <w:r w:rsidRPr="00C531D7">
        <w:rPr>
          <w:rFonts w:eastAsia="Calibri" w:cs="Times New Roman"/>
          <w:i/>
          <w:lang w:val="en-GB"/>
        </w:rPr>
        <w:t>Ugovor</w:t>
      </w:r>
      <w:proofErr w:type="spellEnd"/>
      <w:r w:rsidRPr="00C531D7">
        <w:rPr>
          <w:rFonts w:eastAsia="Calibri" w:cs="Times New Roman"/>
          <w:i/>
          <w:lang w:val="en-GB"/>
        </w:rPr>
        <w:t xml:space="preserve"> </w:t>
      </w:r>
      <w:proofErr w:type="spellStart"/>
      <w:r w:rsidRPr="00C531D7">
        <w:rPr>
          <w:rFonts w:eastAsia="Calibri" w:cs="Times New Roman"/>
          <w:i/>
          <w:lang w:val="en-GB"/>
        </w:rPr>
        <w:t>između</w:t>
      </w:r>
      <w:proofErr w:type="spellEnd"/>
      <w:r w:rsidRPr="00C531D7">
        <w:rPr>
          <w:rFonts w:eastAsia="Calibri" w:cs="Times New Roman"/>
          <w:i/>
          <w:lang w:val="en-GB"/>
        </w:rPr>
        <w:t xml:space="preserve"> </w:t>
      </w:r>
      <w:proofErr w:type="spellStart"/>
      <w:r w:rsidRPr="00C531D7">
        <w:rPr>
          <w:rFonts w:eastAsia="Calibri" w:cs="Times New Roman"/>
          <w:i/>
          <w:lang w:val="en-GB"/>
        </w:rPr>
        <w:t>Hrvatske</w:t>
      </w:r>
      <w:proofErr w:type="spellEnd"/>
      <w:r w:rsidRPr="00C531D7">
        <w:rPr>
          <w:rFonts w:eastAsia="Calibri" w:cs="Times New Roman"/>
          <w:i/>
          <w:lang w:val="en-GB"/>
        </w:rPr>
        <w:t xml:space="preserve"> </w:t>
      </w:r>
      <w:proofErr w:type="spellStart"/>
      <w:r w:rsidRPr="00C531D7">
        <w:rPr>
          <w:rFonts w:eastAsia="Calibri" w:cs="Times New Roman"/>
          <w:i/>
          <w:lang w:val="en-GB"/>
        </w:rPr>
        <w:t>radiotelevizije</w:t>
      </w:r>
      <w:proofErr w:type="spellEnd"/>
      <w:r w:rsidRPr="00C531D7">
        <w:rPr>
          <w:rFonts w:eastAsia="Calibri" w:cs="Times New Roman"/>
          <w:i/>
          <w:lang w:val="en-GB"/>
        </w:rPr>
        <w:t xml:space="preserve"> </w:t>
      </w:r>
      <w:proofErr w:type="spellStart"/>
      <w:r w:rsidRPr="00C531D7">
        <w:rPr>
          <w:rFonts w:eastAsia="Calibri" w:cs="Times New Roman"/>
          <w:i/>
          <w:lang w:val="en-GB"/>
        </w:rPr>
        <w:t>i</w:t>
      </w:r>
      <w:proofErr w:type="spellEnd"/>
      <w:r w:rsidRPr="00C531D7">
        <w:rPr>
          <w:rFonts w:eastAsia="Calibri" w:cs="Times New Roman"/>
          <w:i/>
          <w:lang w:val="en-GB"/>
        </w:rPr>
        <w:t xml:space="preserve"> </w:t>
      </w:r>
      <w:proofErr w:type="spellStart"/>
      <w:r w:rsidRPr="00C531D7">
        <w:rPr>
          <w:rFonts w:eastAsia="Calibri" w:cs="Times New Roman"/>
          <w:i/>
          <w:lang w:val="en-GB"/>
        </w:rPr>
        <w:t>Vlade</w:t>
      </w:r>
      <w:proofErr w:type="spellEnd"/>
      <w:r w:rsidRPr="00C531D7">
        <w:rPr>
          <w:rFonts w:eastAsia="Calibri" w:cs="Times New Roman"/>
          <w:i/>
          <w:lang w:val="en-GB"/>
        </w:rPr>
        <w:t xml:space="preserve"> </w:t>
      </w:r>
      <w:proofErr w:type="spellStart"/>
      <w:r w:rsidRPr="00C531D7">
        <w:rPr>
          <w:rFonts w:eastAsia="Calibri" w:cs="Times New Roman"/>
          <w:i/>
          <w:lang w:val="en-GB"/>
        </w:rPr>
        <w:t>Republike</w:t>
      </w:r>
      <w:proofErr w:type="spellEnd"/>
      <w:r w:rsidRPr="00C531D7">
        <w:rPr>
          <w:rFonts w:eastAsia="Calibri" w:cs="Times New Roman"/>
          <w:i/>
          <w:lang w:val="en-GB"/>
        </w:rPr>
        <w:t xml:space="preserve"> </w:t>
      </w:r>
      <w:proofErr w:type="spellStart"/>
      <w:r w:rsidRPr="00C531D7">
        <w:rPr>
          <w:rFonts w:eastAsia="Calibri" w:cs="Times New Roman"/>
          <w:i/>
          <w:lang w:val="en-GB"/>
        </w:rPr>
        <w:t>Hrvatske</w:t>
      </w:r>
      <w:proofErr w:type="spellEnd"/>
      <w:r w:rsidRPr="00C531D7">
        <w:rPr>
          <w:rFonts w:eastAsia="Calibri" w:cs="Times New Roman"/>
          <w:i/>
          <w:lang w:val="en-GB"/>
        </w:rPr>
        <w:t xml:space="preserve"> </w:t>
      </w:r>
      <w:proofErr w:type="spellStart"/>
      <w:r w:rsidRPr="00C531D7">
        <w:rPr>
          <w:rFonts w:eastAsia="Calibri" w:cs="Times New Roman"/>
          <w:i/>
          <w:lang w:val="en-GB"/>
        </w:rPr>
        <w:t>za</w:t>
      </w:r>
      <w:proofErr w:type="spellEnd"/>
      <w:r w:rsidRPr="00C531D7">
        <w:rPr>
          <w:rFonts w:eastAsia="Calibri" w:cs="Times New Roman"/>
          <w:i/>
          <w:lang w:val="en-GB"/>
        </w:rPr>
        <w:t xml:space="preserve"> </w:t>
      </w:r>
      <w:proofErr w:type="spellStart"/>
      <w:r w:rsidRPr="00C531D7">
        <w:rPr>
          <w:rFonts w:eastAsia="Calibri" w:cs="Times New Roman"/>
          <w:i/>
          <w:lang w:val="en-GB"/>
        </w:rPr>
        <w:t>razdoblje</w:t>
      </w:r>
      <w:proofErr w:type="spellEnd"/>
      <w:r w:rsidRPr="00C531D7">
        <w:rPr>
          <w:rFonts w:eastAsia="Calibri" w:cs="Times New Roman"/>
          <w:i/>
          <w:lang w:val="en-GB"/>
        </w:rPr>
        <w:t xml:space="preserve"> od 1. </w:t>
      </w:r>
      <w:proofErr w:type="spellStart"/>
      <w:r w:rsidRPr="00C531D7">
        <w:rPr>
          <w:rFonts w:eastAsia="Calibri" w:cs="Times New Roman"/>
          <w:i/>
          <w:lang w:val="en-GB"/>
        </w:rPr>
        <w:t>siječnja</w:t>
      </w:r>
      <w:proofErr w:type="spellEnd"/>
      <w:r w:rsidRPr="00C531D7">
        <w:rPr>
          <w:rFonts w:eastAsia="Calibri" w:cs="Times New Roman"/>
          <w:i/>
          <w:lang w:val="en-GB"/>
        </w:rPr>
        <w:t xml:space="preserve"> 2013. do 31. </w:t>
      </w:r>
      <w:proofErr w:type="spellStart"/>
      <w:r w:rsidRPr="00C531D7">
        <w:rPr>
          <w:rFonts w:eastAsia="Calibri" w:cs="Times New Roman"/>
          <w:i/>
          <w:lang w:val="en-GB"/>
        </w:rPr>
        <w:t>prosinca</w:t>
      </w:r>
      <w:proofErr w:type="spellEnd"/>
      <w:r w:rsidRPr="00C531D7">
        <w:rPr>
          <w:rFonts w:eastAsia="Calibri" w:cs="Times New Roman"/>
          <w:i/>
          <w:lang w:val="en-GB"/>
        </w:rPr>
        <w:t xml:space="preserve"> 2017.</w:t>
      </w:r>
      <w:r w:rsidRPr="00C531D7">
        <w:rPr>
          <w:rFonts w:eastAsia="Calibri" w:cs="Times New Roman"/>
          <w:lang w:val="en-GB"/>
        </w:rPr>
        <w:t xml:space="preserve">), available at: </w:t>
      </w:r>
      <w:hyperlink r:id="rId18" w:history="1">
        <w:r w:rsidRPr="00C531D7">
          <w:rPr>
            <w:rStyle w:val="Hyperlink"/>
          </w:rPr>
          <w:t>www.hrt.hr/index.php?id=organizacija&amp;tx_ttnews[tt_news]=200491&amp;cHash=a9b7bb3ae8</w:t>
        </w:r>
      </w:hyperlink>
      <w:r w:rsidRPr="00C531D7">
        <w:t>.</w:t>
      </w:r>
    </w:p>
    <w:p w14:paraId="630FCD93" w14:textId="77777777" w:rsidR="000309DC" w:rsidRPr="00C531D7" w:rsidRDefault="000309DC" w:rsidP="00C531D7">
      <w:pPr>
        <w:pStyle w:val="FootnoteText"/>
        <w:jc w:val="both"/>
        <w:rPr>
          <w:lang w:val="hr-HR"/>
        </w:rPr>
      </w:pPr>
    </w:p>
  </w:footnote>
  <w:footnote w:id="31">
    <w:p w14:paraId="704E761D"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proofErr w:type="gramStart"/>
      <w:r w:rsidRPr="00C531D7">
        <w:rPr>
          <w:rFonts w:cs="Times New Roman"/>
          <w:lang w:val="en-GB"/>
        </w:rPr>
        <w:t>Croatia (2006).</w:t>
      </w:r>
      <w:proofErr w:type="gramEnd"/>
      <w:r w:rsidRPr="00C531D7">
        <w:rPr>
          <w:rFonts w:cs="Times New Roman"/>
          <w:lang w:val="en-GB"/>
        </w:rPr>
        <w:t xml:space="preserve"> Act on the National Election Committee of the Republic of Croatia (</w:t>
      </w:r>
      <w:proofErr w:type="spellStart"/>
      <w:r w:rsidRPr="00C531D7">
        <w:rPr>
          <w:rFonts w:cs="Times New Roman"/>
          <w:i/>
          <w:lang w:val="en-GB"/>
        </w:rPr>
        <w:t>Zakon</w:t>
      </w:r>
      <w:proofErr w:type="spellEnd"/>
      <w:r w:rsidRPr="00C531D7">
        <w:rPr>
          <w:rFonts w:cs="Times New Roman"/>
          <w:i/>
          <w:lang w:val="en-GB"/>
        </w:rPr>
        <w:t xml:space="preserve"> o </w:t>
      </w:r>
      <w:proofErr w:type="spellStart"/>
      <w:r w:rsidRPr="00C531D7">
        <w:rPr>
          <w:rFonts w:cs="Times New Roman"/>
          <w:i/>
          <w:lang w:val="en-GB"/>
        </w:rPr>
        <w:t>Državnom</w:t>
      </w:r>
      <w:proofErr w:type="spellEnd"/>
      <w:r w:rsidRPr="00C531D7">
        <w:rPr>
          <w:rFonts w:cs="Times New Roman"/>
          <w:i/>
          <w:lang w:val="en-GB"/>
        </w:rPr>
        <w:t xml:space="preserve"> </w:t>
      </w:r>
      <w:proofErr w:type="spellStart"/>
      <w:r w:rsidRPr="00C531D7">
        <w:rPr>
          <w:rFonts w:cs="Times New Roman"/>
          <w:i/>
          <w:lang w:val="en-GB"/>
        </w:rPr>
        <w:t>izbornom</w:t>
      </w:r>
      <w:proofErr w:type="spellEnd"/>
      <w:r w:rsidRPr="00C531D7">
        <w:rPr>
          <w:rFonts w:cs="Times New Roman"/>
          <w:i/>
          <w:lang w:val="en-GB"/>
        </w:rPr>
        <w:t xml:space="preserve"> </w:t>
      </w:r>
      <w:proofErr w:type="spellStart"/>
      <w:r w:rsidRPr="00C531D7">
        <w:rPr>
          <w:rFonts w:cs="Times New Roman"/>
          <w:i/>
          <w:lang w:val="en-GB"/>
        </w:rPr>
        <w:t>povjerenstvu</w:t>
      </w:r>
      <w:proofErr w:type="spellEnd"/>
      <w:r w:rsidRPr="00C531D7">
        <w:rPr>
          <w:rFonts w:cs="Times New Roman"/>
          <w:i/>
          <w:lang w:val="en-GB"/>
        </w:rPr>
        <w:t xml:space="preserve"> </w:t>
      </w:r>
      <w:proofErr w:type="spellStart"/>
      <w:r w:rsidRPr="00C531D7">
        <w:rPr>
          <w:rFonts w:cs="Times New Roman"/>
          <w:i/>
          <w:lang w:val="en-GB"/>
        </w:rPr>
        <w:t>Republike</w:t>
      </w:r>
      <w:proofErr w:type="spellEnd"/>
      <w:r w:rsidRPr="00C531D7">
        <w:rPr>
          <w:rFonts w:cs="Times New Roman"/>
          <w:i/>
          <w:lang w:val="en-GB"/>
        </w:rPr>
        <w:t xml:space="preserve"> </w:t>
      </w:r>
      <w:proofErr w:type="spellStart"/>
      <w:r w:rsidRPr="00C531D7">
        <w:rPr>
          <w:rFonts w:cs="Times New Roman"/>
          <w:i/>
          <w:lang w:val="en-GB"/>
        </w:rPr>
        <w:t>Hrvatske</w:t>
      </w:r>
      <w:proofErr w:type="spellEnd"/>
      <w:r w:rsidRPr="00C531D7">
        <w:rPr>
          <w:rFonts w:cs="Times New Roman"/>
          <w:lang w:val="en-GB"/>
        </w:rPr>
        <w:t>)</w:t>
      </w:r>
      <w:r w:rsidRPr="00C531D7">
        <w:rPr>
          <w:rFonts w:cs="Times New Roman"/>
        </w:rPr>
        <w:t>.Official Gazette (</w:t>
      </w:r>
      <w:proofErr w:type="spellStart"/>
      <w:r w:rsidRPr="00C531D7">
        <w:rPr>
          <w:rFonts w:cs="Times New Roman"/>
          <w:i/>
        </w:rPr>
        <w:t>Narodne</w:t>
      </w:r>
      <w:proofErr w:type="spellEnd"/>
      <w:r w:rsidRPr="00C531D7">
        <w:rPr>
          <w:rFonts w:cs="Times New Roman"/>
          <w:i/>
        </w:rPr>
        <w:t xml:space="preserve"> </w:t>
      </w:r>
      <w:proofErr w:type="spellStart"/>
      <w:r w:rsidRPr="00C531D7">
        <w:rPr>
          <w:rFonts w:cs="Times New Roman"/>
          <w:i/>
        </w:rPr>
        <w:t>novine</w:t>
      </w:r>
      <w:proofErr w:type="spellEnd"/>
      <w:r w:rsidRPr="00C531D7">
        <w:rPr>
          <w:rFonts w:cs="Times New Roman"/>
        </w:rPr>
        <w:t>) Nos. 44/06, 19/07.</w:t>
      </w:r>
    </w:p>
  </w:footnote>
  <w:footnote w:id="32">
    <w:p w14:paraId="0D161E17" w14:textId="0A361CA2" w:rsidR="000309DC" w:rsidRPr="00C531D7" w:rsidRDefault="000309DC" w:rsidP="00C531D7">
      <w:pPr>
        <w:pStyle w:val="FootnoteText"/>
        <w:jc w:val="both"/>
        <w:rPr>
          <w:lang w:val="hr-HR"/>
        </w:rPr>
      </w:pPr>
      <w:r w:rsidRPr="00C531D7">
        <w:rPr>
          <w:rStyle w:val="FootnoteReference"/>
        </w:rPr>
        <w:footnoteRef/>
      </w:r>
      <w:r w:rsidRPr="00C531D7">
        <w:t xml:space="preserve"> </w:t>
      </w:r>
      <w:r w:rsidRPr="00C531D7">
        <w:rPr>
          <w:rFonts w:cs="Times New Roman"/>
        </w:rPr>
        <w:t xml:space="preserve">National Election Committee of the Republic of Croatia (2013), </w:t>
      </w:r>
      <w:r w:rsidRPr="00C531D7">
        <w:rPr>
          <w:rFonts w:eastAsia="Calibri" w:cs="Times New Roman"/>
          <w:lang w:val="en-GB"/>
        </w:rPr>
        <w:t>Memorandum on election committee activities</w:t>
      </w:r>
      <w:r w:rsidRPr="00C531D7">
        <w:rPr>
          <w:rFonts w:cs="Times New Roman"/>
        </w:rPr>
        <w:t xml:space="preserve"> during local elections of 2013 (</w:t>
      </w:r>
      <w:proofErr w:type="spellStart"/>
      <w:r w:rsidRPr="00C531D7">
        <w:rPr>
          <w:rFonts w:cs="Times New Roman"/>
          <w:i/>
        </w:rPr>
        <w:t>Podsjetnik</w:t>
      </w:r>
      <w:proofErr w:type="spellEnd"/>
      <w:r w:rsidRPr="00C531D7">
        <w:rPr>
          <w:rFonts w:cs="Times New Roman"/>
          <w:i/>
        </w:rPr>
        <w:t xml:space="preserve"> </w:t>
      </w:r>
      <w:proofErr w:type="spellStart"/>
      <w:r w:rsidRPr="00C531D7">
        <w:rPr>
          <w:rFonts w:cs="Times New Roman"/>
          <w:i/>
        </w:rPr>
        <w:t>za</w:t>
      </w:r>
      <w:proofErr w:type="spellEnd"/>
      <w:r w:rsidRPr="00C531D7">
        <w:rPr>
          <w:rFonts w:cs="Times New Roman"/>
          <w:i/>
        </w:rPr>
        <w:t xml:space="preserve"> rad </w:t>
      </w:r>
      <w:proofErr w:type="spellStart"/>
      <w:r w:rsidRPr="00C531D7">
        <w:rPr>
          <w:rFonts w:cs="Times New Roman"/>
          <w:i/>
        </w:rPr>
        <w:t>biračkih</w:t>
      </w:r>
      <w:proofErr w:type="spellEnd"/>
      <w:r w:rsidRPr="00C531D7">
        <w:rPr>
          <w:rFonts w:cs="Times New Roman"/>
          <w:i/>
        </w:rPr>
        <w:t xml:space="preserve"> </w:t>
      </w:r>
      <w:proofErr w:type="spellStart"/>
      <w:r w:rsidRPr="00C531D7">
        <w:rPr>
          <w:rFonts w:cs="Times New Roman"/>
          <w:i/>
        </w:rPr>
        <w:t>odbora</w:t>
      </w:r>
      <w:proofErr w:type="spellEnd"/>
      <w:r w:rsidRPr="00C531D7">
        <w:rPr>
          <w:rFonts w:cs="Times New Roman"/>
          <w:i/>
        </w:rPr>
        <w:t xml:space="preserve"> </w:t>
      </w:r>
      <w:proofErr w:type="spellStart"/>
      <w:r w:rsidRPr="00C531D7">
        <w:rPr>
          <w:rFonts w:cs="Times New Roman"/>
          <w:i/>
        </w:rPr>
        <w:t>na</w:t>
      </w:r>
      <w:proofErr w:type="spellEnd"/>
      <w:r w:rsidRPr="00C531D7">
        <w:rPr>
          <w:rFonts w:cs="Times New Roman"/>
          <w:i/>
        </w:rPr>
        <w:t xml:space="preserve"> </w:t>
      </w:r>
      <w:proofErr w:type="spellStart"/>
      <w:r w:rsidRPr="00C531D7">
        <w:rPr>
          <w:rFonts w:cs="Times New Roman"/>
          <w:i/>
        </w:rPr>
        <w:t>lokalnim</w:t>
      </w:r>
      <w:proofErr w:type="spellEnd"/>
      <w:r w:rsidRPr="00C531D7">
        <w:rPr>
          <w:rFonts w:cs="Times New Roman"/>
          <w:i/>
        </w:rPr>
        <w:t xml:space="preserve"> </w:t>
      </w:r>
      <w:proofErr w:type="spellStart"/>
      <w:r w:rsidRPr="00C531D7">
        <w:rPr>
          <w:rFonts w:cs="Times New Roman"/>
          <w:i/>
        </w:rPr>
        <w:t>izborima</w:t>
      </w:r>
      <w:proofErr w:type="spellEnd"/>
      <w:r w:rsidRPr="00C531D7">
        <w:rPr>
          <w:rFonts w:cs="Times New Roman"/>
          <w:i/>
        </w:rPr>
        <w:t xml:space="preserve"> 2013</w:t>
      </w:r>
      <w:r w:rsidRPr="00C531D7">
        <w:rPr>
          <w:rFonts w:cs="Times New Roman"/>
        </w:rPr>
        <w:t xml:space="preserve">), May 2013, available at:  </w:t>
      </w:r>
      <w:hyperlink r:id="rId19" w:history="1">
        <w:r w:rsidRPr="00C531D7">
          <w:rPr>
            <w:rStyle w:val="Hyperlink"/>
            <w:rFonts w:cs="Times New Roman"/>
          </w:rPr>
          <w:t>www.izbori.hr/izbori/dip_ws.nsf/0/C2E719F120F9E14AC1257B680039F7CB/$file/Podsjetnik%20o%20radu%20bira%C4%8Dkih%20odbora.pdf</w:t>
        </w:r>
      </w:hyperlink>
      <w:r>
        <w:rPr>
          <w:rFonts w:cs="Times New Roman"/>
        </w:rPr>
        <w:t xml:space="preserve"> ; </w:t>
      </w:r>
      <w:r w:rsidRPr="00C7671D">
        <w:t xml:space="preserve"> </w:t>
      </w:r>
      <w:r w:rsidRPr="00C531D7">
        <w:t xml:space="preserve">National Election Committee of the Republic of Croatia (2013), </w:t>
      </w:r>
      <w:r w:rsidRPr="00C531D7">
        <w:rPr>
          <w:rFonts w:eastAsia="Calibri"/>
          <w:lang w:val="en-GB"/>
        </w:rPr>
        <w:t>Memorandum on election committee activities</w:t>
      </w:r>
      <w:r w:rsidRPr="00C531D7">
        <w:t xml:space="preserve"> during elections of members to the European Parliament (</w:t>
      </w:r>
      <w:proofErr w:type="spellStart"/>
      <w:r w:rsidRPr="00C531D7">
        <w:rPr>
          <w:i/>
        </w:rPr>
        <w:t>Podsjetnik</w:t>
      </w:r>
      <w:proofErr w:type="spellEnd"/>
      <w:r w:rsidRPr="00C531D7">
        <w:rPr>
          <w:i/>
        </w:rPr>
        <w:t xml:space="preserve"> </w:t>
      </w:r>
      <w:proofErr w:type="spellStart"/>
      <w:r w:rsidRPr="00C531D7">
        <w:rPr>
          <w:i/>
        </w:rPr>
        <w:t>za</w:t>
      </w:r>
      <w:proofErr w:type="spellEnd"/>
      <w:r w:rsidRPr="00C531D7">
        <w:rPr>
          <w:i/>
        </w:rPr>
        <w:t xml:space="preserve"> rad </w:t>
      </w:r>
      <w:proofErr w:type="spellStart"/>
      <w:r w:rsidRPr="00C531D7">
        <w:rPr>
          <w:i/>
        </w:rPr>
        <w:t>biračkih</w:t>
      </w:r>
      <w:proofErr w:type="spellEnd"/>
      <w:r w:rsidRPr="00C531D7">
        <w:rPr>
          <w:i/>
        </w:rPr>
        <w:t xml:space="preserve"> </w:t>
      </w:r>
      <w:proofErr w:type="spellStart"/>
      <w:r w:rsidRPr="00C531D7">
        <w:rPr>
          <w:i/>
        </w:rPr>
        <w:t>odbora</w:t>
      </w:r>
      <w:proofErr w:type="spellEnd"/>
      <w:r w:rsidRPr="00C531D7">
        <w:rPr>
          <w:i/>
        </w:rPr>
        <w:t xml:space="preserve"> </w:t>
      </w:r>
      <w:proofErr w:type="spellStart"/>
      <w:r w:rsidRPr="00C531D7">
        <w:rPr>
          <w:i/>
        </w:rPr>
        <w:t>na</w:t>
      </w:r>
      <w:proofErr w:type="spellEnd"/>
      <w:r w:rsidRPr="00C531D7">
        <w:rPr>
          <w:i/>
        </w:rPr>
        <w:t xml:space="preserve"> </w:t>
      </w:r>
      <w:proofErr w:type="spellStart"/>
      <w:r w:rsidRPr="00C531D7">
        <w:rPr>
          <w:i/>
        </w:rPr>
        <w:t>izborima</w:t>
      </w:r>
      <w:proofErr w:type="spellEnd"/>
      <w:r w:rsidRPr="00C531D7">
        <w:rPr>
          <w:i/>
        </w:rPr>
        <w:t xml:space="preserve"> </w:t>
      </w:r>
      <w:proofErr w:type="spellStart"/>
      <w:r w:rsidRPr="00C531D7">
        <w:rPr>
          <w:i/>
        </w:rPr>
        <w:t>za</w:t>
      </w:r>
      <w:proofErr w:type="spellEnd"/>
      <w:r w:rsidRPr="00C531D7">
        <w:rPr>
          <w:i/>
        </w:rPr>
        <w:t xml:space="preserve"> </w:t>
      </w:r>
      <w:proofErr w:type="spellStart"/>
      <w:r w:rsidRPr="00C531D7">
        <w:rPr>
          <w:i/>
        </w:rPr>
        <w:t>izbor</w:t>
      </w:r>
      <w:proofErr w:type="spellEnd"/>
      <w:r w:rsidRPr="00C531D7">
        <w:rPr>
          <w:i/>
        </w:rPr>
        <w:t xml:space="preserve"> </w:t>
      </w:r>
      <w:proofErr w:type="spellStart"/>
      <w:r w:rsidRPr="00C531D7">
        <w:rPr>
          <w:i/>
        </w:rPr>
        <w:t>članova</w:t>
      </w:r>
      <w:proofErr w:type="spellEnd"/>
      <w:r w:rsidRPr="00C531D7">
        <w:rPr>
          <w:i/>
        </w:rPr>
        <w:t xml:space="preserve"> u </w:t>
      </w:r>
      <w:proofErr w:type="spellStart"/>
      <w:r w:rsidRPr="00C531D7">
        <w:rPr>
          <w:i/>
        </w:rPr>
        <w:t>Europski</w:t>
      </w:r>
      <w:proofErr w:type="spellEnd"/>
      <w:r w:rsidRPr="00C531D7">
        <w:rPr>
          <w:i/>
        </w:rPr>
        <w:t xml:space="preserve"> </w:t>
      </w:r>
      <w:proofErr w:type="spellStart"/>
      <w:r w:rsidRPr="00C531D7">
        <w:rPr>
          <w:i/>
        </w:rPr>
        <w:t>Parlament</w:t>
      </w:r>
      <w:proofErr w:type="spellEnd"/>
      <w:r w:rsidRPr="00C531D7">
        <w:t xml:space="preserve">), 14 April 2013, available at:  </w:t>
      </w:r>
      <w:hyperlink r:id="rId20" w:history="1">
        <w:r w:rsidRPr="00C531D7">
          <w:rPr>
            <w:rStyle w:val="Hyperlink"/>
          </w:rPr>
          <w:t>www.izbori.hr/izbori/dip_ws.nsf/0/E297CC23E685B87BC1257B3D005293B2/$file/EP_podsjetnik_za_rad_BO_tuzemstvo.pdf</w:t>
        </w:r>
      </w:hyperlink>
      <w:r>
        <w:rPr>
          <w:rStyle w:val="Hyperlink"/>
        </w:rPr>
        <w:t>.</w:t>
      </w:r>
    </w:p>
  </w:footnote>
  <w:footnote w:id="33">
    <w:p w14:paraId="2F80E202" w14:textId="58F51BB0"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 xml:space="preserve">National Election Committee of the Republic of </w:t>
      </w:r>
      <w:proofErr w:type="gramStart"/>
      <w:r w:rsidRPr="00C531D7">
        <w:rPr>
          <w:rFonts w:cs="Times New Roman"/>
          <w:lang w:val="en-GB"/>
        </w:rPr>
        <w:t>Croatia  (</w:t>
      </w:r>
      <w:proofErr w:type="spellStart"/>
      <w:proofErr w:type="gramEnd"/>
      <w:r w:rsidRPr="00C531D7">
        <w:rPr>
          <w:rFonts w:cs="Times New Roman"/>
          <w:i/>
          <w:lang w:val="en-GB"/>
        </w:rPr>
        <w:t>Državno</w:t>
      </w:r>
      <w:proofErr w:type="spellEnd"/>
      <w:r w:rsidRPr="00C531D7">
        <w:rPr>
          <w:rFonts w:cs="Times New Roman"/>
          <w:i/>
          <w:lang w:val="en-GB"/>
        </w:rPr>
        <w:t xml:space="preserve"> </w:t>
      </w:r>
      <w:proofErr w:type="spellStart"/>
      <w:r w:rsidRPr="00C531D7">
        <w:rPr>
          <w:rFonts w:cs="Times New Roman"/>
          <w:i/>
          <w:lang w:val="en-GB"/>
        </w:rPr>
        <w:t>izborno</w:t>
      </w:r>
      <w:proofErr w:type="spellEnd"/>
      <w:r w:rsidRPr="00C531D7">
        <w:rPr>
          <w:rFonts w:cs="Times New Roman"/>
          <w:i/>
          <w:lang w:val="en-GB"/>
        </w:rPr>
        <w:t xml:space="preserve"> </w:t>
      </w:r>
      <w:proofErr w:type="spellStart"/>
      <w:r w:rsidRPr="00C531D7">
        <w:rPr>
          <w:rFonts w:cs="Times New Roman"/>
          <w:i/>
          <w:lang w:val="en-GB"/>
        </w:rPr>
        <w:t>povjerenstvo</w:t>
      </w:r>
      <w:proofErr w:type="spellEnd"/>
      <w:r w:rsidRPr="00C531D7">
        <w:rPr>
          <w:rFonts w:cs="Times New Roman"/>
          <w:lang w:val="en-GB"/>
        </w:rPr>
        <w:t xml:space="preserve">) (2013) </w:t>
      </w:r>
      <w:r>
        <w:rPr>
          <w:rFonts w:cs="Times New Roman"/>
          <w:lang w:val="en-GB"/>
        </w:rPr>
        <w:t>.</w:t>
      </w:r>
    </w:p>
  </w:footnote>
  <w:footnote w:id="34">
    <w:p w14:paraId="48D6A094" w14:textId="4BD01E73" w:rsidR="000309DC" w:rsidRPr="00C531D7" w:rsidRDefault="000309DC" w:rsidP="00C531D7">
      <w:pPr>
        <w:pStyle w:val="FootnoteText"/>
        <w:jc w:val="both"/>
        <w:rPr>
          <w:rFonts w:cs="Times New Roman"/>
          <w:lang w:val="en-GB"/>
        </w:rPr>
      </w:pPr>
      <w:r w:rsidRPr="00C531D7">
        <w:rPr>
          <w:rStyle w:val="FootnoteReference"/>
          <w:rFonts w:cs="Times New Roman"/>
        </w:rPr>
        <w:footnoteRef/>
      </w:r>
      <w:proofErr w:type="gramStart"/>
      <w:r w:rsidRPr="00C531D7">
        <w:rPr>
          <w:rFonts w:eastAsia="Calibri" w:cs="Times New Roman"/>
          <w:lang w:val="en-GB"/>
        </w:rPr>
        <w:t>Office of the Ombudswoman for Persons with Disabilities (</w:t>
      </w:r>
      <w:proofErr w:type="spellStart"/>
      <w:r w:rsidRPr="00C531D7">
        <w:rPr>
          <w:rFonts w:eastAsia="Calibri" w:cs="Times New Roman"/>
          <w:i/>
          <w:lang w:val="en-GB"/>
        </w:rPr>
        <w:t>Ured</w:t>
      </w:r>
      <w:proofErr w:type="spellEnd"/>
      <w:r w:rsidRPr="00C531D7">
        <w:rPr>
          <w:rFonts w:eastAsia="Calibri" w:cs="Times New Roman"/>
          <w:i/>
          <w:lang w:val="en-GB"/>
        </w:rPr>
        <w:t xml:space="preserve"> </w:t>
      </w:r>
      <w:proofErr w:type="spellStart"/>
      <w:r w:rsidRPr="00C531D7">
        <w:rPr>
          <w:rFonts w:eastAsia="Calibri" w:cs="Times New Roman"/>
          <w:i/>
          <w:lang w:val="en-GB"/>
        </w:rPr>
        <w:t>pravobraniteljice</w:t>
      </w:r>
      <w:proofErr w:type="spellEnd"/>
      <w:r w:rsidRPr="00C531D7">
        <w:rPr>
          <w:rFonts w:eastAsia="Calibri" w:cs="Times New Roman"/>
          <w:i/>
          <w:lang w:val="en-GB"/>
        </w:rPr>
        <w:t xml:space="preserve"> </w:t>
      </w:r>
      <w:proofErr w:type="spellStart"/>
      <w:r w:rsidRPr="00C531D7">
        <w:rPr>
          <w:rFonts w:eastAsia="Calibri" w:cs="Times New Roman"/>
          <w:i/>
          <w:lang w:val="en-GB"/>
        </w:rPr>
        <w:t>za</w:t>
      </w:r>
      <w:proofErr w:type="spellEnd"/>
      <w:r w:rsidRPr="00C531D7">
        <w:rPr>
          <w:rFonts w:eastAsia="Calibri" w:cs="Times New Roman"/>
          <w:i/>
          <w:lang w:val="en-GB"/>
        </w:rPr>
        <w:t xml:space="preserve"> </w:t>
      </w:r>
      <w:proofErr w:type="spellStart"/>
      <w:r w:rsidRPr="00C531D7">
        <w:rPr>
          <w:rFonts w:eastAsia="Calibri" w:cs="Times New Roman"/>
          <w:i/>
          <w:lang w:val="en-GB"/>
        </w:rPr>
        <w:t>osobe</w:t>
      </w:r>
      <w:proofErr w:type="spellEnd"/>
      <w:r w:rsidRPr="00C531D7">
        <w:rPr>
          <w:rFonts w:eastAsia="Calibri" w:cs="Times New Roman"/>
          <w:i/>
          <w:lang w:val="en-GB"/>
        </w:rPr>
        <w:t xml:space="preserve"> s </w:t>
      </w:r>
      <w:proofErr w:type="spellStart"/>
      <w:r w:rsidRPr="00C531D7">
        <w:rPr>
          <w:rFonts w:eastAsia="Calibri" w:cs="Times New Roman"/>
          <w:i/>
          <w:lang w:val="en-GB"/>
        </w:rPr>
        <w:t>invaliditetom</w:t>
      </w:r>
      <w:proofErr w:type="spellEnd"/>
      <w:r w:rsidRPr="00C531D7">
        <w:rPr>
          <w:rFonts w:eastAsia="Calibri" w:cs="Times New Roman"/>
          <w:lang w:val="en-GB"/>
        </w:rPr>
        <w:t>) (2013).</w:t>
      </w:r>
      <w:proofErr w:type="gramEnd"/>
    </w:p>
  </w:footnote>
  <w:footnote w:id="35">
    <w:p w14:paraId="400E0E7C" w14:textId="77777777" w:rsidR="000309DC" w:rsidRPr="00C531D7" w:rsidRDefault="000309DC" w:rsidP="00033732">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National Election Committee of the Republic of Croatia (</w:t>
      </w:r>
      <w:proofErr w:type="spellStart"/>
      <w:r w:rsidRPr="00C531D7">
        <w:rPr>
          <w:rFonts w:cs="Times New Roman"/>
          <w:i/>
          <w:lang w:val="en-GB"/>
        </w:rPr>
        <w:t>Državno</w:t>
      </w:r>
      <w:proofErr w:type="spellEnd"/>
      <w:r w:rsidRPr="00C531D7">
        <w:rPr>
          <w:rFonts w:cs="Times New Roman"/>
          <w:i/>
          <w:lang w:val="en-GB"/>
        </w:rPr>
        <w:t xml:space="preserve"> </w:t>
      </w:r>
      <w:proofErr w:type="spellStart"/>
      <w:r w:rsidRPr="00C531D7">
        <w:rPr>
          <w:rFonts w:cs="Times New Roman"/>
          <w:i/>
          <w:lang w:val="en-GB"/>
        </w:rPr>
        <w:t>izborno</w:t>
      </w:r>
      <w:proofErr w:type="spellEnd"/>
      <w:r w:rsidRPr="00C531D7">
        <w:rPr>
          <w:rFonts w:cs="Times New Roman"/>
          <w:i/>
          <w:lang w:val="en-GB"/>
        </w:rPr>
        <w:t xml:space="preserve"> </w:t>
      </w:r>
      <w:proofErr w:type="spellStart"/>
      <w:r w:rsidRPr="00C531D7">
        <w:rPr>
          <w:rFonts w:cs="Times New Roman"/>
          <w:i/>
          <w:lang w:val="en-GB"/>
        </w:rPr>
        <w:t>povjerenstvo</w:t>
      </w:r>
      <w:proofErr w:type="spellEnd"/>
      <w:r w:rsidRPr="00C531D7">
        <w:rPr>
          <w:rFonts w:cs="Times New Roman"/>
          <w:lang w:val="en-GB"/>
        </w:rPr>
        <w:t>) (2013)</w:t>
      </w:r>
      <w:r>
        <w:rPr>
          <w:rFonts w:cs="Times New Roman"/>
          <w:lang w:val="en-GB"/>
        </w:rPr>
        <w:t>.</w:t>
      </w:r>
    </w:p>
  </w:footnote>
  <w:footnote w:id="36">
    <w:p w14:paraId="764E8DB9" w14:textId="77777777" w:rsidR="000309DC" w:rsidRPr="00C531D7" w:rsidRDefault="000309DC" w:rsidP="00033732">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eastAsia="Calibri" w:cs="Times New Roman"/>
          <w:lang w:val="en-GB"/>
        </w:rPr>
        <w:t>Office of the Ombudswoman for Persons with Disabilities (</w:t>
      </w:r>
      <w:proofErr w:type="spellStart"/>
      <w:r w:rsidRPr="00C531D7">
        <w:rPr>
          <w:rFonts w:eastAsia="Calibri" w:cs="Times New Roman"/>
          <w:i/>
          <w:lang w:val="en-GB"/>
        </w:rPr>
        <w:t>Ured</w:t>
      </w:r>
      <w:proofErr w:type="spellEnd"/>
      <w:r w:rsidRPr="00C531D7">
        <w:rPr>
          <w:rFonts w:eastAsia="Calibri" w:cs="Times New Roman"/>
          <w:i/>
          <w:lang w:val="en-GB"/>
        </w:rPr>
        <w:t xml:space="preserve"> </w:t>
      </w:r>
      <w:proofErr w:type="spellStart"/>
      <w:r w:rsidRPr="00C531D7">
        <w:rPr>
          <w:rFonts w:eastAsia="Calibri" w:cs="Times New Roman"/>
          <w:i/>
          <w:lang w:val="en-GB"/>
        </w:rPr>
        <w:t>pravobraniteljice</w:t>
      </w:r>
      <w:proofErr w:type="spellEnd"/>
      <w:r w:rsidRPr="00C531D7">
        <w:rPr>
          <w:rFonts w:eastAsia="Calibri" w:cs="Times New Roman"/>
          <w:i/>
          <w:lang w:val="en-GB"/>
        </w:rPr>
        <w:t xml:space="preserve"> </w:t>
      </w:r>
      <w:proofErr w:type="spellStart"/>
      <w:r w:rsidRPr="00C531D7">
        <w:rPr>
          <w:rFonts w:eastAsia="Calibri" w:cs="Times New Roman"/>
          <w:i/>
          <w:lang w:val="en-GB"/>
        </w:rPr>
        <w:t>za</w:t>
      </w:r>
      <w:proofErr w:type="spellEnd"/>
      <w:r w:rsidRPr="00C531D7">
        <w:rPr>
          <w:rFonts w:eastAsia="Calibri" w:cs="Times New Roman"/>
          <w:i/>
          <w:lang w:val="en-GB"/>
        </w:rPr>
        <w:t xml:space="preserve"> </w:t>
      </w:r>
      <w:proofErr w:type="spellStart"/>
      <w:r w:rsidRPr="00C531D7">
        <w:rPr>
          <w:rFonts w:eastAsia="Calibri" w:cs="Times New Roman"/>
          <w:i/>
          <w:lang w:val="en-GB"/>
        </w:rPr>
        <w:t>osobe</w:t>
      </w:r>
      <w:proofErr w:type="spellEnd"/>
      <w:r w:rsidRPr="00C531D7">
        <w:rPr>
          <w:rFonts w:eastAsia="Calibri" w:cs="Times New Roman"/>
          <w:i/>
          <w:lang w:val="en-GB"/>
        </w:rPr>
        <w:t xml:space="preserve"> s </w:t>
      </w:r>
      <w:proofErr w:type="spellStart"/>
      <w:r w:rsidRPr="00C531D7">
        <w:rPr>
          <w:rFonts w:eastAsia="Calibri" w:cs="Times New Roman"/>
          <w:i/>
          <w:lang w:val="en-GB"/>
        </w:rPr>
        <w:t>invaliditetom</w:t>
      </w:r>
      <w:proofErr w:type="spellEnd"/>
      <w:r w:rsidRPr="00C531D7">
        <w:rPr>
          <w:rFonts w:eastAsia="Calibri" w:cs="Times New Roman"/>
          <w:lang w:val="en-GB"/>
        </w:rPr>
        <w:t>) (2013)</w:t>
      </w:r>
      <w:r>
        <w:rPr>
          <w:rFonts w:eastAsia="Calibri" w:cs="Times New Roman"/>
          <w:lang w:val="en-GB"/>
        </w:rPr>
        <w:t>.</w:t>
      </w:r>
      <w:r w:rsidRPr="00C531D7">
        <w:rPr>
          <w:rFonts w:eastAsia="Calibri" w:cs="Times New Roman"/>
          <w:lang w:val="en-GB"/>
        </w:rPr>
        <w:t xml:space="preserve"> </w:t>
      </w:r>
    </w:p>
  </w:footnote>
  <w:footnote w:id="37">
    <w:p w14:paraId="695A8E34" w14:textId="0B2E78B9" w:rsidR="000309DC" w:rsidRPr="00C531D7" w:rsidRDefault="000309DC" w:rsidP="00033732">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eastAsia="Calibri" w:cs="Times New Roman"/>
          <w:lang w:val="en-GB"/>
        </w:rPr>
        <w:t>Office of the Ombudswoman for Persons with Disabilities (</w:t>
      </w:r>
      <w:proofErr w:type="spellStart"/>
      <w:r w:rsidRPr="00C531D7">
        <w:rPr>
          <w:rFonts w:eastAsia="Calibri" w:cs="Times New Roman"/>
          <w:i/>
          <w:lang w:val="en-GB"/>
        </w:rPr>
        <w:t>Ured</w:t>
      </w:r>
      <w:proofErr w:type="spellEnd"/>
      <w:r w:rsidRPr="00C531D7">
        <w:rPr>
          <w:rFonts w:eastAsia="Calibri" w:cs="Times New Roman"/>
          <w:i/>
          <w:lang w:val="en-GB"/>
        </w:rPr>
        <w:t xml:space="preserve"> </w:t>
      </w:r>
      <w:proofErr w:type="spellStart"/>
      <w:r w:rsidRPr="00C531D7">
        <w:rPr>
          <w:rFonts w:eastAsia="Calibri" w:cs="Times New Roman"/>
          <w:i/>
          <w:lang w:val="en-GB"/>
        </w:rPr>
        <w:t>pravobraniteljice</w:t>
      </w:r>
      <w:proofErr w:type="spellEnd"/>
      <w:r w:rsidRPr="00C531D7">
        <w:rPr>
          <w:rFonts w:eastAsia="Calibri" w:cs="Times New Roman"/>
          <w:i/>
          <w:lang w:val="en-GB"/>
        </w:rPr>
        <w:t xml:space="preserve"> </w:t>
      </w:r>
      <w:proofErr w:type="spellStart"/>
      <w:r w:rsidRPr="00C531D7">
        <w:rPr>
          <w:rFonts w:eastAsia="Calibri" w:cs="Times New Roman"/>
          <w:i/>
          <w:lang w:val="en-GB"/>
        </w:rPr>
        <w:t>za</w:t>
      </w:r>
      <w:proofErr w:type="spellEnd"/>
      <w:r w:rsidRPr="00C531D7">
        <w:rPr>
          <w:rFonts w:eastAsia="Calibri" w:cs="Times New Roman"/>
          <w:i/>
          <w:lang w:val="en-GB"/>
        </w:rPr>
        <w:t xml:space="preserve"> </w:t>
      </w:r>
      <w:proofErr w:type="spellStart"/>
      <w:r w:rsidRPr="00C531D7">
        <w:rPr>
          <w:rFonts w:eastAsia="Calibri" w:cs="Times New Roman"/>
          <w:i/>
          <w:lang w:val="en-GB"/>
        </w:rPr>
        <w:t>osobe</w:t>
      </w:r>
      <w:proofErr w:type="spellEnd"/>
      <w:r w:rsidRPr="00C531D7">
        <w:rPr>
          <w:rFonts w:eastAsia="Calibri" w:cs="Times New Roman"/>
          <w:i/>
          <w:lang w:val="en-GB"/>
        </w:rPr>
        <w:t xml:space="preserve"> s </w:t>
      </w:r>
      <w:proofErr w:type="spellStart"/>
      <w:r w:rsidRPr="00C531D7">
        <w:rPr>
          <w:rFonts w:eastAsia="Calibri" w:cs="Times New Roman"/>
          <w:i/>
          <w:lang w:val="en-GB"/>
        </w:rPr>
        <w:t>invaliditetom</w:t>
      </w:r>
      <w:proofErr w:type="spellEnd"/>
      <w:r w:rsidRPr="00C531D7">
        <w:rPr>
          <w:rFonts w:eastAsia="Calibri" w:cs="Times New Roman"/>
          <w:lang w:val="en-GB"/>
        </w:rPr>
        <w:t xml:space="preserve">) (2013) </w:t>
      </w:r>
    </w:p>
  </w:footnote>
  <w:footnote w:id="38">
    <w:p w14:paraId="5767925A" w14:textId="0A2CEEE2"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 xml:space="preserve">National Election Committee of the Republic of </w:t>
      </w:r>
      <w:proofErr w:type="gramStart"/>
      <w:r w:rsidRPr="00C531D7">
        <w:rPr>
          <w:rFonts w:cs="Times New Roman"/>
          <w:lang w:val="en-GB"/>
        </w:rPr>
        <w:t>Croatia  (</w:t>
      </w:r>
      <w:proofErr w:type="spellStart"/>
      <w:proofErr w:type="gramEnd"/>
      <w:r w:rsidRPr="00C531D7">
        <w:rPr>
          <w:rFonts w:cs="Times New Roman"/>
          <w:i/>
          <w:lang w:val="en-GB"/>
        </w:rPr>
        <w:t>Državno</w:t>
      </w:r>
      <w:proofErr w:type="spellEnd"/>
      <w:r w:rsidRPr="00C531D7">
        <w:rPr>
          <w:rFonts w:cs="Times New Roman"/>
          <w:i/>
          <w:lang w:val="en-GB"/>
        </w:rPr>
        <w:t xml:space="preserve"> </w:t>
      </w:r>
      <w:proofErr w:type="spellStart"/>
      <w:r w:rsidRPr="00C531D7">
        <w:rPr>
          <w:rFonts w:cs="Times New Roman"/>
          <w:i/>
          <w:lang w:val="en-GB"/>
        </w:rPr>
        <w:t>izborno</w:t>
      </w:r>
      <w:proofErr w:type="spellEnd"/>
      <w:r w:rsidRPr="00C531D7">
        <w:rPr>
          <w:rFonts w:cs="Times New Roman"/>
          <w:i/>
          <w:lang w:val="en-GB"/>
        </w:rPr>
        <w:t xml:space="preserve"> </w:t>
      </w:r>
      <w:proofErr w:type="spellStart"/>
      <w:r w:rsidRPr="00C531D7">
        <w:rPr>
          <w:rFonts w:cs="Times New Roman"/>
          <w:i/>
          <w:lang w:val="en-GB"/>
        </w:rPr>
        <w:t>povjerenstvo</w:t>
      </w:r>
      <w:proofErr w:type="spellEnd"/>
      <w:r w:rsidRPr="00C531D7">
        <w:rPr>
          <w:rFonts w:cs="Times New Roman"/>
          <w:lang w:val="en-GB"/>
        </w:rPr>
        <w:t xml:space="preserve">) (2013) </w:t>
      </w:r>
      <w:r>
        <w:rPr>
          <w:rFonts w:cs="Times New Roman"/>
          <w:lang w:val="en-GB"/>
        </w:rPr>
        <w:t>.</w:t>
      </w:r>
    </w:p>
  </w:footnote>
  <w:footnote w:id="39">
    <w:p w14:paraId="524E3BE3" w14:textId="78D5040D"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National Election Committee of the Republic of Croatia (</w:t>
      </w:r>
      <w:proofErr w:type="spellStart"/>
      <w:r w:rsidRPr="00C531D7">
        <w:rPr>
          <w:rFonts w:cs="Times New Roman"/>
          <w:i/>
          <w:lang w:val="en-GB"/>
        </w:rPr>
        <w:t>Državno</w:t>
      </w:r>
      <w:proofErr w:type="spellEnd"/>
      <w:r w:rsidRPr="00C531D7">
        <w:rPr>
          <w:rFonts w:cs="Times New Roman"/>
          <w:i/>
          <w:lang w:val="en-GB"/>
        </w:rPr>
        <w:t xml:space="preserve"> </w:t>
      </w:r>
      <w:proofErr w:type="spellStart"/>
      <w:r w:rsidRPr="00C531D7">
        <w:rPr>
          <w:rFonts w:cs="Times New Roman"/>
          <w:i/>
          <w:lang w:val="en-GB"/>
        </w:rPr>
        <w:t>izborno</w:t>
      </w:r>
      <w:proofErr w:type="spellEnd"/>
      <w:r w:rsidRPr="00C531D7">
        <w:rPr>
          <w:rFonts w:cs="Times New Roman"/>
          <w:i/>
          <w:lang w:val="en-GB"/>
        </w:rPr>
        <w:t xml:space="preserve"> </w:t>
      </w:r>
      <w:proofErr w:type="spellStart"/>
      <w:r w:rsidRPr="00C531D7">
        <w:rPr>
          <w:rFonts w:cs="Times New Roman"/>
          <w:i/>
          <w:lang w:val="en-GB"/>
        </w:rPr>
        <w:t>povjerenstvo</w:t>
      </w:r>
      <w:proofErr w:type="spellEnd"/>
      <w:r w:rsidRPr="00C531D7">
        <w:rPr>
          <w:rFonts w:cs="Times New Roman"/>
          <w:lang w:val="en-GB"/>
        </w:rPr>
        <w:t>) (2013)</w:t>
      </w:r>
      <w:r>
        <w:rPr>
          <w:rFonts w:cs="Times New Roman"/>
          <w:lang w:val="en-GB"/>
        </w:rPr>
        <w:t>.</w:t>
      </w:r>
    </w:p>
  </w:footnote>
  <w:footnote w:id="40">
    <w:p w14:paraId="0C1078A2" w14:textId="2F1A7630"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Ministry of Social Policy and Youth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socijalne</w:t>
      </w:r>
      <w:proofErr w:type="spellEnd"/>
      <w:r w:rsidRPr="00C531D7">
        <w:rPr>
          <w:rFonts w:cs="Times New Roman"/>
          <w:i/>
          <w:lang w:val="en-GB"/>
        </w:rPr>
        <w:t xml:space="preserve"> </w:t>
      </w:r>
      <w:proofErr w:type="spellStart"/>
      <w:r w:rsidRPr="00C531D7">
        <w:rPr>
          <w:rFonts w:cs="Times New Roman"/>
          <w:i/>
          <w:lang w:val="en-GB"/>
        </w:rPr>
        <w:t>politike</w:t>
      </w:r>
      <w:proofErr w:type="spellEnd"/>
      <w:r w:rsidRPr="00C531D7">
        <w:rPr>
          <w:rFonts w:cs="Times New Roman"/>
          <w:i/>
          <w:lang w:val="en-GB"/>
        </w:rPr>
        <w:t xml:space="preserve"> </w:t>
      </w:r>
      <w:proofErr w:type="spellStart"/>
      <w:r w:rsidRPr="00C531D7">
        <w:rPr>
          <w:rFonts w:cs="Times New Roman"/>
          <w:i/>
          <w:lang w:val="en-GB"/>
        </w:rPr>
        <w:t>i</w:t>
      </w:r>
      <w:proofErr w:type="spellEnd"/>
      <w:r w:rsidRPr="00C531D7">
        <w:rPr>
          <w:rFonts w:cs="Times New Roman"/>
          <w:i/>
          <w:lang w:val="en-GB"/>
        </w:rPr>
        <w:t xml:space="preserve"> </w:t>
      </w:r>
      <w:proofErr w:type="spellStart"/>
      <w:r w:rsidRPr="00C531D7">
        <w:rPr>
          <w:rFonts w:cs="Times New Roman"/>
          <w:i/>
          <w:lang w:val="en-GB"/>
        </w:rPr>
        <w:t>mladih</w:t>
      </w:r>
      <w:proofErr w:type="spellEnd"/>
      <w:r w:rsidRPr="00C531D7">
        <w:rPr>
          <w:rFonts w:cs="Times New Roman"/>
          <w:lang w:val="en-GB"/>
        </w:rPr>
        <w:t>) (2013)</w:t>
      </w:r>
      <w:r>
        <w:rPr>
          <w:rFonts w:cs="Times New Roman"/>
          <w:lang w:val="en-GB"/>
        </w:rPr>
        <w:t>. The information is not publically available.</w:t>
      </w:r>
    </w:p>
  </w:footnote>
  <w:footnote w:id="41">
    <w:p w14:paraId="6EF0A043"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Results available at the NEC web page: www.izbori.hr.</w:t>
      </w:r>
    </w:p>
  </w:footnote>
  <w:footnote w:id="42">
    <w:p w14:paraId="20411A23" w14:textId="6340D010" w:rsidR="000309DC" w:rsidRPr="00C531D7" w:rsidRDefault="000309DC" w:rsidP="00CF0728">
      <w:pPr>
        <w:pStyle w:val="FootnoteText"/>
        <w:rPr>
          <w:lang w:val="hr-HR"/>
        </w:rPr>
      </w:pPr>
      <w:r w:rsidRPr="00C531D7">
        <w:rPr>
          <w:rStyle w:val="FootnoteReference"/>
        </w:rPr>
        <w:footnoteRef/>
      </w:r>
      <w:r w:rsidRPr="00C531D7">
        <w:rPr>
          <w:lang w:val="hr-HR"/>
        </w:rPr>
        <w:t>Information</w:t>
      </w:r>
      <w:r>
        <w:rPr>
          <w:lang w:val="hr-HR"/>
        </w:rPr>
        <w:t xml:space="preserve"> available at: w</w:t>
      </w:r>
      <w:r w:rsidRPr="00C531D7">
        <w:rPr>
          <w:lang w:val="hr-HR"/>
        </w:rPr>
        <w:t>ww.mspm.hr/novosti/vijesti/arhiva_vijesti/svibanj_2013/vazno_obavijest_o_mogucnosti_sudjelovanja_korisnika_usluge_smjestaja_na_lokalnim_izborima_2013</w:t>
      </w:r>
    </w:p>
  </w:footnote>
  <w:footnote w:id="43">
    <w:p w14:paraId="7C94647D" w14:textId="1F42B09F"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rPr>
        <w:t>Croatian Parliament (</w:t>
      </w:r>
      <w:proofErr w:type="spellStart"/>
      <w:r w:rsidRPr="00C531D7">
        <w:rPr>
          <w:rFonts w:cs="Times New Roman"/>
          <w:i/>
        </w:rPr>
        <w:t>Hrvatski</w:t>
      </w:r>
      <w:proofErr w:type="spellEnd"/>
      <w:r w:rsidRPr="00C531D7">
        <w:rPr>
          <w:rFonts w:cs="Times New Roman"/>
          <w:i/>
        </w:rPr>
        <w:t xml:space="preserve"> </w:t>
      </w:r>
      <w:proofErr w:type="spellStart"/>
      <w:r w:rsidRPr="00C531D7">
        <w:rPr>
          <w:rFonts w:cs="Times New Roman"/>
          <w:i/>
        </w:rPr>
        <w:t>sabor</w:t>
      </w:r>
      <w:proofErr w:type="spellEnd"/>
      <w:r w:rsidRPr="00C531D7">
        <w:rPr>
          <w:rFonts w:cs="Times New Roman"/>
        </w:rPr>
        <w:t>) (2013)</w:t>
      </w:r>
      <w:r>
        <w:rPr>
          <w:rFonts w:cs="Times New Roman"/>
        </w:rPr>
        <w:t>.</w:t>
      </w:r>
      <w:r w:rsidRPr="00C531D7">
        <w:rPr>
          <w:rFonts w:cs="Times New Roman"/>
        </w:rPr>
        <w:t xml:space="preserve"> </w:t>
      </w:r>
    </w:p>
  </w:footnote>
  <w:footnote w:id="44">
    <w:p w14:paraId="63DFFCF4" w14:textId="3AE3F829" w:rsidR="000309DC" w:rsidRPr="00C531D7" w:rsidRDefault="000309DC" w:rsidP="00C531D7">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 the</w:t>
      </w:r>
      <w:r w:rsidRPr="00C531D7">
        <w:rPr>
          <w:rFonts w:cs="Times New Roman"/>
        </w:rPr>
        <w:t xml:space="preserve"> </w:t>
      </w:r>
      <w:r w:rsidRPr="00C531D7">
        <w:rPr>
          <w:rFonts w:eastAsia="Calibri" w:cs="Times New Roman"/>
          <w:lang w:val="en-GB"/>
        </w:rPr>
        <w:t>Association of towns in the Republic of Croatia (</w:t>
      </w:r>
      <w:proofErr w:type="spellStart"/>
      <w:r w:rsidRPr="00C531D7">
        <w:rPr>
          <w:rFonts w:eastAsia="Calibri" w:cs="Times New Roman"/>
          <w:i/>
          <w:lang w:val="en-GB"/>
        </w:rPr>
        <w:t>Udruga</w:t>
      </w:r>
      <w:proofErr w:type="spellEnd"/>
      <w:r w:rsidRPr="00C531D7">
        <w:rPr>
          <w:rFonts w:eastAsia="Calibri" w:cs="Times New Roman"/>
          <w:i/>
          <w:lang w:val="en-GB"/>
        </w:rPr>
        <w:t xml:space="preserve"> </w:t>
      </w:r>
      <w:proofErr w:type="spellStart"/>
      <w:r w:rsidRPr="00C531D7">
        <w:rPr>
          <w:rFonts w:eastAsia="Calibri" w:cs="Times New Roman"/>
          <w:i/>
          <w:lang w:val="en-GB"/>
        </w:rPr>
        <w:t>gradova</w:t>
      </w:r>
      <w:proofErr w:type="spellEnd"/>
      <w:r w:rsidRPr="00C531D7">
        <w:rPr>
          <w:rFonts w:eastAsia="Calibri" w:cs="Times New Roman"/>
          <w:i/>
          <w:lang w:val="en-GB"/>
        </w:rPr>
        <w:t xml:space="preserve"> u </w:t>
      </w:r>
      <w:proofErr w:type="spellStart"/>
      <w:r w:rsidRPr="00C531D7">
        <w:rPr>
          <w:rFonts w:eastAsia="Calibri" w:cs="Times New Roman"/>
          <w:i/>
          <w:lang w:val="en-GB"/>
        </w:rPr>
        <w:t>Republici</w:t>
      </w:r>
      <w:proofErr w:type="spellEnd"/>
      <w:r w:rsidRPr="00C531D7">
        <w:rPr>
          <w:rFonts w:eastAsia="Calibri" w:cs="Times New Roman"/>
          <w:i/>
          <w:lang w:val="en-GB"/>
        </w:rPr>
        <w:t xml:space="preserve"> </w:t>
      </w:r>
      <w:proofErr w:type="spellStart"/>
      <w:r w:rsidRPr="00C531D7">
        <w:rPr>
          <w:rFonts w:eastAsia="Calibri" w:cs="Times New Roman"/>
          <w:i/>
          <w:lang w:val="en-GB"/>
        </w:rPr>
        <w:t>Hrvatskoj</w:t>
      </w:r>
      <w:proofErr w:type="spellEnd"/>
      <w:r w:rsidRPr="00C531D7">
        <w:rPr>
          <w:rFonts w:eastAsia="Calibri" w:cs="Times New Roman"/>
          <w:lang w:val="en-GB"/>
        </w:rPr>
        <w:t>) (2013)</w:t>
      </w:r>
      <w:r>
        <w:rPr>
          <w:rFonts w:eastAsia="Calibri" w:cs="Times New Roman"/>
          <w:lang w:val="en-GB"/>
        </w:rPr>
        <w:t>.</w:t>
      </w:r>
    </w:p>
  </w:footnote>
  <w:footnote w:id="45">
    <w:p w14:paraId="22F80C10"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Data on municipalities available at: http://www.uprava.hr/default.aspx?id=12.</w:t>
      </w:r>
    </w:p>
  </w:footnote>
  <w:footnote w:id="46">
    <w:p w14:paraId="20F3791D" w14:textId="56B40A98" w:rsidR="000309DC" w:rsidRPr="00C531D7" w:rsidRDefault="000309DC" w:rsidP="00C531D7">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 the</w:t>
      </w:r>
      <w:r w:rsidRPr="00C531D7">
        <w:rPr>
          <w:rFonts w:cs="Times New Roman"/>
        </w:rPr>
        <w:t xml:space="preserve"> </w:t>
      </w:r>
      <w:r w:rsidRPr="00C531D7">
        <w:rPr>
          <w:rFonts w:cs="Times New Roman"/>
          <w:lang w:val="en-GB"/>
        </w:rPr>
        <w:t>Association of Municipalities (</w:t>
      </w:r>
      <w:proofErr w:type="spellStart"/>
      <w:r w:rsidRPr="00C531D7">
        <w:rPr>
          <w:rFonts w:cs="Times New Roman"/>
          <w:i/>
          <w:lang w:val="en-GB"/>
        </w:rPr>
        <w:t>Udruga</w:t>
      </w:r>
      <w:proofErr w:type="spellEnd"/>
      <w:r w:rsidRPr="00C531D7">
        <w:rPr>
          <w:rFonts w:cs="Times New Roman"/>
          <w:i/>
          <w:lang w:val="en-GB"/>
        </w:rPr>
        <w:t xml:space="preserve"> </w:t>
      </w:r>
      <w:proofErr w:type="spellStart"/>
      <w:r w:rsidRPr="00C531D7">
        <w:rPr>
          <w:rFonts w:cs="Times New Roman"/>
          <w:i/>
          <w:lang w:val="en-GB"/>
        </w:rPr>
        <w:t>općina</w:t>
      </w:r>
      <w:proofErr w:type="spellEnd"/>
      <w:r w:rsidRPr="00C531D7">
        <w:rPr>
          <w:rFonts w:cs="Times New Roman"/>
          <w:lang w:val="en-GB"/>
        </w:rPr>
        <w:t>) (2013).</w:t>
      </w:r>
    </w:p>
  </w:footnote>
  <w:footnote w:id="47">
    <w:p w14:paraId="377A02F6" w14:textId="37B83032"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lang w:val="en-GB"/>
        </w:rPr>
        <w:t>Information obtained from the</w:t>
      </w:r>
      <w:r w:rsidRPr="00C531D7">
        <w:rPr>
          <w:rFonts w:cs="Times New Roman"/>
          <w:lang w:val="en-GB"/>
        </w:rPr>
        <w:t xml:space="preserve"> NEC and to the 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w:t>
      </w:r>
    </w:p>
  </w:footnote>
  <w:footnote w:id="48">
    <w:p w14:paraId="7AC25062" w14:textId="301DCC6D"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 xml:space="preserve">) (2013) </w:t>
      </w:r>
    </w:p>
  </w:footnote>
  <w:footnote w:id="49">
    <w:p w14:paraId="2FF2600F" w14:textId="02383869"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National Election Committee of the Republic of Croatia (</w:t>
      </w:r>
      <w:proofErr w:type="spellStart"/>
      <w:r w:rsidRPr="00C531D7">
        <w:rPr>
          <w:rFonts w:cs="Times New Roman"/>
          <w:i/>
          <w:lang w:val="en-GB"/>
        </w:rPr>
        <w:t>Državno</w:t>
      </w:r>
      <w:proofErr w:type="spellEnd"/>
      <w:r w:rsidRPr="00C531D7">
        <w:rPr>
          <w:rFonts w:cs="Times New Roman"/>
          <w:i/>
          <w:lang w:val="en-GB"/>
        </w:rPr>
        <w:t xml:space="preserve"> </w:t>
      </w:r>
      <w:proofErr w:type="spellStart"/>
      <w:r w:rsidRPr="00C531D7">
        <w:rPr>
          <w:rFonts w:cs="Times New Roman"/>
          <w:i/>
          <w:lang w:val="en-GB"/>
        </w:rPr>
        <w:t>izborno</w:t>
      </w:r>
      <w:proofErr w:type="spellEnd"/>
      <w:r w:rsidRPr="00C531D7">
        <w:rPr>
          <w:rFonts w:cs="Times New Roman"/>
          <w:i/>
          <w:lang w:val="en-GB"/>
        </w:rPr>
        <w:t xml:space="preserve"> </w:t>
      </w:r>
      <w:proofErr w:type="spellStart"/>
      <w:r w:rsidRPr="00C531D7">
        <w:rPr>
          <w:rFonts w:cs="Times New Roman"/>
          <w:i/>
          <w:lang w:val="en-GB"/>
        </w:rPr>
        <w:t>povjerenstvo</w:t>
      </w:r>
      <w:proofErr w:type="spellEnd"/>
      <w:r w:rsidRPr="00C531D7">
        <w:rPr>
          <w:rFonts w:cs="Times New Roman"/>
          <w:lang w:val="en-GB"/>
        </w:rPr>
        <w:t xml:space="preserve">) (2013) </w:t>
      </w:r>
    </w:p>
  </w:footnote>
  <w:footnote w:id="50">
    <w:p w14:paraId="62CAE550" w14:textId="41D8BA35" w:rsidR="000309DC" w:rsidRPr="00C531D7" w:rsidRDefault="000309DC" w:rsidP="00C531D7">
      <w:pPr>
        <w:pStyle w:val="FootnoteText"/>
        <w:jc w:val="both"/>
        <w:rPr>
          <w:lang w:val="hr-HR"/>
        </w:rPr>
      </w:pPr>
      <w:r w:rsidRPr="00C531D7">
        <w:rPr>
          <w:rStyle w:val="FootnoteReference"/>
        </w:rPr>
        <w:footnoteRef/>
      </w:r>
      <w:r w:rsidRPr="00C531D7">
        <w:t xml:space="preserve"> </w:t>
      </w:r>
      <w:r>
        <w:t xml:space="preserve">Information obtained from the </w:t>
      </w:r>
      <w:r w:rsidRPr="00C531D7">
        <w:rPr>
          <w:rFonts w:cs="Times New Roman"/>
          <w:lang w:val="en-GB"/>
        </w:rPr>
        <w:t>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 (2013).</w:t>
      </w:r>
    </w:p>
  </w:footnote>
  <w:footnote w:id="51">
    <w:p w14:paraId="1CCC188A" w14:textId="326C6796" w:rsidR="000309DC" w:rsidRPr="00C531D7" w:rsidRDefault="000309DC" w:rsidP="00C531D7">
      <w:pPr>
        <w:pStyle w:val="FootnoteText"/>
        <w:jc w:val="both"/>
        <w:rPr>
          <w:rFonts w:cs="Times New Roman"/>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 (2013).</w:t>
      </w:r>
    </w:p>
  </w:footnote>
  <w:footnote w:id="52">
    <w:p w14:paraId="1737255E" w14:textId="7AA57FBC" w:rsidR="000309DC" w:rsidRDefault="000309DC">
      <w:pPr>
        <w:pStyle w:val="FootnoteText"/>
      </w:pPr>
      <w:r>
        <w:rPr>
          <w:rStyle w:val="FootnoteReference"/>
        </w:rPr>
        <w:footnoteRef/>
      </w:r>
      <w:r>
        <w:t xml:space="preserve"> Information obtained from the </w:t>
      </w:r>
      <w:r w:rsidRPr="00C531D7">
        <w:rPr>
          <w:rFonts w:cs="Times New Roman"/>
          <w:lang w:val="en-GB"/>
        </w:rPr>
        <w:t>Croatian Radio-Television (</w:t>
      </w:r>
      <w:proofErr w:type="spellStart"/>
      <w:r w:rsidRPr="00C531D7">
        <w:rPr>
          <w:rFonts w:cs="Times New Roman"/>
          <w:i/>
          <w:lang w:val="en-GB"/>
        </w:rPr>
        <w:t>Hrvatska</w:t>
      </w:r>
      <w:proofErr w:type="spellEnd"/>
      <w:r w:rsidRPr="00C531D7">
        <w:rPr>
          <w:rFonts w:cs="Times New Roman"/>
          <w:i/>
          <w:lang w:val="en-GB"/>
        </w:rPr>
        <w:t xml:space="preserve"> </w:t>
      </w:r>
      <w:proofErr w:type="spellStart"/>
      <w:r w:rsidRPr="00C531D7">
        <w:rPr>
          <w:rFonts w:cs="Times New Roman"/>
          <w:i/>
          <w:lang w:val="en-GB"/>
        </w:rPr>
        <w:t>radiotelevizija</w:t>
      </w:r>
      <w:proofErr w:type="spellEnd"/>
      <w:r w:rsidRPr="00C531D7">
        <w:rPr>
          <w:rFonts w:cs="Times New Roman"/>
          <w:lang w:val="en-GB"/>
        </w:rPr>
        <w:t>) (2013)</w:t>
      </w:r>
      <w:r>
        <w:rPr>
          <w:rFonts w:cs="Times New Roman"/>
          <w:lang w:val="en-GB"/>
        </w:rPr>
        <w:t>.</w:t>
      </w:r>
    </w:p>
  </w:footnote>
  <w:footnote w:id="53">
    <w:p w14:paraId="1F6D0725" w14:textId="67BAED33"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Croatian Radio-Television (</w:t>
      </w:r>
      <w:proofErr w:type="spellStart"/>
      <w:r w:rsidRPr="00C531D7">
        <w:rPr>
          <w:rFonts w:cs="Times New Roman"/>
          <w:i/>
          <w:lang w:val="en-GB"/>
        </w:rPr>
        <w:t>Hrvatska</w:t>
      </w:r>
      <w:proofErr w:type="spellEnd"/>
      <w:r w:rsidRPr="00C531D7">
        <w:rPr>
          <w:rFonts w:cs="Times New Roman"/>
          <w:i/>
          <w:lang w:val="en-GB"/>
        </w:rPr>
        <w:t xml:space="preserve"> </w:t>
      </w:r>
      <w:proofErr w:type="spellStart"/>
      <w:r w:rsidRPr="00C531D7">
        <w:rPr>
          <w:rFonts w:cs="Times New Roman"/>
          <w:i/>
          <w:lang w:val="en-GB"/>
        </w:rPr>
        <w:t>radiotelevizija</w:t>
      </w:r>
      <w:proofErr w:type="spellEnd"/>
      <w:r w:rsidRPr="00C531D7">
        <w:rPr>
          <w:rFonts w:cs="Times New Roman"/>
          <w:lang w:val="en-GB"/>
        </w:rPr>
        <w:t>) (2013)</w:t>
      </w:r>
      <w:r>
        <w:rPr>
          <w:rFonts w:cs="Times New Roman"/>
          <w:lang w:val="en-GB"/>
        </w:rPr>
        <w:t>.</w:t>
      </w:r>
    </w:p>
  </w:footnote>
  <w:footnote w:id="54">
    <w:p w14:paraId="34B7D322" w14:textId="437EF17E" w:rsidR="000309DC" w:rsidRPr="00C531D7" w:rsidRDefault="000309DC" w:rsidP="00C531D7">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w:t>
      </w:r>
      <w:r w:rsidRPr="00C531D7">
        <w:rPr>
          <w:rFonts w:cs="Times New Roman"/>
        </w:rPr>
        <w:t xml:space="preserve"> </w:t>
      </w:r>
      <w:r w:rsidRPr="00C531D7">
        <w:rPr>
          <w:rFonts w:cs="Times New Roman"/>
          <w:lang w:val="en-GB"/>
        </w:rPr>
        <w:t>NOVA TV (2013).</w:t>
      </w:r>
    </w:p>
  </w:footnote>
  <w:footnote w:id="55">
    <w:p w14:paraId="0B2B9E24" w14:textId="78033906" w:rsidR="000309DC" w:rsidRPr="00C531D7" w:rsidRDefault="000309DC" w:rsidP="00C531D7">
      <w:pPr>
        <w:pStyle w:val="FootnoteText"/>
        <w:jc w:val="both"/>
        <w:rPr>
          <w:rFonts w:cs="Times New Roman"/>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 (2013)</w:t>
      </w:r>
      <w:proofErr w:type="gramStart"/>
      <w:r>
        <w:rPr>
          <w:rFonts w:cs="Times New Roman"/>
          <w:lang w:val="en-GB"/>
        </w:rPr>
        <w:t>.</w:t>
      </w:r>
      <w:r w:rsidRPr="00C531D7">
        <w:rPr>
          <w:rFonts w:cs="Times New Roman"/>
          <w:lang w:val="en-GB"/>
        </w:rPr>
        <w:t>.</w:t>
      </w:r>
      <w:proofErr w:type="gramEnd"/>
    </w:p>
  </w:footnote>
  <w:footnote w:id="56">
    <w:p w14:paraId="05D899A3" w14:textId="77777777" w:rsidR="000309DC" w:rsidRDefault="000309DC" w:rsidP="00BA5F14">
      <w:pPr>
        <w:pStyle w:val="FootnoteText"/>
      </w:pPr>
      <w:r>
        <w:rPr>
          <w:rStyle w:val="FootnoteReference"/>
        </w:rPr>
        <w:footnoteRef/>
      </w:r>
      <w:r>
        <w:t xml:space="preserve"> Information obtained from the </w:t>
      </w:r>
      <w:r w:rsidRPr="00C531D7">
        <w:rPr>
          <w:rFonts w:cs="Times New Roman"/>
          <w:lang w:val="en-GB"/>
        </w:rPr>
        <w:t>Croatian Radio-Television (</w:t>
      </w:r>
      <w:proofErr w:type="spellStart"/>
      <w:r w:rsidRPr="00C531D7">
        <w:rPr>
          <w:rFonts w:cs="Times New Roman"/>
          <w:i/>
          <w:lang w:val="en-GB"/>
        </w:rPr>
        <w:t>Hrvatska</w:t>
      </w:r>
      <w:proofErr w:type="spellEnd"/>
      <w:r w:rsidRPr="00C531D7">
        <w:rPr>
          <w:rFonts w:cs="Times New Roman"/>
          <w:i/>
          <w:lang w:val="en-GB"/>
        </w:rPr>
        <w:t xml:space="preserve"> </w:t>
      </w:r>
      <w:proofErr w:type="spellStart"/>
      <w:r w:rsidRPr="00C531D7">
        <w:rPr>
          <w:rFonts w:cs="Times New Roman"/>
          <w:i/>
          <w:lang w:val="en-GB"/>
        </w:rPr>
        <w:t>radiotelevizija</w:t>
      </w:r>
      <w:proofErr w:type="spellEnd"/>
      <w:r w:rsidRPr="00C531D7">
        <w:rPr>
          <w:rFonts w:cs="Times New Roman"/>
          <w:lang w:val="en-GB"/>
        </w:rPr>
        <w:t>) (2013)</w:t>
      </w:r>
      <w:r>
        <w:rPr>
          <w:rFonts w:cs="Times New Roman"/>
          <w:lang w:val="en-GB"/>
        </w:rPr>
        <w:t>.</w:t>
      </w:r>
    </w:p>
  </w:footnote>
  <w:footnote w:id="57">
    <w:p w14:paraId="235E75F0" w14:textId="2EAF9B9C"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Croatian Radio-Television (</w:t>
      </w:r>
      <w:proofErr w:type="spellStart"/>
      <w:r w:rsidRPr="00C531D7">
        <w:rPr>
          <w:rFonts w:cs="Times New Roman"/>
          <w:i/>
          <w:lang w:val="en-GB"/>
        </w:rPr>
        <w:t>Hrvatska</w:t>
      </w:r>
      <w:proofErr w:type="spellEnd"/>
      <w:r w:rsidRPr="00C531D7">
        <w:rPr>
          <w:rFonts w:cs="Times New Roman"/>
          <w:i/>
          <w:lang w:val="en-GB"/>
        </w:rPr>
        <w:t xml:space="preserve"> </w:t>
      </w:r>
      <w:proofErr w:type="spellStart"/>
      <w:r w:rsidRPr="00C531D7">
        <w:rPr>
          <w:rFonts w:cs="Times New Roman"/>
          <w:i/>
          <w:lang w:val="en-GB"/>
        </w:rPr>
        <w:t>radiotelevizija</w:t>
      </w:r>
      <w:proofErr w:type="spellEnd"/>
      <w:r w:rsidRPr="00C531D7">
        <w:rPr>
          <w:rFonts w:cs="Times New Roman"/>
          <w:lang w:val="en-GB"/>
        </w:rPr>
        <w:t>) (2013).</w:t>
      </w:r>
    </w:p>
  </w:footnote>
  <w:footnote w:id="58">
    <w:p w14:paraId="79DF4E21" w14:textId="21F1700A"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w:t>
      </w:r>
      <w:r w:rsidRPr="00C531D7">
        <w:rPr>
          <w:rFonts w:cs="Times New Roman"/>
          <w:lang w:val="en-GB"/>
        </w:rPr>
        <w:t xml:space="preserve">NOVA TV (2013) </w:t>
      </w:r>
    </w:p>
  </w:footnote>
  <w:footnote w:id="59">
    <w:p w14:paraId="06C52EF2" w14:textId="70EB47EE" w:rsidR="000309DC" w:rsidRPr="00C531D7" w:rsidRDefault="000309DC" w:rsidP="00C531D7">
      <w:pPr>
        <w:pStyle w:val="FootnoteText"/>
        <w:jc w:val="both"/>
        <w:rPr>
          <w:rFonts w:cs="Times New Roman"/>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 (2013)</w:t>
      </w:r>
      <w:proofErr w:type="gramStart"/>
      <w:r>
        <w:rPr>
          <w:rFonts w:cs="Times New Roman"/>
          <w:lang w:val="en-GB"/>
        </w:rPr>
        <w:t>.</w:t>
      </w:r>
      <w:r w:rsidRPr="00C531D7">
        <w:rPr>
          <w:rFonts w:cs="Times New Roman"/>
          <w:lang w:val="en-GB"/>
        </w:rPr>
        <w:t>.</w:t>
      </w:r>
      <w:proofErr w:type="gramEnd"/>
    </w:p>
  </w:footnote>
  <w:footnote w:id="60">
    <w:p w14:paraId="020E8547" w14:textId="77777777" w:rsidR="000309DC" w:rsidRDefault="000309DC" w:rsidP="00E04E96">
      <w:pPr>
        <w:pStyle w:val="FootnoteText"/>
      </w:pPr>
      <w:r>
        <w:rPr>
          <w:rStyle w:val="FootnoteReference"/>
        </w:rPr>
        <w:footnoteRef/>
      </w:r>
      <w:r>
        <w:t xml:space="preserve"> Information obtained from the </w:t>
      </w:r>
      <w:r w:rsidRPr="00C531D7">
        <w:rPr>
          <w:rFonts w:cs="Times New Roman"/>
          <w:lang w:val="en-GB"/>
        </w:rPr>
        <w:t>Croatian Radio-Television (</w:t>
      </w:r>
      <w:proofErr w:type="spellStart"/>
      <w:r w:rsidRPr="00C531D7">
        <w:rPr>
          <w:rFonts w:cs="Times New Roman"/>
          <w:i/>
          <w:lang w:val="en-GB"/>
        </w:rPr>
        <w:t>Hrvatska</w:t>
      </w:r>
      <w:proofErr w:type="spellEnd"/>
      <w:r w:rsidRPr="00C531D7">
        <w:rPr>
          <w:rFonts w:cs="Times New Roman"/>
          <w:i/>
          <w:lang w:val="en-GB"/>
        </w:rPr>
        <w:t xml:space="preserve"> </w:t>
      </w:r>
      <w:proofErr w:type="spellStart"/>
      <w:r w:rsidRPr="00C531D7">
        <w:rPr>
          <w:rFonts w:cs="Times New Roman"/>
          <w:i/>
          <w:lang w:val="en-GB"/>
        </w:rPr>
        <w:t>radiotelevizija</w:t>
      </w:r>
      <w:proofErr w:type="spellEnd"/>
      <w:r w:rsidRPr="00C531D7">
        <w:rPr>
          <w:rFonts w:cs="Times New Roman"/>
          <w:lang w:val="en-GB"/>
        </w:rPr>
        <w:t>) (2013)</w:t>
      </w:r>
      <w:r>
        <w:rPr>
          <w:rFonts w:cs="Times New Roman"/>
          <w:lang w:val="en-GB"/>
        </w:rPr>
        <w:t>.</w:t>
      </w:r>
    </w:p>
  </w:footnote>
  <w:footnote w:id="61">
    <w:p w14:paraId="55A69D34" w14:textId="711B3E30"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the </w:t>
      </w:r>
      <w:r w:rsidRPr="00C531D7">
        <w:rPr>
          <w:rFonts w:cs="Times New Roman"/>
          <w:lang w:val="en-GB"/>
        </w:rPr>
        <w:t>Croatian Radio-Television (</w:t>
      </w:r>
      <w:proofErr w:type="spellStart"/>
      <w:r w:rsidRPr="00C531D7">
        <w:rPr>
          <w:rFonts w:cs="Times New Roman"/>
          <w:i/>
          <w:lang w:val="en-GB"/>
        </w:rPr>
        <w:t>Hrvatska</w:t>
      </w:r>
      <w:proofErr w:type="spellEnd"/>
      <w:r w:rsidRPr="00C531D7">
        <w:rPr>
          <w:rFonts w:cs="Times New Roman"/>
          <w:i/>
          <w:lang w:val="en-GB"/>
        </w:rPr>
        <w:t xml:space="preserve"> </w:t>
      </w:r>
      <w:proofErr w:type="spellStart"/>
      <w:r w:rsidRPr="00C531D7">
        <w:rPr>
          <w:rFonts w:cs="Times New Roman"/>
          <w:i/>
          <w:lang w:val="en-GB"/>
        </w:rPr>
        <w:t>radiotelevizija</w:t>
      </w:r>
      <w:proofErr w:type="spellEnd"/>
      <w:r w:rsidRPr="00C531D7">
        <w:rPr>
          <w:rFonts w:cs="Times New Roman"/>
          <w:lang w:val="en-GB"/>
        </w:rPr>
        <w:t>) (2013)</w:t>
      </w:r>
      <w:r>
        <w:rPr>
          <w:rFonts w:cs="Times New Roman"/>
          <w:lang w:val="en-GB"/>
        </w:rPr>
        <w:t>.</w:t>
      </w:r>
      <w:r w:rsidRPr="00C531D7">
        <w:rPr>
          <w:rFonts w:cs="Times New Roman"/>
          <w:lang w:val="en-GB"/>
        </w:rPr>
        <w:t xml:space="preserve"> </w:t>
      </w:r>
    </w:p>
  </w:footnote>
  <w:footnote w:id="62">
    <w:p w14:paraId="73E9C2EE" w14:textId="3D2DA68F"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t xml:space="preserve">Information obtained from </w:t>
      </w:r>
      <w:r w:rsidRPr="00C531D7">
        <w:rPr>
          <w:rFonts w:cs="Times New Roman"/>
          <w:lang w:val="en-GB"/>
        </w:rPr>
        <w:t>NOVA TV (2013).</w:t>
      </w:r>
    </w:p>
  </w:footnote>
  <w:footnote w:id="63">
    <w:p w14:paraId="2B992F9E" w14:textId="48E80DB5" w:rsidR="000309DC" w:rsidRPr="00B76D12" w:rsidRDefault="000309DC">
      <w:pPr>
        <w:pStyle w:val="FootnoteText"/>
      </w:pPr>
      <w:r w:rsidRPr="00B76D12">
        <w:rPr>
          <w:rStyle w:val="FootnoteReference"/>
        </w:rPr>
        <w:footnoteRef/>
      </w:r>
      <w:r w:rsidRPr="00B76D12">
        <w:t xml:space="preserve"> </w:t>
      </w:r>
      <w:r w:rsidRPr="00B500B5">
        <w:rPr>
          <w:rFonts w:eastAsia="Calibri" w:cs="Times New Roman"/>
          <w:lang w:val="en-GB"/>
        </w:rPr>
        <w:t>Two biggest parties in terms of parliamentary seats, Social Democratic Party of Croatia (</w:t>
      </w:r>
      <w:proofErr w:type="spellStart"/>
      <w:r w:rsidRPr="00B500B5">
        <w:rPr>
          <w:rFonts w:eastAsia="Calibri" w:cs="Times New Roman"/>
          <w:i/>
          <w:lang w:val="en-GB"/>
        </w:rPr>
        <w:t>Socijaldemokratska</w:t>
      </w:r>
      <w:proofErr w:type="spellEnd"/>
      <w:r w:rsidRPr="00B500B5">
        <w:rPr>
          <w:rFonts w:eastAsia="Calibri" w:cs="Times New Roman"/>
          <w:i/>
          <w:lang w:val="en-GB"/>
        </w:rPr>
        <w:t xml:space="preserve"> </w:t>
      </w:r>
      <w:proofErr w:type="spellStart"/>
      <w:r w:rsidRPr="00B500B5">
        <w:rPr>
          <w:rFonts w:eastAsia="Calibri" w:cs="Times New Roman"/>
          <w:i/>
          <w:lang w:val="en-GB"/>
        </w:rPr>
        <w:t>partija</w:t>
      </w:r>
      <w:proofErr w:type="spellEnd"/>
      <w:r w:rsidRPr="00B500B5">
        <w:rPr>
          <w:rFonts w:eastAsia="Calibri" w:cs="Times New Roman"/>
          <w:i/>
          <w:lang w:val="en-GB"/>
        </w:rPr>
        <w:t xml:space="preserve"> </w:t>
      </w:r>
      <w:proofErr w:type="spellStart"/>
      <w:r w:rsidRPr="00B500B5">
        <w:rPr>
          <w:rFonts w:eastAsia="Calibri" w:cs="Times New Roman"/>
          <w:i/>
          <w:lang w:val="en-GB"/>
        </w:rPr>
        <w:t>Hrvatske</w:t>
      </w:r>
      <w:proofErr w:type="spellEnd"/>
      <w:r w:rsidRPr="00B500B5">
        <w:rPr>
          <w:rFonts w:eastAsia="Calibri" w:cs="Times New Roman"/>
          <w:i/>
          <w:lang w:val="en-GB"/>
        </w:rPr>
        <w:t xml:space="preserve"> (SDP))</w:t>
      </w:r>
      <w:r w:rsidRPr="00B500B5">
        <w:rPr>
          <w:rFonts w:eastAsia="Calibri" w:cs="Times New Roman"/>
          <w:lang w:val="en-GB"/>
        </w:rPr>
        <w:t xml:space="preserve"> and Croatian Democratic Union (</w:t>
      </w:r>
      <w:proofErr w:type="spellStart"/>
      <w:r w:rsidRPr="00B500B5">
        <w:rPr>
          <w:rFonts w:eastAsia="Calibri" w:cs="Times New Roman"/>
          <w:i/>
          <w:lang w:val="en-GB"/>
        </w:rPr>
        <w:t>Hrvatska</w:t>
      </w:r>
      <w:proofErr w:type="spellEnd"/>
      <w:r w:rsidRPr="00B500B5">
        <w:rPr>
          <w:rFonts w:eastAsia="Calibri" w:cs="Times New Roman"/>
          <w:i/>
          <w:lang w:val="en-GB"/>
        </w:rPr>
        <w:t xml:space="preserve"> </w:t>
      </w:r>
      <w:proofErr w:type="spellStart"/>
      <w:r w:rsidRPr="00B500B5">
        <w:rPr>
          <w:rFonts w:eastAsia="Calibri" w:cs="Times New Roman"/>
          <w:i/>
          <w:lang w:val="en-GB"/>
        </w:rPr>
        <w:t>demokratska</w:t>
      </w:r>
      <w:proofErr w:type="spellEnd"/>
      <w:r w:rsidRPr="00B500B5">
        <w:rPr>
          <w:rFonts w:eastAsia="Calibri" w:cs="Times New Roman"/>
          <w:i/>
          <w:lang w:val="en-GB"/>
        </w:rPr>
        <w:t xml:space="preserve"> </w:t>
      </w:r>
      <w:proofErr w:type="spellStart"/>
      <w:r w:rsidRPr="00B500B5">
        <w:rPr>
          <w:rFonts w:eastAsia="Calibri" w:cs="Times New Roman"/>
          <w:i/>
          <w:lang w:val="en-GB"/>
        </w:rPr>
        <w:t>zajednica</w:t>
      </w:r>
      <w:proofErr w:type="spellEnd"/>
      <w:r w:rsidRPr="00B500B5">
        <w:rPr>
          <w:rFonts w:eastAsia="Calibri" w:cs="Times New Roman"/>
          <w:i/>
          <w:lang w:val="en-GB"/>
        </w:rPr>
        <w:t xml:space="preserve"> (HDZ)</w:t>
      </w:r>
      <w:r w:rsidRPr="00B500B5">
        <w:rPr>
          <w:rFonts w:eastAsia="Calibri" w:cs="Times New Roman"/>
          <w:lang w:val="en-GB"/>
        </w:rPr>
        <w:t>) did not respond.</w:t>
      </w:r>
    </w:p>
  </w:footnote>
  <w:footnote w:id="64">
    <w:p w14:paraId="69E82C01" w14:textId="4A04ED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hyperlink r:id="rId21" w:tooltip="Croatian Labourists - Labour Party" w:history="1">
        <w:r w:rsidRPr="00C531D7">
          <w:rPr>
            <w:rStyle w:val="Hyperlink"/>
            <w:rFonts w:cs="Times New Roman"/>
            <w:color w:val="auto"/>
            <w:u w:val="none"/>
          </w:rPr>
          <w:t xml:space="preserve">Croatian </w:t>
        </w:r>
        <w:proofErr w:type="spellStart"/>
        <w:r w:rsidRPr="00C531D7">
          <w:rPr>
            <w:rStyle w:val="Hyperlink"/>
            <w:rFonts w:cs="Times New Roman"/>
            <w:color w:val="auto"/>
            <w:u w:val="none"/>
          </w:rPr>
          <w:t>Labourists</w:t>
        </w:r>
        <w:proofErr w:type="spellEnd"/>
        <w:r w:rsidRPr="00C531D7">
          <w:rPr>
            <w:rStyle w:val="Hyperlink"/>
            <w:rFonts w:cs="Times New Roman"/>
            <w:color w:val="auto"/>
            <w:u w:val="none"/>
          </w:rPr>
          <w:t xml:space="preserve"> - Labour Party</w:t>
        </w:r>
      </w:hyperlink>
      <w:r w:rsidRPr="00C531D7">
        <w:rPr>
          <w:rFonts w:cs="Times New Roman"/>
        </w:rPr>
        <w:t xml:space="preserve"> (</w:t>
      </w:r>
      <w:proofErr w:type="spellStart"/>
      <w:r w:rsidRPr="00C531D7">
        <w:rPr>
          <w:rFonts w:cs="Times New Roman"/>
          <w:i/>
        </w:rPr>
        <w:t>Hrvatski</w:t>
      </w:r>
      <w:proofErr w:type="spellEnd"/>
      <w:r w:rsidRPr="00C531D7">
        <w:rPr>
          <w:rFonts w:cs="Times New Roman"/>
          <w:i/>
        </w:rPr>
        <w:t xml:space="preserve"> </w:t>
      </w:r>
      <w:proofErr w:type="spellStart"/>
      <w:r w:rsidRPr="00C531D7">
        <w:rPr>
          <w:rFonts w:cs="Times New Roman"/>
          <w:i/>
        </w:rPr>
        <w:t>laburisti</w:t>
      </w:r>
      <w:proofErr w:type="spellEnd"/>
      <w:r w:rsidRPr="00C531D7">
        <w:rPr>
          <w:rFonts w:cs="Times New Roman"/>
          <w:i/>
        </w:rPr>
        <w:t xml:space="preserve"> – </w:t>
      </w:r>
      <w:proofErr w:type="spellStart"/>
      <w:r w:rsidRPr="00C531D7">
        <w:rPr>
          <w:rFonts w:cs="Times New Roman"/>
          <w:i/>
        </w:rPr>
        <w:t>Stranka</w:t>
      </w:r>
      <w:proofErr w:type="spellEnd"/>
      <w:r w:rsidRPr="00C531D7">
        <w:rPr>
          <w:rFonts w:cs="Times New Roman"/>
          <w:i/>
        </w:rPr>
        <w:t xml:space="preserve"> </w:t>
      </w:r>
      <w:proofErr w:type="spellStart"/>
      <w:r w:rsidRPr="00C531D7">
        <w:rPr>
          <w:rFonts w:cs="Times New Roman"/>
          <w:i/>
        </w:rPr>
        <w:t>rada</w:t>
      </w:r>
      <w:proofErr w:type="spellEnd"/>
      <w:r w:rsidRPr="00C531D7">
        <w:rPr>
          <w:rFonts w:cs="Times New Roman"/>
        </w:rPr>
        <w:t xml:space="preserve">) </w:t>
      </w:r>
      <w:r>
        <w:rPr>
          <w:rFonts w:cs="Times New Roman"/>
          <w:lang w:val="en-GB"/>
        </w:rPr>
        <w:t xml:space="preserve">, the </w:t>
      </w:r>
      <w:hyperlink r:id="rId22" w:tooltip="Croatian Labourists - Labour Party" w:history="1">
        <w:r w:rsidRPr="00C531D7">
          <w:rPr>
            <w:rStyle w:val="Hyperlink"/>
            <w:rFonts w:cs="Times New Roman"/>
            <w:color w:val="auto"/>
            <w:u w:val="none"/>
          </w:rPr>
          <w:t>Croatian Peasant Party</w:t>
        </w:r>
      </w:hyperlink>
      <w:r w:rsidRPr="00C531D7">
        <w:rPr>
          <w:rStyle w:val="Hyperlink"/>
          <w:rFonts w:cs="Times New Roman"/>
          <w:color w:val="auto"/>
          <w:u w:val="none"/>
        </w:rPr>
        <w:t xml:space="preserve"> (</w:t>
      </w:r>
      <w:proofErr w:type="spellStart"/>
      <w:r w:rsidRPr="00C531D7">
        <w:rPr>
          <w:rStyle w:val="Hyperlink"/>
          <w:rFonts w:cs="Times New Roman"/>
          <w:i/>
          <w:color w:val="auto"/>
          <w:u w:val="none"/>
        </w:rPr>
        <w:t>Hrvatska</w:t>
      </w:r>
      <w:proofErr w:type="spellEnd"/>
      <w:r w:rsidRPr="00C531D7">
        <w:rPr>
          <w:rStyle w:val="Hyperlink"/>
          <w:rFonts w:cs="Times New Roman"/>
          <w:i/>
          <w:color w:val="auto"/>
          <w:u w:val="none"/>
        </w:rPr>
        <w:t xml:space="preserve"> </w:t>
      </w:r>
      <w:proofErr w:type="spellStart"/>
      <w:r w:rsidRPr="00C531D7">
        <w:rPr>
          <w:rStyle w:val="Hyperlink"/>
          <w:rFonts w:cs="Times New Roman"/>
          <w:i/>
          <w:color w:val="auto"/>
          <w:u w:val="none"/>
        </w:rPr>
        <w:t>seljačka</w:t>
      </w:r>
      <w:proofErr w:type="spellEnd"/>
      <w:r w:rsidRPr="00C531D7">
        <w:rPr>
          <w:rStyle w:val="Hyperlink"/>
          <w:rFonts w:cs="Times New Roman"/>
          <w:i/>
          <w:color w:val="auto"/>
          <w:u w:val="none"/>
        </w:rPr>
        <w:t xml:space="preserve"> </w:t>
      </w:r>
      <w:proofErr w:type="spellStart"/>
      <w:r w:rsidRPr="00C531D7">
        <w:rPr>
          <w:rStyle w:val="Hyperlink"/>
          <w:rFonts w:cs="Times New Roman"/>
          <w:i/>
          <w:color w:val="auto"/>
          <w:u w:val="none"/>
        </w:rPr>
        <w:t>stranka</w:t>
      </w:r>
      <w:proofErr w:type="spellEnd"/>
      <w:r w:rsidRPr="00C531D7">
        <w:rPr>
          <w:rStyle w:val="Hyperlink"/>
          <w:rFonts w:cs="Times New Roman"/>
          <w:color w:val="auto"/>
          <w:u w:val="none"/>
        </w:rPr>
        <w:t>)</w:t>
      </w:r>
      <w:r>
        <w:rPr>
          <w:rStyle w:val="Hyperlink"/>
          <w:rFonts w:cs="Times New Roman"/>
          <w:color w:val="auto"/>
          <w:u w:val="none"/>
        </w:rPr>
        <w:t xml:space="preserve">, the </w:t>
      </w:r>
      <w:hyperlink r:id="rId23" w:tooltip="Croatian Labourists - Labour Party" w:history="1">
        <w:r w:rsidRPr="00C531D7">
          <w:rPr>
            <w:rStyle w:val="Hyperlink"/>
            <w:rFonts w:cs="Times New Roman"/>
            <w:color w:val="auto"/>
            <w:u w:val="none"/>
          </w:rPr>
          <w:t>Croatian People’s Party- Liberal Democrats</w:t>
        </w:r>
      </w:hyperlink>
      <w:r w:rsidRPr="00C531D7">
        <w:rPr>
          <w:rFonts w:cs="Times New Roman"/>
        </w:rPr>
        <w:t xml:space="preserve"> (</w:t>
      </w:r>
      <w:proofErr w:type="spellStart"/>
      <w:r w:rsidRPr="00C531D7">
        <w:rPr>
          <w:rFonts w:cs="Times New Roman"/>
          <w:i/>
        </w:rPr>
        <w:t>Hrvatska</w:t>
      </w:r>
      <w:proofErr w:type="spellEnd"/>
      <w:r w:rsidRPr="00C531D7">
        <w:rPr>
          <w:rFonts w:cs="Times New Roman"/>
          <w:i/>
        </w:rPr>
        <w:t xml:space="preserve"> </w:t>
      </w:r>
      <w:proofErr w:type="spellStart"/>
      <w:r w:rsidRPr="00C531D7">
        <w:rPr>
          <w:rFonts w:cs="Times New Roman"/>
          <w:i/>
        </w:rPr>
        <w:t>narodna</w:t>
      </w:r>
      <w:proofErr w:type="spellEnd"/>
      <w:r w:rsidRPr="00C531D7">
        <w:rPr>
          <w:rFonts w:cs="Times New Roman"/>
          <w:i/>
        </w:rPr>
        <w:t xml:space="preserve"> </w:t>
      </w:r>
      <w:proofErr w:type="spellStart"/>
      <w:r w:rsidRPr="00C531D7">
        <w:rPr>
          <w:rFonts w:cs="Times New Roman"/>
          <w:i/>
        </w:rPr>
        <w:t>stranka</w:t>
      </w:r>
      <w:proofErr w:type="spellEnd"/>
      <w:r w:rsidRPr="00C531D7">
        <w:rPr>
          <w:rFonts w:cs="Times New Roman"/>
          <w:i/>
        </w:rPr>
        <w:t xml:space="preserve"> – </w:t>
      </w:r>
      <w:proofErr w:type="spellStart"/>
      <w:r w:rsidRPr="00C531D7">
        <w:rPr>
          <w:rFonts w:cs="Times New Roman"/>
          <w:i/>
        </w:rPr>
        <w:t>liberalni</w:t>
      </w:r>
      <w:proofErr w:type="spellEnd"/>
      <w:r w:rsidRPr="00C531D7">
        <w:rPr>
          <w:rFonts w:cs="Times New Roman"/>
          <w:i/>
        </w:rPr>
        <w:t xml:space="preserve"> </w:t>
      </w:r>
      <w:proofErr w:type="spellStart"/>
      <w:r w:rsidRPr="00C531D7">
        <w:rPr>
          <w:rFonts w:cs="Times New Roman"/>
          <w:i/>
        </w:rPr>
        <w:t>demokrati</w:t>
      </w:r>
      <w:proofErr w:type="spellEnd"/>
      <w:r w:rsidRPr="00C531D7">
        <w:rPr>
          <w:rFonts w:cs="Times New Roman"/>
        </w:rPr>
        <w:t>)</w:t>
      </w:r>
      <w:r>
        <w:rPr>
          <w:rFonts w:cs="Times New Roman"/>
        </w:rPr>
        <w:t xml:space="preserve">, the </w:t>
      </w:r>
      <w:hyperlink r:id="rId24" w:tooltip="Croatian Labourists - Labour Party" w:history="1">
        <w:r w:rsidRPr="00C531D7">
          <w:rPr>
            <w:rStyle w:val="Hyperlink"/>
            <w:rFonts w:cs="Times New Roman"/>
            <w:color w:val="auto"/>
            <w:u w:val="none"/>
          </w:rPr>
          <w:t xml:space="preserve">Croatian </w:t>
        </w:r>
      </w:hyperlink>
      <w:r w:rsidRPr="00C531D7">
        <w:rPr>
          <w:rFonts w:cs="Times New Roman"/>
        </w:rPr>
        <w:t>Social-Liberal Party (</w:t>
      </w:r>
      <w:proofErr w:type="spellStart"/>
      <w:r w:rsidRPr="00C531D7">
        <w:rPr>
          <w:rFonts w:cs="Times New Roman"/>
          <w:i/>
        </w:rPr>
        <w:t>Hrvatska</w:t>
      </w:r>
      <w:proofErr w:type="spellEnd"/>
      <w:r w:rsidRPr="00C531D7">
        <w:rPr>
          <w:rFonts w:cs="Times New Roman"/>
          <w:i/>
        </w:rPr>
        <w:t xml:space="preserve"> </w:t>
      </w:r>
      <w:proofErr w:type="spellStart"/>
      <w:r w:rsidRPr="00C531D7">
        <w:rPr>
          <w:rFonts w:cs="Times New Roman"/>
          <w:i/>
        </w:rPr>
        <w:t>socijalno-liberalna</w:t>
      </w:r>
      <w:proofErr w:type="spellEnd"/>
      <w:r w:rsidRPr="00C531D7">
        <w:rPr>
          <w:rFonts w:cs="Times New Roman"/>
          <w:i/>
        </w:rPr>
        <w:t xml:space="preserve"> </w:t>
      </w:r>
      <w:proofErr w:type="spellStart"/>
      <w:r w:rsidRPr="00C531D7">
        <w:rPr>
          <w:rFonts w:cs="Times New Roman"/>
          <w:i/>
        </w:rPr>
        <w:t>stranka</w:t>
      </w:r>
      <w:proofErr w:type="spellEnd"/>
      <w:r w:rsidRPr="00C531D7">
        <w:rPr>
          <w:rFonts w:cs="Times New Roman"/>
        </w:rPr>
        <w:t>)</w:t>
      </w:r>
      <w:r>
        <w:rPr>
          <w:rFonts w:cs="Times New Roman"/>
        </w:rPr>
        <w:t xml:space="preserve">, the </w:t>
      </w:r>
      <w:r w:rsidRPr="00C531D7">
        <w:rPr>
          <w:rFonts w:cs="Times New Roman"/>
        </w:rPr>
        <w:t>Independent Democratic Serb Party (</w:t>
      </w:r>
      <w:proofErr w:type="spellStart"/>
      <w:r w:rsidRPr="00C531D7">
        <w:rPr>
          <w:rFonts w:cs="Times New Roman"/>
          <w:i/>
        </w:rPr>
        <w:t>Samostalna</w:t>
      </w:r>
      <w:proofErr w:type="spellEnd"/>
      <w:r w:rsidRPr="00C531D7">
        <w:rPr>
          <w:rFonts w:cs="Times New Roman"/>
          <w:i/>
        </w:rPr>
        <w:t xml:space="preserve"> </w:t>
      </w:r>
      <w:proofErr w:type="spellStart"/>
      <w:r w:rsidRPr="00C531D7">
        <w:rPr>
          <w:rFonts w:cs="Times New Roman"/>
          <w:i/>
        </w:rPr>
        <w:t>demokratska</w:t>
      </w:r>
      <w:proofErr w:type="spellEnd"/>
      <w:r w:rsidRPr="00C531D7">
        <w:rPr>
          <w:rFonts w:cs="Times New Roman"/>
          <w:i/>
        </w:rPr>
        <w:t xml:space="preserve"> </w:t>
      </w:r>
      <w:proofErr w:type="spellStart"/>
      <w:r w:rsidRPr="00C531D7">
        <w:rPr>
          <w:rFonts w:cs="Times New Roman"/>
          <w:i/>
        </w:rPr>
        <w:t>srpska</w:t>
      </w:r>
      <w:proofErr w:type="spellEnd"/>
      <w:r w:rsidRPr="00C531D7">
        <w:rPr>
          <w:rFonts w:cs="Times New Roman"/>
          <w:i/>
        </w:rPr>
        <w:t xml:space="preserve"> </w:t>
      </w:r>
      <w:proofErr w:type="spellStart"/>
      <w:r w:rsidRPr="00C531D7">
        <w:rPr>
          <w:rFonts w:cs="Times New Roman"/>
          <w:i/>
        </w:rPr>
        <w:t>stranka</w:t>
      </w:r>
      <w:proofErr w:type="spellEnd"/>
      <w:r w:rsidRPr="00C531D7">
        <w:rPr>
          <w:rFonts w:cs="Times New Roman"/>
        </w:rPr>
        <w:t>)</w:t>
      </w:r>
      <w:r>
        <w:rPr>
          <w:rFonts w:cs="Times New Roman"/>
        </w:rPr>
        <w:t xml:space="preserve">, the </w:t>
      </w:r>
      <w:proofErr w:type="spellStart"/>
      <w:r w:rsidRPr="00C531D7">
        <w:rPr>
          <w:rFonts w:cs="Times New Roman"/>
          <w:lang w:val="en-GB"/>
        </w:rPr>
        <w:t>Istrian</w:t>
      </w:r>
      <w:proofErr w:type="spellEnd"/>
      <w:r w:rsidRPr="00C531D7">
        <w:rPr>
          <w:rFonts w:cs="Times New Roman"/>
          <w:lang w:val="en-GB"/>
        </w:rPr>
        <w:t xml:space="preserve"> Democratic Assembly (</w:t>
      </w:r>
      <w:proofErr w:type="spellStart"/>
      <w:r w:rsidRPr="00C531D7">
        <w:rPr>
          <w:rFonts w:cs="Times New Roman"/>
          <w:i/>
          <w:lang w:val="en-GB"/>
        </w:rPr>
        <w:t>Istarski</w:t>
      </w:r>
      <w:proofErr w:type="spellEnd"/>
      <w:r w:rsidRPr="00C531D7">
        <w:rPr>
          <w:rFonts w:cs="Times New Roman"/>
          <w:i/>
          <w:lang w:val="en-GB"/>
        </w:rPr>
        <w:t xml:space="preserve"> </w:t>
      </w:r>
      <w:proofErr w:type="spellStart"/>
      <w:r w:rsidRPr="00C531D7">
        <w:rPr>
          <w:rFonts w:cs="Times New Roman"/>
          <w:i/>
          <w:lang w:val="en-GB"/>
        </w:rPr>
        <w:t>demokratski</w:t>
      </w:r>
      <w:proofErr w:type="spellEnd"/>
      <w:r w:rsidRPr="00C531D7">
        <w:rPr>
          <w:rFonts w:cs="Times New Roman"/>
          <w:i/>
          <w:lang w:val="en-GB"/>
        </w:rPr>
        <w:t xml:space="preserve"> </w:t>
      </w:r>
      <w:proofErr w:type="spellStart"/>
      <w:r w:rsidRPr="00C531D7">
        <w:rPr>
          <w:rFonts w:cs="Times New Roman"/>
          <w:i/>
          <w:lang w:val="en-GB"/>
        </w:rPr>
        <w:t>sabor</w:t>
      </w:r>
      <w:proofErr w:type="spellEnd"/>
      <w:r w:rsidRPr="00C531D7">
        <w:rPr>
          <w:rFonts w:cs="Times New Roman"/>
          <w:lang w:val="en-GB"/>
        </w:rPr>
        <w:t xml:space="preserve">) </w:t>
      </w:r>
      <w:r>
        <w:rPr>
          <w:rFonts w:cs="Times New Roman"/>
          <w:lang w:val="en-GB"/>
        </w:rPr>
        <w:t xml:space="preserve">and the </w:t>
      </w:r>
      <w:r w:rsidRPr="00C531D7">
        <w:rPr>
          <w:rFonts w:cs="Times New Roman"/>
          <w:lang w:val="en-GB"/>
        </w:rPr>
        <w:t>Youth Action (</w:t>
      </w:r>
      <w:proofErr w:type="spellStart"/>
      <w:r w:rsidRPr="00C531D7">
        <w:rPr>
          <w:rFonts w:cs="Times New Roman"/>
          <w:i/>
          <w:lang w:val="en-GB"/>
        </w:rPr>
        <w:t>Akcija</w:t>
      </w:r>
      <w:proofErr w:type="spellEnd"/>
      <w:r w:rsidRPr="00C531D7">
        <w:rPr>
          <w:rFonts w:cs="Times New Roman"/>
          <w:i/>
          <w:lang w:val="en-GB"/>
        </w:rPr>
        <w:t xml:space="preserve"> </w:t>
      </w:r>
      <w:proofErr w:type="spellStart"/>
      <w:r w:rsidRPr="00C531D7">
        <w:rPr>
          <w:rFonts w:cs="Times New Roman"/>
          <w:i/>
          <w:lang w:val="en-GB"/>
        </w:rPr>
        <w:t>mladih</w:t>
      </w:r>
      <w:proofErr w:type="spellEnd"/>
      <w:r w:rsidRPr="00C531D7">
        <w:rPr>
          <w:rFonts w:cs="Times New Roman"/>
          <w:lang w:val="en-GB"/>
        </w:rPr>
        <w:t>)</w:t>
      </w:r>
      <w:r>
        <w:rPr>
          <w:rFonts w:cs="Times New Roman"/>
          <w:lang w:val="en-GB"/>
        </w:rPr>
        <w:t>.</w:t>
      </w:r>
      <w:r>
        <w:rPr>
          <w:rStyle w:val="Hyperlink"/>
          <w:rFonts w:cs="Times New Roman"/>
          <w:color w:val="auto"/>
          <w:u w:val="none"/>
        </w:rPr>
        <w:t xml:space="preserve"> </w:t>
      </w:r>
    </w:p>
  </w:footnote>
  <w:footnote w:id="65">
    <w:p w14:paraId="736097F8" w14:textId="1490A889" w:rsidR="000309DC" w:rsidRPr="00C531D7" w:rsidRDefault="000309DC" w:rsidP="00C531D7">
      <w:pPr>
        <w:pStyle w:val="FootnoteText"/>
        <w:jc w:val="both"/>
        <w:rPr>
          <w:rFonts w:cs="Times New Roman"/>
          <w:lang w:val="en-GB"/>
        </w:rPr>
      </w:pPr>
      <w:r w:rsidRPr="00C531D7">
        <w:rPr>
          <w:rStyle w:val="FootnoteReference"/>
          <w:rFonts w:cs="Times New Roman"/>
        </w:rPr>
        <w:footnoteRef/>
      </w:r>
      <w:r>
        <w:rPr>
          <w:rFonts w:cs="Times New Roman"/>
        </w:rPr>
        <w:t xml:space="preserve"> Information obtained from the</w:t>
      </w:r>
      <w:r w:rsidRPr="00C531D7">
        <w:rPr>
          <w:rFonts w:cs="Times New Roman"/>
        </w:rPr>
        <w:t xml:space="preserve"> </w:t>
      </w:r>
      <w:r w:rsidRPr="00C531D7">
        <w:rPr>
          <w:rFonts w:cs="Times New Roman"/>
          <w:lang w:val="en-GB"/>
        </w:rPr>
        <w:t>Ministry of Public Administration (</w:t>
      </w:r>
      <w:proofErr w:type="spellStart"/>
      <w:r w:rsidRPr="00C531D7">
        <w:rPr>
          <w:rFonts w:cs="Times New Roman"/>
          <w:i/>
          <w:lang w:val="en-GB"/>
        </w:rPr>
        <w:t>Ministarstvo</w:t>
      </w:r>
      <w:proofErr w:type="spellEnd"/>
      <w:r w:rsidRPr="00C531D7">
        <w:rPr>
          <w:rFonts w:cs="Times New Roman"/>
          <w:i/>
          <w:lang w:val="en-GB"/>
        </w:rPr>
        <w:t xml:space="preserve"> </w:t>
      </w:r>
      <w:proofErr w:type="spellStart"/>
      <w:r w:rsidRPr="00C531D7">
        <w:rPr>
          <w:rFonts w:cs="Times New Roman"/>
          <w:i/>
          <w:lang w:val="en-GB"/>
        </w:rPr>
        <w:t>javne</w:t>
      </w:r>
      <w:proofErr w:type="spellEnd"/>
      <w:r w:rsidRPr="00C531D7">
        <w:rPr>
          <w:rFonts w:cs="Times New Roman"/>
          <w:i/>
          <w:lang w:val="en-GB"/>
        </w:rPr>
        <w:t xml:space="preserve"> </w:t>
      </w:r>
      <w:proofErr w:type="spellStart"/>
      <w:r w:rsidRPr="00C531D7">
        <w:rPr>
          <w:rFonts w:cs="Times New Roman"/>
          <w:i/>
          <w:lang w:val="en-GB"/>
        </w:rPr>
        <w:t>uprave</w:t>
      </w:r>
      <w:proofErr w:type="spellEnd"/>
      <w:r w:rsidRPr="00C531D7">
        <w:rPr>
          <w:rFonts w:cs="Times New Roman"/>
          <w:lang w:val="en-GB"/>
        </w:rPr>
        <w:t xml:space="preserve">) (2013). </w:t>
      </w:r>
    </w:p>
  </w:footnote>
  <w:footnote w:id="66">
    <w:p w14:paraId="5BB2E873" w14:textId="7E212928"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Information obtained from the</w:t>
      </w:r>
      <w:r w:rsidRPr="00C531D7">
        <w:rPr>
          <w:rFonts w:eastAsia="Calibri" w:cs="Times New Roman"/>
          <w:lang w:val="en-GB"/>
        </w:rPr>
        <w:t xml:space="preserve"> Croatian Union of Counties (</w:t>
      </w:r>
      <w:proofErr w:type="spellStart"/>
      <w:r w:rsidRPr="00C531D7">
        <w:rPr>
          <w:rFonts w:eastAsia="Calibri" w:cs="Times New Roman"/>
          <w:i/>
          <w:lang w:val="en-GB"/>
        </w:rPr>
        <w:t>Hrvatska</w:t>
      </w:r>
      <w:proofErr w:type="spellEnd"/>
      <w:r w:rsidRPr="00C531D7">
        <w:rPr>
          <w:rFonts w:eastAsia="Calibri" w:cs="Times New Roman"/>
          <w:i/>
          <w:lang w:val="en-GB"/>
        </w:rPr>
        <w:t xml:space="preserve"> </w:t>
      </w:r>
      <w:proofErr w:type="spellStart"/>
      <w:r w:rsidRPr="00C531D7">
        <w:rPr>
          <w:rFonts w:eastAsia="Calibri" w:cs="Times New Roman"/>
          <w:i/>
          <w:lang w:val="en-GB"/>
        </w:rPr>
        <w:t>zajednica</w:t>
      </w:r>
      <w:proofErr w:type="spellEnd"/>
      <w:r w:rsidRPr="00C531D7">
        <w:rPr>
          <w:rFonts w:eastAsia="Calibri" w:cs="Times New Roman"/>
          <w:i/>
          <w:lang w:val="en-GB"/>
        </w:rPr>
        <w:t xml:space="preserve"> </w:t>
      </w:r>
      <w:proofErr w:type="spellStart"/>
      <w:r w:rsidRPr="00C531D7">
        <w:rPr>
          <w:rFonts w:eastAsia="Calibri" w:cs="Times New Roman"/>
          <w:i/>
          <w:lang w:val="en-GB"/>
        </w:rPr>
        <w:t>županija</w:t>
      </w:r>
      <w:proofErr w:type="spellEnd"/>
      <w:r w:rsidRPr="00C531D7">
        <w:rPr>
          <w:rFonts w:eastAsia="Calibri" w:cs="Times New Roman"/>
          <w:lang w:val="en-GB"/>
        </w:rPr>
        <w:t xml:space="preserve">) (2013). </w:t>
      </w:r>
    </w:p>
  </w:footnote>
  <w:footnote w:id="67">
    <w:p w14:paraId="798C5838" w14:textId="5A2336DF"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Information obtained from the</w:t>
      </w:r>
      <w:r w:rsidRPr="00C531D7">
        <w:rPr>
          <w:rFonts w:eastAsia="Calibri" w:cs="Times New Roman"/>
          <w:lang w:val="en-GB"/>
        </w:rPr>
        <w:t xml:space="preserve"> Association of towns in the Republic of Croatia (</w:t>
      </w:r>
      <w:proofErr w:type="spellStart"/>
      <w:r w:rsidRPr="00C531D7">
        <w:rPr>
          <w:rFonts w:eastAsia="Calibri" w:cs="Times New Roman"/>
          <w:i/>
          <w:lang w:val="en-GB"/>
        </w:rPr>
        <w:t>Udruga</w:t>
      </w:r>
      <w:proofErr w:type="spellEnd"/>
      <w:r w:rsidRPr="00C531D7">
        <w:rPr>
          <w:rFonts w:eastAsia="Calibri" w:cs="Times New Roman"/>
          <w:i/>
          <w:lang w:val="en-GB"/>
        </w:rPr>
        <w:t xml:space="preserve"> </w:t>
      </w:r>
      <w:proofErr w:type="spellStart"/>
      <w:r w:rsidRPr="00C531D7">
        <w:rPr>
          <w:rFonts w:eastAsia="Calibri" w:cs="Times New Roman"/>
          <w:i/>
          <w:lang w:val="en-GB"/>
        </w:rPr>
        <w:t>gradova</w:t>
      </w:r>
      <w:proofErr w:type="spellEnd"/>
      <w:r w:rsidRPr="00C531D7">
        <w:rPr>
          <w:rFonts w:eastAsia="Calibri" w:cs="Times New Roman"/>
          <w:i/>
          <w:lang w:val="en-GB"/>
        </w:rPr>
        <w:t xml:space="preserve"> u </w:t>
      </w:r>
      <w:proofErr w:type="spellStart"/>
      <w:r w:rsidRPr="00C531D7">
        <w:rPr>
          <w:rFonts w:eastAsia="Calibri" w:cs="Times New Roman"/>
          <w:i/>
          <w:lang w:val="en-GB"/>
        </w:rPr>
        <w:t>Republici</w:t>
      </w:r>
      <w:proofErr w:type="spellEnd"/>
      <w:r w:rsidRPr="00C531D7">
        <w:rPr>
          <w:rFonts w:eastAsia="Calibri" w:cs="Times New Roman"/>
          <w:i/>
          <w:lang w:val="en-GB"/>
        </w:rPr>
        <w:t xml:space="preserve"> </w:t>
      </w:r>
      <w:proofErr w:type="spellStart"/>
      <w:r w:rsidRPr="00C531D7">
        <w:rPr>
          <w:rFonts w:eastAsia="Calibri" w:cs="Times New Roman"/>
          <w:i/>
          <w:lang w:val="en-GB"/>
        </w:rPr>
        <w:t>Hrvatskoj</w:t>
      </w:r>
      <w:proofErr w:type="spellEnd"/>
      <w:r w:rsidRPr="00C531D7">
        <w:rPr>
          <w:rFonts w:eastAsia="Calibri" w:cs="Times New Roman"/>
          <w:lang w:val="en-GB"/>
        </w:rPr>
        <w:t xml:space="preserve">) (2013) </w:t>
      </w:r>
    </w:p>
  </w:footnote>
  <w:footnote w:id="68">
    <w:p w14:paraId="18215162" w14:textId="64324506" w:rsidR="000309DC" w:rsidRPr="00C531D7" w:rsidRDefault="000309DC" w:rsidP="00C531D7">
      <w:pPr>
        <w:pStyle w:val="FootnoteText"/>
        <w:jc w:val="both"/>
        <w:rPr>
          <w:lang w:val="hr-HR"/>
        </w:rPr>
      </w:pPr>
      <w:r w:rsidRPr="00C531D7">
        <w:rPr>
          <w:rStyle w:val="FootnoteReference"/>
        </w:rPr>
        <w:footnoteRef/>
      </w:r>
      <w:r w:rsidRPr="00C531D7">
        <w:t xml:space="preserve"> </w:t>
      </w:r>
      <w:r w:rsidRPr="00C531D7">
        <w:rPr>
          <w:rFonts w:cs="Times New Roman"/>
          <w:lang w:val="en-GB"/>
        </w:rPr>
        <w:t>Please note that the term accessibility is typically colloquially understood to refer to wheelchair access, and that data reported likely also refers, at least in part, to accessibility to persons with physical/motoric impairment.</w:t>
      </w:r>
    </w:p>
  </w:footnote>
  <w:footnote w:id="69">
    <w:p w14:paraId="513BEBF3" w14:textId="77777777" w:rsidR="000309DC" w:rsidRPr="00C531D7" w:rsidRDefault="000309DC" w:rsidP="00C531D7">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sidRPr="00C531D7">
        <w:rPr>
          <w:rFonts w:cs="Times New Roman"/>
          <w:lang w:val="en-GB"/>
        </w:rPr>
        <w:t>Data on municipalities available at: http://www.uprava.hr/default.aspx?id=12.</w:t>
      </w:r>
    </w:p>
  </w:footnote>
  <w:footnote w:id="70">
    <w:p w14:paraId="27A78FE8" w14:textId="69D39D21" w:rsidR="000309DC" w:rsidRPr="00C531D7" w:rsidRDefault="000309DC" w:rsidP="007B7876">
      <w:pPr>
        <w:pStyle w:val="FootnoteText"/>
        <w:contextualSpacing/>
        <w:jc w:val="both"/>
      </w:pPr>
      <w:r w:rsidRPr="00C531D7">
        <w:rPr>
          <w:rStyle w:val="FootnoteReference"/>
        </w:rPr>
        <w:footnoteRef/>
      </w:r>
      <w:r w:rsidRPr="00C531D7">
        <w:t xml:space="preserve"> According to Art. 7 of the Ordinance on ensuring accessibility of buildings to persons with disability and persons with limited mobility (</w:t>
      </w:r>
      <w:proofErr w:type="spellStart"/>
      <w:r w:rsidRPr="00C531D7">
        <w:rPr>
          <w:rStyle w:val="Strong"/>
          <w:b w:val="0"/>
          <w:bCs w:val="0"/>
          <w:i/>
        </w:rPr>
        <w:t>Pravilnik</w:t>
      </w:r>
      <w:proofErr w:type="spellEnd"/>
      <w:r w:rsidRPr="00C531D7">
        <w:rPr>
          <w:rStyle w:val="Strong"/>
          <w:b w:val="0"/>
          <w:bCs w:val="0"/>
          <w:i/>
        </w:rPr>
        <w:t xml:space="preserve"> o </w:t>
      </w:r>
      <w:proofErr w:type="spellStart"/>
      <w:r w:rsidRPr="00C531D7">
        <w:rPr>
          <w:rStyle w:val="Strong"/>
          <w:b w:val="0"/>
          <w:bCs w:val="0"/>
          <w:i/>
        </w:rPr>
        <w:t>osiguranju</w:t>
      </w:r>
      <w:proofErr w:type="spellEnd"/>
      <w:r w:rsidRPr="00C531D7">
        <w:rPr>
          <w:rStyle w:val="Strong"/>
          <w:b w:val="0"/>
          <w:bCs w:val="0"/>
          <w:i/>
        </w:rPr>
        <w:t xml:space="preserve"> </w:t>
      </w:r>
      <w:proofErr w:type="spellStart"/>
      <w:r w:rsidRPr="00C531D7">
        <w:rPr>
          <w:rStyle w:val="Strong"/>
          <w:b w:val="0"/>
          <w:bCs w:val="0"/>
          <w:i/>
        </w:rPr>
        <w:t>pristupačnosti</w:t>
      </w:r>
      <w:proofErr w:type="spellEnd"/>
      <w:r w:rsidRPr="00C531D7">
        <w:rPr>
          <w:rStyle w:val="Strong"/>
          <w:b w:val="0"/>
          <w:bCs w:val="0"/>
          <w:i/>
        </w:rPr>
        <w:t xml:space="preserve"> </w:t>
      </w:r>
      <w:proofErr w:type="spellStart"/>
      <w:r w:rsidRPr="007B7876">
        <w:t>građevina</w:t>
      </w:r>
      <w:proofErr w:type="spellEnd"/>
      <w:r w:rsidRPr="007B7876">
        <w:t xml:space="preserve"> </w:t>
      </w:r>
      <w:proofErr w:type="spellStart"/>
      <w:r w:rsidRPr="007B7876">
        <w:t>osobama</w:t>
      </w:r>
      <w:proofErr w:type="spellEnd"/>
      <w:r w:rsidRPr="007B7876">
        <w:t xml:space="preserve"> s </w:t>
      </w:r>
      <w:proofErr w:type="spellStart"/>
      <w:r w:rsidRPr="007B7876">
        <w:t>invaliditetom</w:t>
      </w:r>
      <w:proofErr w:type="spellEnd"/>
      <w:r w:rsidRPr="007B7876">
        <w:t xml:space="preserve"> </w:t>
      </w:r>
      <w:proofErr w:type="spellStart"/>
      <w:r w:rsidRPr="007B7876">
        <w:t>i</w:t>
      </w:r>
      <w:proofErr w:type="spellEnd"/>
      <w:r w:rsidRPr="007B7876">
        <w:t xml:space="preserve"> </w:t>
      </w:r>
      <w:proofErr w:type="spellStart"/>
      <w:r w:rsidRPr="007B7876">
        <w:t>smanjenom</w:t>
      </w:r>
      <w:proofErr w:type="spellEnd"/>
      <w:r w:rsidRPr="007B7876">
        <w:t xml:space="preserve"> </w:t>
      </w:r>
      <w:proofErr w:type="spellStart"/>
      <w:r w:rsidRPr="007B7876">
        <w:t>pokretljivosti</w:t>
      </w:r>
      <w:proofErr w:type="spellEnd"/>
      <w:r w:rsidRPr="007B7876">
        <w:t xml:space="preserve">), Official </w:t>
      </w:r>
      <w:proofErr w:type="spellStart"/>
      <w:r w:rsidRPr="007B7876">
        <w:t>Gazzete</w:t>
      </w:r>
      <w:proofErr w:type="spellEnd"/>
      <w:r w:rsidRPr="007B7876">
        <w:t xml:space="preserve"> (</w:t>
      </w:r>
      <w:proofErr w:type="spellStart"/>
      <w:r w:rsidRPr="007B7876">
        <w:t>Narodne</w:t>
      </w:r>
      <w:proofErr w:type="spellEnd"/>
      <w:r w:rsidRPr="007B7876">
        <w:t xml:space="preserve"> </w:t>
      </w:r>
      <w:proofErr w:type="spellStart"/>
      <w:r w:rsidRPr="007B7876">
        <w:t>novine</w:t>
      </w:r>
      <w:proofErr w:type="spellEnd"/>
      <w:r w:rsidRPr="007B7876">
        <w:t xml:space="preserve">) Nos. </w:t>
      </w:r>
      <w:r w:rsidRPr="00C531D7">
        <w:t xml:space="preserve">151/05, 61/07, </w:t>
      </w:r>
      <w:r w:rsidRPr="007B7876">
        <w:t>mandatory elements of accessibility include: elements of accessibility in terms of overcoming differences in elevation; elements of accessibility connected to independent living; and, elements of accessibility related to public transport.</w:t>
      </w:r>
    </w:p>
  </w:footnote>
  <w:footnote w:id="71">
    <w:p w14:paraId="6248776C" w14:textId="7010D647" w:rsidR="000309DC" w:rsidRPr="00C531D7" w:rsidRDefault="000309DC" w:rsidP="00C531D7">
      <w:pPr>
        <w:pStyle w:val="FootnoteText"/>
        <w:contextualSpacing/>
        <w:jc w:val="both"/>
        <w:rPr>
          <w:rFonts w:cs="Times New Roman"/>
          <w:lang w:val="en-GB"/>
        </w:rPr>
      </w:pPr>
      <w:r w:rsidRPr="007B7876">
        <w:rPr>
          <w:rStyle w:val="FootnoteReference"/>
        </w:rPr>
        <w:footnoteRef/>
      </w:r>
      <w:r w:rsidRPr="007B7876">
        <w:rPr>
          <w:rStyle w:val="FootnoteReference"/>
        </w:rPr>
        <w:t xml:space="preserve"> </w:t>
      </w:r>
      <w:r>
        <w:t>I</w:t>
      </w:r>
      <w:r w:rsidRPr="007B7876">
        <w:t>nformation</w:t>
      </w:r>
      <w:r>
        <w:rPr>
          <w:rFonts w:cs="Times New Roman"/>
        </w:rPr>
        <w:t xml:space="preserve"> obtained from the </w:t>
      </w:r>
      <w:r w:rsidRPr="00C531D7">
        <w:rPr>
          <w:rFonts w:cs="Times New Roman"/>
          <w:lang w:val="en-GB"/>
        </w:rPr>
        <w:t>Association of Municipalities (</w:t>
      </w:r>
      <w:proofErr w:type="spellStart"/>
      <w:r w:rsidRPr="00C531D7">
        <w:rPr>
          <w:rFonts w:cs="Times New Roman"/>
          <w:i/>
          <w:lang w:val="en-GB"/>
        </w:rPr>
        <w:t>Udruga</w:t>
      </w:r>
      <w:proofErr w:type="spellEnd"/>
      <w:r w:rsidRPr="00C531D7">
        <w:rPr>
          <w:rFonts w:cs="Times New Roman"/>
          <w:i/>
          <w:lang w:val="en-GB"/>
        </w:rPr>
        <w:t xml:space="preserve"> </w:t>
      </w:r>
      <w:proofErr w:type="spellStart"/>
      <w:r w:rsidRPr="00C531D7">
        <w:rPr>
          <w:rFonts w:cs="Times New Roman"/>
          <w:i/>
          <w:lang w:val="en-GB"/>
        </w:rPr>
        <w:t>općina</w:t>
      </w:r>
      <w:proofErr w:type="spellEnd"/>
      <w:r w:rsidRPr="00C531D7">
        <w:rPr>
          <w:rFonts w:cs="Times New Roman"/>
          <w:lang w:val="en-GB"/>
        </w:rPr>
        <w:t xml:space="preserve">) (2013). </w:t>
      </w:r>
    </w:p>
  </w:footnote>
  <w:footnote w:id="72">
    <w:p w14:paraId="3E59E0B1" w14:textId="0D585236" w:rsidR="000309DC" w:rsidRPr="005C101C" w:rsidRDefault="000309DC" w:rsidP="00C531D7">
      <w:pPr>
        <w:pStyle w:val="FootnoteText"/>
        <w:jc w:val="both"/>
        <w:rPr>
          <w:rFonts w:ascii="Times New Roman" w:hAnsi="Times New Roman"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eastAsia="Calibri" w:cs="Times New Roman"/>
          <w:lang w:val="en-GB"/>
        </w:rPr>
        <w:t>Croatian Union of Associations of Persons with Disabilities (</w:t>
      </w:r>
      <w:proofErr w:type="spellStart"/>
      <w:r w:rsidRPr="00C531D7">
        <w:rPr>
          <w:rFonts w:eastAsia="Calibri" w:cs="Times New Roman"/>
          <w:i/>
          <w:lang w:val="en-GB"/>
        </w:rPr>
        <w:t>Zajednica</w:t>
      </w:r>
      <w:proofErr w:type="spellEnd"/>
      <w:r w:rsidRPr="00C531D7">
        <w:rPr>
          <w:rFonts w:eastAsia="Calibri" w:cs="Times New Roman"/>
          <w:i/>
          <w:lang w:val="en-GB"/>
        </w:rPr>
        <w:t xml:space="preserve"> </w:t>
      </w:r>
      <w:proofErr w:type="spellStart"/>
      <w:r w:rsidRPr="00C531D7">
        <w:rPr>
          <w:rFonts w:eastAsia="Calibri" w:cs="Times New Roman"/>
          <w:i/>
          <w:lang w:val="en-GB"/>
        </w:rPr>
        <w:t>saveza</w:t>
      </w:r>
      <w:proofErr w:type="spellEnd"/>
      <w:r w:rsidRPr="00C531D7">
        <w:rPr>
          <w:rFonts w:eastAsia="Calibri" w:cs="Times New Roman"/>
          <w:i/>
          <w:lang w:val="en-GB"/>
        </w:rPr>
        <w:t xml:space="preserve"> </w:t>
      </w:r>
      <w:proofErr w:type="spellStart"/>
      <w:r w:rsidRPr="00C531D7">
        <w:rPr>
          <w:rFonts w:eastAsia="Calibri" w:cs="Times New Roman"/>
          <w:i/>
          <w:lang w:val="en-GB"/>
        </w:rPr>
        <w:t>osoba</w:t>
      </w:r>
      <w:proofErr w:type="spellEnd"/>
      <w:r w:rsidRPr="00C531D7">
        <w:rPr>
          <w:rFonts w:eastAsia="Calibri" w:cs="Times New Roman"/>
          <w:i/>
          <w:lang w:val="en-GB"/>
        </w:rPr>
        <w:t xml:space="preserve"> s </w:t>
      </w:r>
      <w:proofErr w:type="spellStart"/>
      <w:r w:rsidRPr="00C531D7">
        <w:rPr>
          <w:rFonts w:eastAsia="Calibri" w:cs="Times New Roman"/>
          <w:i/>
          <w:lang w:val="en-GB"/>
        </w:rPr>
        <w:t>invaliditetom</w:t>
      </w:r>
      <w:proofErr w:type="spellEnd"/>
      <w:r w:rsidRPr="00C531D7">
        <w:rPr>
          <w:rFonts w:eastAsia="Calibri" w:cs="Times New Roman"/>
          <w:i/>
          <w:lang w:val="en-GB"/>
        </w:rPr>
        <w:t xml:space="preserve"> </w:t>
      </w:r>
      <w:proofErr w:type="spellStart"/>
      <w:r w:rsidRPr="00C531D7">
        <w:rPr>
          <w:rFonts w:eastAsia="Calibri" w:cs="Times New Roman"/>
          <w:i/>
          <w:lang w:val="en-GB"/>
        </w:rPr>
        <w:t>Hrvatske</w:t>
      </w:r>
      <w:proofErr w:type="spellEnd"/>
      <w:r w:rsidRPr="00C531D7">
        <w:rPr>
          <w:rFonts w:eastAsia="Calibri" w:cs="Times New Roman"/>
          <w:lang w:val="en-GB"/>
        </w:rPr>
        <w:t>) (2013)</w:t>
      </w:r>
      <w:r>
        <w:rPr>
          <w:rFonts w:eastAsia="Calibri" w:cs="Times New Roman"/>
          <w:lang w:val="en-GB"/>
        </w:rPr>
        <w:t>.</w:t>
      </w:r>
      <w:r w:rsidRPr="00C531D7">
        <w:rPr>
          <w:rFonts w:eastAsia="Calibri" w:cs="Times New Roman"/>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4076" w14:textId="010DAC5A" w:rsidR="006D617A" w:rsidRPr="009C18CC" w:rsidRDefault="006D617A" w:rsidP="00084A68">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4B243492" w14:textId="77777777" w:rsidR="006D617A" w:rsidRDefault="006D6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F412F0"/>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10">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0"/>
  </w:num>
  <w:num w:numId="5">
    <w:abstractNumId w:val="4"/>
  </w:num>
  <w:num w:numId="6">
    <w:abstractNumId w:val="13"/>
  </w:num>
  <w:num w:numId="7">
    <w:abstractNumId w:val="11"/>
  </w:num>
  <w:num w:numId="8">
    <w:abstractNumId w:val="0"/>
  </w:num>
  <w:num w:numId="9">
    <w:abstractNumId w:val="9"/>
  </w:num>
  <w:num w:numId="10">
    <w:abstractNumId w:val="3"/>
  </w:num>
  <w:num w:numId="11">
    <w:abstractNumId w:val="6"/>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356C"/>
    <w:rsid w:val="00011DA4"/>
    <w:rsid w:val="00013D13"/>
    <w:rsid w:val="000161A1"/>
    <w:rsid w:val="00026A13"/>
    <w:rsid w:val="000309DC"/>
    <w:rsid w:val="00030ADC"/>
    <w:rsid w:val="00033732"/>
    <w:rsid w:val="000356D3"/>
    <w:rsid w:val="00037FC3"/>
    <w:rsid w:val="00045906"/>
    <w:rsid w:val="00055645"/>
    <w:rsid w:val="000663D7"/>
    <w:rsid w:val="00070613"/>
    <w:rsid w:val="000707E5"/>
    <w:rsid w:val="00074027"/>
    <w:rsid w:val="00084A68"/>
    <w:rsid w:val="000A2A8C"/>
    <w:rsid w:val="000A2BD1"/>
    <w:rsid w:val="000A510F"/>
    <w:rsid w:val="000B61B7"/>
    <w:rsid w:val="000D02CB"/>
    <w:rsid w:val="000D079F"/>
    <w:rsid w:val="000D527D"/>
    <w:rsid w:val="00102DDC"/>
    <w:rsid w:val="0010602A"/>
    <w:rsid w:val="001061E8"/>
    <w:rsid w:val="001122BF"/>
    <w:rsid w:val="0011380A"/>
    <w:rsid w:val="0011784B"/>
    <w:rsid w:val="001310CD"/>
    <w:rsid w:val="0014290D"/>
    <w:rsid w:val="00143624"/>
    <w:rsid w:val="001541FB"/>
    <w:rsid w:val="00155EC7"/>
    <w:rsid w:val="0015706F"/>
    <w:rsid w:val="00160C6B"/>
    <w:rsid w:val="001644AE"/>
    <w:rsid w:val="00164EEF"/>
    <w:rsid w:val="001717A2"/>
    <w:rsid w:val="00172FE0"/>
    <w:rsid w:val="001930F4"/>
    <w:rsid w:val="001961D1"/>
    <w:rsid w:val="001A2638"/>
    <w:rsid w:val="001B10E1"/>
    <w:rsid w:val="001B65EB"/>
    <w:rsid w:val="001B77B2"/>
    <w:rsid w:val="001C6E50"/>
    <w:rsid w:val="001E075F"/>
    <w:rsid w:val="001E263C"/>
    <w:rsid w:val="001E7953"/>
    <w:rsid w:val="001F122D"/>
    <w:rsid w:val="001F2369"/>
    <w:rsid w:val="002017B0"/>
    <w:rsid w:val="00201D6E"/>
    <w:rsid w:val="00203220"/>
    <w:rsid w:val="002137F3"/>
    <w:rsid w:val="002141BE"/>
    <w:rsid w:val="00225B23"/>
    <w:rsid w:val="00226D0E"/>
    <w:rsid w:val="00231EDD"/>
    <w:rsid w:val="00246C8F"/>
    <w:rsid w:val="00250971"/>
    <w:rsid w:val="0025340E"/>
    <w:rsid w:val="00253949"/>
    <w:rsid w:val="00255A55"/>
    <w:rsid w:val="00257048"/>
    <w:rsid w:val="0026367C"/>
    <w:rsid w:val="00264B02"/>
    <w:rsid w:val="00272D92"/>
    <w:rsid w:val="0027321D"/>
    <w:rsid w:val="0028581F"/>
    <w:rsid w:val="002922EA"/>
    <w:rsid w:val="00294741"/>
    <w:rsid w:val="00295B6D"/>
    <w:rsid w:val="00297135"/>
    <w:rsid w:val="002D11D2"/>
    <w:rsid w:val="002D29A8"/>
    <w:rsid w:val="002D492C"/>
    <w:rsid w:val="002D57EB"/>
    <w:rsid w:val="002D6C67"/>
    <w:rsid w:val="002E5433"/>
    <w:rsid w:val="00306A65"/>
    <w:rsid w:val="003138A7"/>
    <w:rsid w:val="0031425C"/>
    <w:rsid w:val="00315B64"/>
    <w:rsid w:val="0032363E"/>
    <w:rsid w:val="00327F3C"/>
    <w:rsid w:val="00330DA9"/>
    <w:rsid w:val="00342871"/>
    <w:rsid w:val="00346931"/>
    <w:rsid w:val="00353A55"/>
    <w:rsid w:val="003657B8"/>
    <w:rsid w:val="0039579A"/>
    <w:rsid w:val="00397B00"/>
    <w:rsid w:val="003A0358"/>
    <w:rsid w:val="003A1586"/>
    <w:rsid w:val="003B558D"/>
    <w:rsid w:val="003B5FF9"/>
    <w:rsid w:val="003C6225"/>
    <w:rsid w:val="003D662B"/>
    <w:rsid w:val="003E58F0"/>
    <w:rsid w:val="003F025D"/>
    <w:rsid w:val="00402F5C"/>
    <w:rsid w:val="00404252"/>
    <w:rsid w:val="00410779"/>
    <w:rsid w:val="00422405"/>
    <w:rsid w:val="0043444B"/>
    <w:rsid w:val="00435980"/>
    <w:rsid w:val="004426E0"/>
    <w:rsid w:val="00442839"/>
    <w:rsid w:val="00445FC2"/>
    <w:rsid w:val="004509AE"/>
    <w:rsid w:val="00453992"/>
    <w:rsid w:val="00457C1D"/>
    <w:rsid w:val="00460EA6"/>
    <w:rsid w:val="00472DF5"/>
    <w:rsid w:val="00476678"/>
    <w:rsid w:val="004778FE"/>
    <w:rsid w:val="00480A1B"/>
    <w:rsid w:val="00493C50"/>
    <w:rsid w:val="004A59CF"/>
    <w:rsid w:val="004B784B"/>
    <w:rsid w:val="004D1ED0"/>
    <w:rsid w:val="004D3022"/>
    <w:rsid w:val="004F69E6"/>
    <w:rsid w:val="005000C7"/>
    <w:rsid w:val="00510405"/>
    <w:rsid w:val="005108F8"/>
    <w:rsid w:val="00516757"/>
    <w:rsid w:val="00523DF6"/>
    <w:rsid w:val="00533AAD"/>
    <w:rsid w:val="00533CB7"/>
    <w:rsid w:val="00543424"/>
    <w:rsid w:val="00544276"/>
    <w:rsid w:val="005445B8"/>
    <w:rsid w:val="00555C02"/>
    <w:rsid w:val="005561F3"/>
    <w:rsid w:val="00565ABC"/>
    <w:rsid w:val="00576099"/>
    <w:rsid w:val="005842C1"/>
    <w:rsid w:val="00584FDB"/>
    <w:rsid w:val="0058514C"/>
    <w:rsid w:val="00596BE3"/>
    <w:rsid w:val="00597D5F"/>
    <w:rsid w:val="005B0F4D"/>
    <w:rsid w:val="005B451C"/>
    <w:rsid w:val="005C101C"/>
    <w:rsid w:val="005C2CE0"/>
    <w:rsid w:val="005C7AAD"/>
    <w:rsid w:val="005E3F4B"/>
    <w:rsid w:val="005F236D"/>
    <w:rsid w:val="005F2AC9"/>
    <w:rsid w:val="005F45ED"/>
    <w:rsid w:val="00603454"/>
    <w:rsid w:val="00607497"/>
    <w:rsid w:val="0062216C"/>
    <w:rsid w:val="00622BB3"/>
    <w:rsid w:val="00644426"/>
    <w:rsid w:val="006521A0"/>
    <w:rsid w:val="00655A60"/>
    <w:rsid w:val="00656FC9"/>
    <w:rsid w:val="00664242"/>
    <w:rsid w:val="00665293"/>
    <w:rsid w:val="006666E8"/>
    <w:rsid w:val="006724F7"/>
    <w:rsid w:val="006764FB"/>
    <w:rsid w:val="00676B5F"/>
    <w:rsid w:val="00686790"/>
    <w:rsid w:val="00687B1C"/>
    <w:rsid w:val="00687B3C"/>
    <w:rsid w:val="00694EFF"/>
    <w:rsid w:val="006962A2"/>
    <w:rsid w:val="006A13E7"/>
    <w:rsid w:val="006A610E"/>
    <w:rsid w:val="006B4CCF"/>
    <w:rsid w:val="006B7FC1"/>
    <w:rsid w:val="006C04F4"/>
    <w:rsid w:val="006C4381"/>
    <w:rsid w:val="006C5434"/>
    <w:rsid w:val="006D37BB"/>
    <w:rsid w:val="006D4D44"/>
    <w:rsid w:val="006D617A"/>
    <w:rsid w:val="006E1F4C"/>
    <w:rsid w:val="006E71F7"/>
    <w:rsid w:val="006F01B9"/>
    <w:rsid w:val="00726379"/>
    <w:rsid w:val="00727F61"/>
    <w:rsid w:val="007321CD"/>
    <w:rsid w:val="0073527A"/>
    <w:rsid w:val="0074148B"/>
    <w:rsid w:val="00743EDD"/>
    <w:rsid w:val="00744C22"/>
    <w:rsid w:val="007476BE"/>
    <w:rsid w:val="00747C78"/>
    <w:rsid w:val="0075049E"/>
    <w:rsid w:val="00756C90"/>
    <w:rsid w:val="0075708B"/>
    <w:rsid w:val="00773871"/>
    <w:rsid w:val="007772BD"/>
    <w:rsid w:val="00780F94"/>
    <w:rsid w:val="00781277"/>
    <w:rsid w:val="00783A20"/>
    <w:rsid w:val="0078569F"/>
    <w:rsid w:val="007911A3"/>
    <w:rsid w:val="0079183E"/>
    <w:rsid w:val="00796FDC"/>
    <w:rsid w:val="007A3A2B"/>
    <w:rsid w:val="007A419B"/>
    <w:rsid w:val="007A4C35"/>
    <w:rsid w:val="007A587C"/>
    <w:rsid w:val="007B7876"/>
    <w:rsid w:val="007C14BB"/>
    <w:rsid w:val="007C65C6"/>
    <w:rsid w:val="007C6780"/>
    <w:rsid w:val="007D118E"/>
    <w:rsid w:val="007D1746"/>
    <w:rsid w:val="007E1D14"/>
    <w:rsid w:val="00804E11"/>
    <w:rsid w:val="0081459C"/>
    <w:rsid w:val="00821E86"/>
    <w:rsid w:val="00831251"/>
    <w:rsid w:val="008333F0"/>
    <w:rsid w:val="00837826"/>
    <w:rsid w:val="00843460"/>
    <w:rsid w:val="00845738"/>
    <w:rsid w:val="0086423C"/>
    <w:rsid w:val="00864541"/>
    <w:rsid w:val="00886C5B"/>
    <w:rsid w:val="008B1250"/>
    <w:rsid w:val="008B5902"/>
    <w:rsid w:val="008B5CC4"/>
    <w:rsid w:val="008B75B1"/>
    <w:rsid w:val="008C633A"/>
    <w:rsid w:val="008C7D5D"/>
    <w:rsid w:val="008D5EFB"/>
    <w:rsid w:val="008E13FD"/>
    <w:rsid w:val="008E34A4"/>
    <w:rsid w:val="008E5075"/>
    <w:rsid w:val="008E7260"/>
    <w:rsid w:val="00912C69"/>
    <w:rsid w:val="00936B85"/>
    <w:rsid w:val="0093762D"/>
    <w:rsid w:val="00941669"/>
    <w:rsid w:val="00944492"/>
    <w:rsid w:val="00947F52"/>
    <w:rsid w:val="00957528"/>
    <w:rsid w:val="00961028"/>
    <w:rsid w:val="009640C2"/>
    <w:rsid w:val="00967AE3"/>
    <w:rsid w:val="00973971"/>
    <w:rsid w:val="009759E9"/>
    <w:rsid w:val="009814D2"/>
    <w:rsid w:val="00990512"/>
    <w:rsid w:val="009957BB"/>
    <w:rsid w:val="0099694C"/>
    <w:rsid w:val="009A4156"/>
    <w:rsid w:val="009B3A4F"/>
    <w:rsid w:val="009C7D87"/>
    <w:rsid w:val="009D2F9B"/>
    <w:rsid w:val="009D3870"/>
    <w:rsid w:val="009D4D75"/>
    <w:rsid w:val="009F16D6"/>
    <w:rsid w:val="009F5471"/>
    <w:rsid w:val="00A04389"/>
    <w:rsid w:val="00A04753"/>
    <w:rsid w:val="00A06F5F"/>
    <w:rsid w:val="00A12F1B"/>
    <w:rsid w:val="00A162A7"/>
    <w:rsid w:val="00A20D89"/>
    <w:rsid w:val="00A20EA5"/>
    <w:rsid w:val="00A213E8"/>
    <w:rsid w:val="00A24289"/>
    <w:rsid w:val="00A25142"/>
    <w:rsid w:val="00A309CB"/>
    <w:rsid w:val="00A319D0"/>
    <w:rsid w:val="00A362C6"/>
    <w:rsid w:val="00A43020"/>
    <w:rsid w:val="00A7366D"/>
    <w:rsid w:val="00A77AA4"/>
    <w:rsid w:val="00A811E0"/>
    <w:rsid w:val="00A92885"/>
    <w:rsid w:val="00A93D48"/>
    <w:rsid w:val="00A95273"/>
    <w:rsid w:val="00AA1B8B"/>
    <w:rsid w:val="00AA2CF2"/>
    <w:rsid w:val="00AB17D1"/>
    <w:rsid w:val="00AB4DC4"/>
    <w:rsid w:val="00AC6879"/>
    <w:rsid w:val="00AD7426"/>
    <w:rsid w:val="00AD7DD1"/>
    <w:rsid w:val="00AE34BA"/>
    <w:rsid w:val="00AF3D18"/>
    <w:rsid w:val="00AF45DD"/>
    <w:rsid w:val="00AF72B8"/>
    <w:rsid w:val="00B04241"/>
    <w:rsid w:val="00B0591D"/>
    <w:rsid w:val="00B17FF1"/>
    <w:rsid w:val="00B42F01"/>
    <w:rsid w:val="00B43CAA"/>
    <w:rsid w:val="00B500B5"/>
    <w:rsid w:val="00B5033E"/>
    <w:rsid w:val="00B54429"/>
    <w:rsid w:val="00B54773"/>
    <w:rsid w:val="00B575C5"/>
    <w:rsid w:val="00B64E4A"/>
    <w:rsid w:val="00B76D12"/>
    <w:rsid w:val="00B800D6"/>
    <w:rsid w:val="00B91DAC"/>
    <w:rsid w:val="00BA00E5"/>
    <w:rsid w:val="00BA2AB7"/>
    <w:rsid w:val="00BA5F14"/>
    <w:rsid w:val="00BB6EE7"/>
    <w:rsid w:val="00BC218E"/>
    <w:rsid w:val="00BC51E5"/>
    <w:rsid w:val="00BE2971"/>
    <w:rsid w:val="00BE5177"/>
    <w:rsid w:val="00BE6739"/>
    <w:rsid w:val="00BF41D5"/>
    <w:rsid w:val="00BF47C4"/>
    <w:rsid w:val="00BF5415"/>
    <w:rsid w:val="00C00A5C"/>
    <w:rsid w:val="00C03F6B"/>
    <w:rsid w:val="00C05F04"/>
    <w:rsid w:val="00C11595"/>
    <w:rsid w:val="00C16A40"/>
    <w:rsid w:val="00C16E24"/>
    <w:rsid w:val="00C177D6"/>
    <w:rsid w:val="00C24227"/>
    <w:rsid w:val="00C47F47"/>
    <w:rsid w:val="00C531D7"/>
    <w:rsid w:val="00C57D63"/>
    <w:rsid w:val="00C64A59"/>
    <w:rsid w:val="00C67B04"/>
    <w:rsid w:val="00C70449"/>
    <w:rsid w:val="00C7599B"/>
    <w:rsid w:val="00C7671D"/>
    <w:rsid w:val="00C82FAF"/>
    <w:rsid w:val="00C95E57"/>
    <w:rsid w:val="00CA1E8F"/>
    <w:rsid w:val="00CA29D1"/>
    <w:rsid w:val="00CA40A7"/>
    <w:rsid w:val="00CB2527"/>
    <w:rsid w:val="00CB308D"/>
    <w:rsid w:val="00CB5893"/>
    <w:rsid w:val="00CC5358"/>
    <w:rsid w:val="00CC63FD"/>
    <w:rsid w:val="00CD5FBE"/>
    <w:rsid w:val="00CF0728"/>
    <w:rsid w:val="00CF1B7C"/>
    <w:rsid w:val="00CF32BE"/>
    <w:rsid w:val="00D00955"/>
    <w:rsid w:val="00D069DF"/>
    <w:rsid w:val="00D17F1E"/>
    <w:rsid w:val="00D22809"/>
    <w:rsid w:val="00D2526D"/>
    <w:rsid w:val="00D3415B"/>
    <w:rsid w:val="00D34EB8"/>
    <w:rsid w:val="00D43796"/>
    <w:rsid w:val="00D44481"/>
    <w:rsid w:val="00D66839"/>
    <w:rsid w:val="00D73D67"/>
    <w:rsid w:val="00D80D65"/>
    <w:rsid w:val="00D81E8E"/>
    <w:rsid w:val="00D918B0"/>
    <w:rsid w:val="00D92BA8"/>
    <w:rsid w:val="00D93DFB"/>
    <w:rsid w:val="00D97F20"/>
    <w:rsid w:val="00DA52E0"/>
    <w:rsid w:val="00DC522B"/>
    <w:rsid w:val="00DD2FC7"/>
    <w:rsid w:val="00DE617B"/>
    <w:rsid w:val="00DE7C2D"/>
    <w:rsid w:val="00DF2131"/>
    <w:rsid w:val="00DF50B9"/>
    <w:rsid w:val="00DF695D"/>
    <w:rsid w:val="00DF7D3C"/>
    <w:rsid w:val="00E015BD"/>
    <w:rsid w:val="00E02498"/>
    <w:rsid w:val="00E04E96"/>
    <w:rsid w:val="00E05C4A"/>
    <w:rsid w:val="00E11DFB"/>
    <w:rsid w:val="00E13990"/>
    <w:rsid w:val="00E164EB"/>
    <w:rsid w:val="00E22D93"/>
    <w:rsid w:val="00E271BD"/>
    <w:rsid w:val="00E3383B"/>
    <w:rsid w:val="00E35087"/>
    <w:rsid w:val="00E40719"/>
    <w:rsid w:val="00E442E7"/>
    <w:rsid w:val="00E46A6D"/>
    <w:rsid w:val="00E46B0E"/>
    <w:rsid w:val="00E46F3A"/>
    <w:rsid w:val="00E517BD"/>
    <w:rsid w:val="00E541F5"/>
    <w:rsid w:val="00E54542"/>
    <w:rsid w:val="00E62677"/>
    <w:rsid w:val="00E646ED"/>
    <w:rsid w:val="00E6604F"/>
    <w:rsid w:val="00E66941"/>
    <w:rsid w:val="00E7507B"/>
    <w:rsid w:val="00E8178E"/>
    <w:rsid w:val="00E907FC"/>
    <w:rsid w:val="00EA29A9"/>
    <w:rsid w:val="00EB1A4B"/>
    <w:rsid w:val="00EB4897"/>
    <w:rsid w:val="00EC3E36"/>
    <w:rsid w:val="00EC622B"/>
    <w:rsid w:val="00EC75DE"/>
    <w:rsid w:val="00ED0422"/>
    <w:rsid w:val="00EF5B8C"/>
    <w:rsid w:val="00EF7C2A"/>
    <w:rsid w:val="00F05FC5"/>
    <w:rsid w:val="00F0705A"/>
    <w:rsid w:val="00F14B2B"/>
    <w:rsid w:val="00F215D6"/>
    <w:rsid w:val="00F36518"/>
    <w:rsid w:val="00F466E0"/>
    <w:rsid w:val="00F61C46"/>
    <w:rsid w:val="00F71A89"/>
    <w:rsid w:val="00F80C67"/>
    <w:rsid w:val="00F81886"/>
    <w:rsid w:val="00F8392B"/>
    <w:rsid w:val="00F917E8"/>
    <w:rsid w:val="00FA207F"/>
    <w:rsid w:val="00FB4E9E"/>
    <w:rsid w:val="00FD2EC3"/>
    <w:rsid w:val="00FD4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customStyle="1" w:styleId="hps">
    <w:name w:val="hps"/>
    <w:rsid w:val="008E7260"/>
  </w:style>
  <w:style w:type="paragraph" w:customStyle="1" w:styleId="clanak">
    <w:name w:val="clanak"/>
    <w:basedOn w:val="Normal"/>
    <w:rsid w:val="002D6C6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uiPriority w:val="22"/>
    <w:qFormat/>
    <w:rsid w:val="00E3383B"/>
    <w:rPr>
      <w:b/>
      <w:bCs/>
    </w:rPr>
  </w:style>
  <w:style w:type="paragraph" w:styleId="PlainText">
    <w:name w:val="Plain Text"/>
    <w:basedOn w:val="Normal"/>
    <w:link w:val="PlainTextChar"/>
    <w:uiPriority w:val="99"/>
    <w:unhideWhenUsed/>
    <w:rsid w:val="00E3383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lainTextChar">
    <w:name w:val="Plain Text Char"/>
    <w:basedOn w:val="DefaultParagraphFont"/>
    <w:link w:val="PlainText"/>
    <w:uiPriority w:val="99"/>
    <w:rsid w:val="00E3383B"/>
    <w:rPr>
      <w:rFonts w:ascii="Times New Roman" w:eastAsia="Times New Roman" w:hAnsi="Times New Roman" w:cs="Times New Roman"/>
      <w:sz w:val="24"/>
      <w:szCs w:val="24"/>
      <w:lang w:val="hr-HR" w:eastAsia="hr-HR"/>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76B5F"/>
    <w:pPr>
      <w:spacing w:after="160" w:line="240" w:lineRule="exact"/>
    </w:pPr>
    <w:rPr>
      <w:vertAlign w:val="superscript"/>
    </w:rPr>
  </w:style>
  <w:style w:type="paragraph" w:customStyle="1" w:styleId="FRAFootnoteText">
    <w:name w:val="(FRA) Footnote Text"/>
    <w:basedOn w:val="Normal"/>
    <w:link w:val="FRAFootnoteTextCarattere"/>
    <w:qFormat/>
    <w:rsid w:val="007321CD"/>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7321CD"/>
    <w:rPr>
      <w:rFonts w:ascii="Calibri" w:eastAsia="Calibri" w:hAnsi="Calibri" w:cs="Calibri"/>
      <w:sz w:val="18"/>
      <w:lang w:val="en-US"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character" w:customStyle="1" w:styleId="hps">
    <w:name w:val="hps"/>
    <w:rsid w:val="008E7260"/>
  </w:style>
  <w:style w:type="paragraph" w:customStyle="1" w:styleId="clanak">
    <w:name w:val="clanak"/>
    <w:basedOn w:val="Normal"/>
    <w:rsid w:val="002D6C6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uiPriority w:val="22"/>
    <w:qFormat/>
    <w:rsid w:val="00E3383B"/>
    <w:rPr>
      <w:b/>
      <w:bCs/>
    </w:rPr>
  </w:style>
  <w:style w:type="paragraph" w:styleId="PlainText">
    <w:name w:val="Plain Text"/>
    <w:basedOn w:val="Normal"/>
    <w:link w:val="PlainTextChar"/>
    <w:uiPriority w:val="99"/>
    <w:unhideWhenUsed/>
    <w:rsid w:val="00E3383B"/>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PlainTextChar">
    <w:name w:val="Plain Text Char"/>
    <w:basedOn w:val="DefaultParagraphFont"/>
    <w:link w:val="PlainText"/>
    <w:uiPriority w:val="99"/>
    <w:rsid w:val="00E3383B"/>
    <w:rPr>
      <w:rFonts w:ascii="Times New Roman" w:eastAsia="Times New Roman" w:hAnsi="Times New Roman" w:cs="Times New Roman"/>
      <w:sz w:val="24"/>
      <w:szCs w:val="24"/>
      <w:lang w:val="hr-HR" w:eastAsia="hr-HR"/>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76B5F"/>
    <w:pPr>
      <w:spacing w:after="160" w:line="240" w:lineRule="exact"/>
    </w:pPr>
    <w:rPr>
      <w:vertAlign w:val="superscript"/>
    </w:rPr>
  </w:style>
  <w:style w:type="paragraph" w:customStyle="1" w:styleId="FRAFootnoteText">
    <w:name w:val="(FRA) Footnote Text"/>
    <w:basedOn w:val="Normal"/>
    <w:link w:val="FRAFootnoteTextCarattere"/>
    <w:qFormat/>
    <w:rsid w:val="007321CD"/>
    <w:pPr>
      <w:spacing w:after="0" w:line="240" w:lineRule="auto"/>
      <w:jc w:val="both"/>
    </w:pPr>
    <w:rPr>
      <w:rFonts w:ascii="Calibri" w:eastAsia="Calibri" w:hAnsi="Calibri" w:cs="Calibri"/>
      <w:sz w:val="18"/>
      <w:lang w:val="en-US" w:eastAsia="en-GB" w:bidi="en-US"/>
    </w:rPr>
  </w:style>
  <w:style w:type="character" w:customStyle="1" w:styleId="FRAFootnoteTextCarattere">
    <w:name w:val="(FRA) Footnote Text Carattere"/>
    <w:basedOn w:val="DefaultParagraphFont"/>
    <w:link w:val="FRAFootnoteText"/>
    <w:locked/>
    <w:rsid w:val="007321CD"/>
    <w:rPr>
      <w:rFonts w:ascii="Calibri" w:eastAsia="Calibri" w:hAnsi="Calibri" w:cs="Calibri"/>
      <w:sz w:val="18"/>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20954315">
      <w:bodyDiv w:val="1"/>
      <w:marLeft w:val="0"/>
      <w:marRight w:val="0"/>
      <w:marTop w:val="0"/>
      <w:marBottom w:val="0"/>
      <w:divBdr>
        <w:top w:val="none" w:sz="0" w:space="0" w:color="auto"/>
        <w:left w:val="none" w:sz="0" w:space="0" w:color="auto"/>
        <w:bottom w:val="none" w:sz="0" w:space="0" w:color="auto"/>
        <w:right w:val="none" w:sz="0" w:space="0" w:color="auto"/>
      </w:divBdr>
      <w:divsChild>
        <w:div w:id="461388709">
          <w:marLeft w:val="0"/>
          <w:marRight w:val="0"/>
          <w:marTop w:val="0"/>
          <w:marBottom w:val="0"/>
          <w:divBdr>
            <w:top w:val="none" w:sz="0" w:space="0" w:color="auto"/>
            <w:left w:val="none" w:sz="0" w:space="0" w:color="auto"/>
            <w:bottom w:val="none" w:sz="0" w:space="0" w:color="auto"/>
            <w:right w:val="none" w:sz="0" w:space="0" w:color="auto"/>
          </w:divBdr>
          <w:divsChild>
            <w:div w:id="682977038">
              <w:marLeft w:val="0"/>
              <w:marRight w:val="0"/>
              <w:marTop w:val="0"/>
              <w:marBottom w:val="0"/>
              <w:divBdr>
                <w:top w:val="none" w:sz="0" w:space="0" w:color="auto"/>
                <w:left w:val="none" w:sz="0" w:space="0" w:color="auto"/>
                <w:bottom w:val="none" w:sz="0" w:space="0" w:color="auto"/>
                <w:right w:val="none" w:sz="0" w:space="0" w:color="auto"/>
              </w:divBdr>
              <w:divsChild>
                <w:div w:id="254292766">
                  <w:marLeft w:val="0"/>
                  <w:marRight w:val="0"/>
                  <w:marTop w:val="0"/>
                  <w:marBottom w:val="0"/>
                  <w:divBdr>
                    <w:top w:val="none" w:sz="0" w:space="0" w:color="auto"/>
                    <w:left w:val="none" w:sz="0" w:space="0" w:color="auto"/>
                    <w:bottom w:val="none" w:sz="0" w:space="0" w:color="auto"/>
                    <w:right w:val="none" w:sz="0" w:space="0" w:color="auto"/>
                  </w:divBdr>
                  <w:divsChild>
                    <w:div w:id="2139640958">
                      <w:marLeft w:val="0"/>
                      <w:marRight w:val="0"/>
                      <w:marTop w:val="0"/>
                      <w:marBottom w:val="0"/>
                      <w:divBdr>
                        <w:top w:val="none" w:sz="0" w:space="0" w:color="auto"/>
                        <w:left w:val="none" w:sz="0" w:space="0" w:color="auto"/>
                        <w:bottom w:val="none" w:sz="0" w:space="0" w:color="auto"/>
                        <w:right w:val="none" w:sz="0" w:space="0" w:color="auto"/>
                      </w:divBdr>
                      <w:divsChild>
                        <w:div w:id="299842627">
                          <w:marLeft w:val="0"/>
                          <w:marRight w:val="0"/>
                          <w:marTop w:val="0"/>
                          <w:marBottom w:val="0"/>
                          <w:divBdr>
                            <w:top w:val="none" w:sz="0" w:space="0" w:color="auto"/>
                            <w:left w:val="none" w:sz="0" w:space="0" w:color="auto"/>
                            <w:bottom w:val="none" w:sz="0" w:space="0" w:color="auto"/>
                            <w:right w:val="none" w:sz="0" w:space="0" w:color="auto"/>
                          </w:divBdr>
                          <w:divsChild>
                            <w:div w:id="5321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izbor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arodne-novine.nn.hr/clanci/sluzbeni/2013_02_23_382.html" TargetMode="External"/><Relationship Id="rId13" Type="http://schemas.openxmlformats.org/officeDocument/2006/relationships/hyperlink" Target="http://narodne-novine.nn.hr/clanci/sluzbeni/2013_02_23_382.html" TargetMode="External"/><Relationship Id="rId18" Type="http://schemas.openxmlformats.org/officeDocument/2006/relationships/hyperlink" Target="http://www.hrt.hr/index.php?id=organizacija&amp;tx_ttnews%5btt_news%5d=200491&amp;cHash=a9b7bb3ae8" TargetMode="External"/><Relationship Id="rId3" Type="http://schemas.openxmlformats.org/officeDocument/2006/relationships/hyperlink" Target="http://www.un.org/disabilities/countries.asp?navid=12&amp;pid=166" TargetMode="External"/><Relationship Id="rId21" Type="http://schemas.openxmlformats.org/officeDocument/2006/relationships/hyperlink" Target="http://en.wikipedia.org/wiki/Croatian_Labourists_-_Labour_Party" TargetMode="External"/><Relationship Id="rId7" Type="http://schemas.openxmlformats.org/officeDocument/2006/relationships/hyperlink" Target="http://narodne-novine.nn.hr/clanci/sluzbeni/2010_07_92_2591.html" TargetMode="External"/><Relationship Id="rId12" Type="http://schemas.openxmlformats.org/officeDocument/2006/relationships/hyperlink" Target="http://narodne-novine.nn.hr/clanci/sluzbeni/2010_07_92_2591.html" TargetMode="External"/><Relationship Id="rId17" Type="http://schemas.openxmlformats.org/officeDocument/2006/relationships/hyperlink" Target="http://narodne-novine.nn.hr/clanci/sluzbeni/2013_02_23_382.html" TargetMode="External"/><Relationship Id="rId2" Type="http://schemas.openxmlformats.org/officeDocument/2006/relationships/hyperlink" Target="http://treaties.un.org/Pages/ViewDetails.aspx?src=TREATY&amp;mtdsg_no=IV-15&amp;chapter=4&amp;lang=en" TargetMode="External"/><Relationship Id="rId16" Type="http://schemas.openxmlformats.org/officeDocument/2006/relationships/hyperlink" Target="http://narodne-novine.nn.hr/clanci/sluzbeni/2013_02_23_382.html" TargetMode="External"/><Relationship Id="rId20" Type="http://schemas.openxmlformats.org/officeDocument/2006/relationships/hyperlink" Target="http://www.izbori.hr/izbori/dip_ws.nsf/0/E297CC23E685B87BC1257B3D005293B2/$file/EP_podsjetnik_za_rad_BO_tuzemstvo.pdf"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 Id="rId11" Type="http://schemas.openxmlformats.org/officeDocument/2006/relationships/hyperlink" Target="http://narodne-novine.nn.hr/clanci/sluzbeni/2013_02_23_382.html" TargetMode="External"/><Relationship Id="rId24" Type="http://schemas.openxmlformats.org/officeDocument/2006/relationships/hyperlink" Target="http://en.wikipedia.org/wiki/Croatian_Labourists_-_Labour_Party" TargetMode="External"/><Relationship Id="rId5" Type="http://schemas.openxmlformats.org/officeDocument/2006/relationships/hyperlink" Target="http://www.un.org/disabilities/countries.asp?navid=12&amp;pid=166" TargetMode="External"/><Relationship Id="rId15" Type="http://schemas.openxmlformats.org/officeDocument/2006/relationships/hyperlink" Target="http://narodne-novine.nn.hr/clanci/sluzbeni/2010_07_92_2591.html" TargetMode="External"/><Relationship Id="rId23" Type="http://schemas.openxmlformats.org/officeDocument/2006/relationships/hyperlink" Target="http://en.wikipedia.org/wiki/Croatian_Labourists_-_Labour_Party" TargetMode="External"/><Relationship Id="rId10" Type="http://schemas.openxmlformats.org/officeDocument/2006/relationships/hyperlink" Target="http://narodne-novine.nn.hr/clanci/sluzbeni/2010_07_92_2591.html" TargetMode="External"/><Relationship Id="rId19" Type="http://schemas.openxmlformats.org/officeDocument/2006/relationships/hyperlink" Target="http://www.izbori.hr/izbori/dip_ws.nsf/0/C2E719F120F9E14AC1257B680039F7CB/$file/Podsjetnik%20o%20radu%20bira%C4%8Dkih%20odbora.pdf"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narodne-novine.nn.hr/clanci/sluzbeni/2011_10_120_2357.html" TargetMode="External"/><Relationship Id="rId14" Type="http://schemas.openxmlformats.org/officeDocument/2006/relationships/hyperlink" Target="http://www.izbori.hr/izbori/dip_ws.nsf/public/index?open&amp;id=B9BA&amp;" TargetMode="External"/><Relationship Id="rId22" Type="http://schemas.openxmlformats.org/officeDocument/2006/relationships/hyperlink" Target="http://en.wikipedia.org/wiki/Croatian_Labourists_-_Labour_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3665</Value>
      <Value>11</Value>
    </TaxCatchAll>
    <_dlc_DocId xmlns="16097700-bd0a-4b4b-83d5-90842b5175e0">D-2014-35590</_dlc_DocId>
    <_dlc_DocIdUrl xmlns="16097700-bd0a-4b4b-83d5-90842b5175e0">
      <Url>http://dms/research/polparprojectsite/_layouts/DocIdRedir.aspx?ID=D-2014-35590</Url>
      <Description>D-2014-35590</Description>
    </_dlc_DocIdUrl>
    <fraPermissions xmlns="16097700-bd0a-4b4b-83d5-90842b5175e0">Public: Read for all, write dept.</fraPermissions>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35BC2-49FA-4161-A817-736BF801CC13}">
  <ds:schemaRefs>
    <ds:schemaRef ds:uri="http://schemas.microsoft.com/sharepoint/v3/contenttype/forms"/>
  </ds:schemaRefs>
</ds:datastoreItem>
</file>

<file path=customXml/itemProps2.xml><?xml version="1.0" encoding="utf-8"?>
<ds:datastoreItem xmlns:ds="http://schemas.openxmlformats.org/officeDocument/2006/customXml" ds:itemID="{87DC89B3-554A-4472-BE3D-6EEC7A6DE3B3}">
  <ds:schemaRefs>
    <ds:schemaRef ds:uri="http://schemas.microsoft.com/sharepoint/events"/>
  </ds:schemaRefs>
</ds:datastoreItem>
</file>

<file path=customXml/itemProps3.xml><?xml version="1.0" encoding="utf-8"?>
<ds:datastoreItem xmlns:ds="http://schemas.openxmlformats.org/officeDocument/2006/customXml" ds:itemID="{3C2C03DD-5B8A-4453-9EA6-039CEF187EF7}">
  <ds:schemaRefs>
    <ds:schemaRef ds:uri="http://schemas.microsoft.com/office/infopath/2007/PartnerControls"/>
    <ds:schemaRef ds:uri="16097700-bd0a-4b4b-83d5-90842b5175e0"/>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4021556-4869-4EB6-B690-A1B1E931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D1F8C5F-0164-42A2-BA7C-94E116ED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5338</Words>
  <Characters>30433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Final country tables clean versions</vt:lpstr>
    </vt:vector>
  </TitlesOfParts>
  <Company>European Union Fundamental Rights Agency</Company>
  <LinksUpToDate>false</LinksUpToDate>
  <CharactersWithSpaces>35700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2013-09-11T08:50:00Z</cp:lastPrinted>
  <dcterms:created xsi:type="dcterms:W3CDTF">2014-07-11T10:11:00Z</dcterms:created>
  <dcterms:modified xsi:type="dcterms:W3CDTF">2014-07-11T10:11:00Z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3bff1358-4699-4a3b-b0b6-e9f1db920d4c</vt:lpwstr>
  </property>
  <property fmtid="{D5CDD505-2E9C-101B-9397-08002B2CF9AE}" pid="4" name="fraContentLanguageMM">
    <vt:lpwstr>11;#English|2d2b19a9-1f9f-48bb-ac48-c1a45d7d0217</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2100</vt:r8>
  </property>
</Properties>
</file>